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0"/>
      </w:pPr>
      <w:r>
        <w:rPr>
          <w:rFonts w:ascii="Cambria" w:hAnsi="Cambria"/>
          <w:color w:val="5A2D91"/>
          <w:sz w:val="40"/>
          <w:b/>
        </w:rPr>
        <w:t xml:space="preserve">Option 2 — Strategy Memo</w:t>
      </w:r>
    </w:p>
    <w:p>
      <w:pPr>
        <w:spacing w:before="240" w:after="120"/>
      </w:pPr>
      <w:r>
        <w:rPr>
          <w:rFonts w:ascii="Cambria" w:hAnsi="Cambria"/>
          <w:color w:val="5A2D91"/>
          <w:sz w:val="28"/>
          <w:b/>
        </w:rPr>
        <w:t xml:space="preserve">Turner Theological Seminary · Internal Strategy Memo</w:t>
      </w:r>
    </w:p>
    <w:p>
      <w:pPr>
        <w:spacing w:after="120" w:line="300" w:lineRule="auto"/>
      </w:pPr>
      <w:r>
        <w:rPr>
          <w:rFonts w:ascii="Cambria" w:hAnsi="Cambria"/>
          <w:sz w:val="22"/>
          <w:b/>
        </w:rPr>
        <w:t xml:space="preserve">For: </w:t>
      </w:r>
      <w:r>
        <w:rPr>
          <w:rFonts w:ascii="Cambria" w:hAnsi="Cambria"/>
          <w:sz w:val="22"/>
        </w:rPr>
        <w:t xml:space="preserve">President &amp; Grant Writer  |  </w:t>
      </w:r>
      <w:r>
        <w:rPr>
          <w:rFonts w:ascii="Cambria" w:hAnsi="Cambria"/>
          <w:sz w:val="22"/>
          <w:b/>
        </w:rPr>
        <w:t xml:space="preserve">Re: </w:t>
      </w:r>
      <w:r>
        <w:rPr>
          <w:rFonts w:ascii="Cambria" w:hAnsi="Cambria"/>
          <w:sz w:val="22"/>
        </w:rPr>
        <w:t xml:space="preserve">Strategic Rebuild of the Lilly Submission Budget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5A2D91"/>
        </w:rPr>
        <w:t xml:space="preserve">Strategic Posture. </w:t>
      </w:r>
      <w:r>
        <w:rPr>
          <w:rFonts w:ascii="Cambria" w:hAnsi="Cambria"/>
          <w:sz w:val="22"/>
        </w:rPr>
        <w:t xml:space="preserve">Option 2 keeps every category, every named partner, and every Christian-practices commitment from the rebuilt framework — and restructures the budget around what Lilly's reviewers actually score. Three moves do most of the work: institutional leadership shifts to in-kind cost-share, the three partner organizations are broken out as distinct sub-awards, and the indirect rate moves to 8%. Total request unchanged at $2,500,000.</w:t>
      </w:r>
    </w:p>
    <w:p>
      <w:pPr>
        <w:spacing w:before="240" w:after="60"/>
      </w:pPr>
      <w:r>
        <w:rPr>
          <w:rFonts w:ascii="Arial" w:hAnsi="Arial"/>
          <w:color w:val="8a6d18"/>
          <w:sz w:val="16"/>
          <w:b/>
          <w:caps/>
          <w:spacing w:val="60"/>
        </w:rPr>
        <w:t xml:space="preserve">A. Eight Strategic Moves vs. Option 1</w:t>
      </w:r>
    </w:p>
    <w:p>
      <w:pPr>
        <w:spacing w:before="160" w:after="80"/>
      </w:pPr>
      <w:r>
        <w:rPr>
          <w:rFonts w:ascii="Cambria" w:hAnsi="Cambria"/>
          <w:color w:val="3a1c64"/>
          <w:sz w:val="24"/>
          <w:b/>
        </w:rPr>
        <w:t xml:space="preserve">Move 1. Team 1 institutional leadership treated as in-kind cost-share, not grant-funded FTE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7a6e58"/>
        </w:rPr>
        <w:t xml:space="preserve">Option 1: </w:t>
      </w:r>
      <w:r>
        <w:rPr>
          <w:rFonts w:ascii="Cambria" w:hAnsi="Cambria"/>
          <w:sz w:val="22"/>
        </w:rPr>
        <w:t xml:space="preserve">Personnel salaries declined $180K → $150K with the narrative implying institutional pickup as the curve dropped.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2f7a4d"/>
        </w:rPr>
        <w:t xml:space="preserve">Option 2: </w:t>
      </w:r>
      <w:r>
        <w:rPr>
          <w:rFonts w:ascii="Cambria" w:hAnsi="Cambria"/>
          <w:sz w:val="22"/>
        </w:rPr>
        <w:t xml:space="preserve">The six Team 1 leaders are shown explicitly in the Personnel Table as in-kind institutional cost-share, totaling approximately $90,750 per year (~$453,750 over 5 years). Their effort is named, valued, and committed — but not requested from the grant.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8a6d18"/>
        </w:rPr>
        <w:t xml:space="preserve">Why: </w:t>
      </w:r>
      <w:r>
        <w:rPr>
          <w:rFonts w:ascii="Cambria" w:hAnsi="Cambria"/>
          <w:sz w:val="22"/>
          <w:i/>
        </w:rPr>
        <w:t xml:space="preserve">Lilly's reviewers weight institutional investment as a measure of organizational commitment. Quantifying institutional effort as cost-share gives Turner credit for what it is actually contributing and frees grant dollars to fund operational capacity. It also removes audit risk: time-and-effort reconciliation against in-kind effort is sturdier than against a declining grant salary curve.</w:t>
      </w:r>
    </w:p>
    <w:p/>
    <w:p>
      <w:pPr>
        <w:spacing w:before="160" w:after="80"/>
      </w:pPr>
      <w:r>
        <w:rPr>
          <w:rFonts w:ascii="Cambria" w:hAnsi="Cambria"/>
          <w:color w:val="3a1c64"/>
          <w:sz w:val="24"/>
          <w:b/>
        </w:rPr>
        <w:t xml:space="preserve">Move 2. Five named, flat-funded grant operational positions form the project backbone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7a6e58"/>
        </w:rPr>
        <w:t xml:space="preserve">Option 1: </w:t>
      </w:r>
      <w:r>
        <w:rPr>
          <w:rFonts w:ascii="Cambria" w:hAnsi="Cambria"/>
          <w:sz w:val="22"/>
        </w:rPr>
        <w:t xml:space="preserve">Grant-funded personnel listed five operational positions in the narrative but presented them as a single declining aggregate ($180K → $150K).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2f7a4d"/>
        </w:rPr>
        <w:t xml:space="preserve">Option 2: </w:t>
      </w:r>
      <w:r>
        <w:rPr>
          <w:rFonts w:ascii="Cambria" w:hAnsi="Cambria"/>
          <w:sz w:val="22"/>
        </w:rPr>
        <w:t xml:space="preserve">Five named positions, each with a base salary and FTE percentage, totaling $180,000 flat per year across the term. Fringe applied at 20% on the salary base. Detail appears in the Personnel Table.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8a6d18"/>
        </w:rPr>
        <w:t xml:space="preserve">Why: </w:t>
      </w:r>
      <w:r>
        <w:rPr>
          <w:rFonts w:ascii="Cambria" w:hAnsi="Cambria"/>
          <w:sz w:val="22"/>
          <w:i/>
        </w:rPr>
        <w:t xml:space="preserve">Lilly's Guide specifically asks for a name × title × base salary × % FTE × grant $ table. A flat-funded structure reads as operationally stable.</w:t>
      </w:r>
    </w:p>
    <w:p/>
    <w:p>
      <w:pPr>
        <w:spacing w:before="160" w:after="80"/>
      </w:pPr>
      <w:r>
        <w:rPr>
          <w:rFonts w:ascii="Cambria" w:hAnsi="Cambria"/>
          <w:color w:val="3a1c64"/>
          <w:sz w:val="24"/>
          <w:b/>
        </w:rPr>
        <w:t xml:space="preserve">Move 3. Three partner organizations broken out as distinct sub-awards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7a6e58"/>
        </w:rPr>
        <w:t xml:space="preserve">Option 1: </w:t>
      </w:r>
      <w:r>
        <w:rPr>
          <w:rFonts w:ascii="Cambria" w:hAnsi="Cambria"/>
          <w:sz w:val="22"/>
        </w:rPr>
        <w:t xml:space="preserve">Ecclesial &amp; Community Partnerships was a single line of $150K combining 6th Episcopal District AME and Salvation and Social Justice. Sankofa CPE appeared separately at $175K.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2f7a4d"/>
        </w:rPr>
        <w:t xml:space="preserve">Option 2: </w:t>
      </w:r>
      <w:r>
        <w:rPr>
          <w:rFonts w:ascii="Cambria" w:hAnsi="Cambria"/>
          <w:sz w:val="22"/>
        </w:rPr>
        <w:t xml:space="preserve">All three partners shown as distinct sub-award lines: Sixth Episcopal District AME $100,000; Salvation and Social Justice $80,000; Sankofa CPE $200,000. Each carries a Partner Engagement Agreement on file and is split internally between a Partner Stipend and Consultant Fees.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8a6d18"/>
        </w:rPr>
        <w:t xml:space="preserve">Why: </w:t>
      </w:r>
      <w:r>
        <w:rPr>
          <w:rFonts w:ascii="Cambria" w:hAnsi="Cambria"/>
          <w:sz w:val="22"/>
          <w:i/>
        </w:rPr>
        <w:t xml:space="preserve">Sub-awards are the cleanest line of accountability in a reviewer's eyes. Lumped envelopes look like soft commitments; named sub-awards with PEAs look like a real ecosystem with real obligations. Total partner envelope grows from $325K (Option 1) to $380K (Option 2).</w:t>
      </w:r>
    </w:p>
    <w:p/>
    <w:p>
      <w:pPr>
        <w:spacing w:before="160" w:after="80"/>
      </w:pPr>
      <w:r>
        <w:rPr>
          <w:rFonts w:ascii="Cambria" w:hAnsi="Cambria"/>
          <w:color w:val="3a1c64"/>
          <w:sz w:val="24"/>
          <w:b/>
        </w:rPr>
        <w:t xml:space="preserve">Move 4. Indirect rate raised from 6% to 8% — modest, defensible, below cap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7a6e58"/>
        </w:rPr>
        <w:t xml:space="preserve">Option 1: </w:t>
      </w:r>
      <w:r>
        <w:rPr>
          <w:rFonts w:ascii="Cambria" w:hAnsi="Cambria"/>
          <w:sz w:val="22"/>
        </w:rPr>
        <w:t xml:space="preserve">6% of direct costs × 5 years = $140,000 indirect.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2f7a4d"/>
        </w:rPr>
        <w:t xml:space="preserve">Option 2: </w:t>
      </w:r>
      <w:r>
        <w:rPr>
          <w:rFonts w:ascii="Cambria" w:hAnsi="Cambria"/>
          <w:sz w:val="22"/>
        </w:rPr>
        <w:t xml:space="preserve">8% of direct costs × 5 years = $185,000 indirect. Net addition of $45,000 in legitimate administrative support over the term.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8a6d18"/>
        </w:rPr>
        <w:t xml:space="preserve">Why: </w:t>
      </w:r>
      <w:r>
        <w:rPr>
          <w:rFonts w:ascii="Cambria" w:hAnsi="Cambria"/>
          <w:sz w:val="22"/>
          <w:i/>
        </w:rPr>
        <w:t xml:space="preserve">Lilly's stated cap is 10%. The federal de-minimis rate (for organizations without a NICRA) was raised to 15% in 2024. As a first federally-known entity Turner has no NICRA on file; 8% is conservative and signals "we are not maximizing overhead" while still funding real grant administration.</w:t>
      </w:r>
    </w:p>
    <w:p/>
    <w:p>
      <w:pPr>
        <w:spacing w:before="160" w:after="80"/>
      </w:pPr>
      <w:r>
        <w:rPr>
          <w:rFonts w:ascii="Cambria" w:hAnsi="Cambria"/>
          <w:color w:val="3a1c64"/>
          <w:sz w:val="24"/>
          <w:b/>
        </w:rPr>
        <w:t xml:space="preserve">Move 5. Fellows track scaled to Lilly's typical funding levels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7a6e58"/>
        </w:rPr>
        <w:t xml:space="preserve">Option 1: </w:t>
      </w:r>
      <w:r>
        <w:rPr>
          <w:rFonts w:ascii="Cambria" w:hAnsi="Cambria"/>
          <w:sz w:val="22"/>
        </w:rPr>
        <w:t xml:space="preserve">Fellows &amp; Emerging Leaders at $90,000 over 5 years; structure not specified.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2f7a4d"/>
        </w:rPr>
        <w:t xml:space="preserve">Option 2: </w:t>
      </w:r>
      <w:r>
        <w:rPr>
          <w:rFonts w:ascii="Cambria" w:hAnsi="Cambria"/>
          <w:sz w:val="22"/>
        </w:rPr>
        <w:t xml:space="preserve">$65,000 over 5 years, structured as 5 named Graduate Ministry Fellows at $2,500 honorarium per cohort year, plus a small cohort pool for the seven practice-area tracks (Christian Practices, Research &amp; Evaluation, Digital Media, Community Engagement, Worship &amp; Retreat, Public Theology).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8a6d18"/>
        </w:rPr>
        <w:t xml:space="preserve">Why: </w:t>
      </w:r>
      <w:r>
        <w:rPr>
          <w:rFonts w:ascii="Cambria" w:hAnsi="Cambria"/>
          <w:sz w:val="22"/>
          <w:i/>
        </w:rPr>
        <w:t xml:space="preserve">Comparable Exploring Christian Practices awardees fund graduate fellows at $2,500–$5,000 honorarium per cohort year, not full $10K stipends. Right-sizing the fellows envelope avoids reviewer skepticism about staff/fellow overlap.</w:t>
      </w:r>
    </w:p>
    <w:p/>
    <w:p>
      <w:pPr>
        <w:spacing w:before="160" w:after="80"/>
      </w:pPr>
      <w:r>
        <w:rPr>
          <w:rFonts w:ascii="Cambria" w:hAnsi="Cambria"/>
          <w:color w:val="3a1c64"/>
          <w:sz w:val="24"/>
          <w:b/>
        </w:rPr>
        <w:t xml:space="preserve">Move 6. External evaluator funded as a named line within Evaluation &amp; Learning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7a6e58"/>
        </w:rPr>
        <w:t xml:space="preserve">Option 1: </w:t>
      </w:r>
      <w:r>
        <w:rPr>
          <w:rFonts w:ascii="Cambria" w:hAnsi="Cambria"/>
          <w:sz w:val="22"/>
        </w:rPr>
        <w:t xml:space="preserve">Evaluation &amp; Learning at $140K, structure not specified.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2f7a4d"/>
        </w:rPr>
        <w:t xml:space="preserve">Option 2: </w:t>
      </w:r>
      <w:r>
        <w:rPr>
          <w:rFonts w:ascii="Cambria" w:hAnsi="Cambria"/>
          <w:sz w:val="22"/>
        </w:rPr>
        <w:t xml:space="preserve">$150,000 over 5 years, with a named external evaluator at approximately $25,000 per year embedded in the line.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8a6d18"/>
        </w:rPr>
        <w:t xml:space="preserve">Why: </w:t>
      </w:r>
      <w:r>
        <w:rPr>
          <w:rFonts w:ascii="Cambria" w:hAnsi="Cambria"/>
          <w:sz w:val="22"/>
          <w:i/>
        </w:rPr>
        <w:t xml:space="preserve">Lilly explicitly looks for an independent external evaluator in multi-year initiatives. Naming the role is what reviewers expect.</w:t>
      </w:r>
    </w:p>
    <w:p/>
    <w:p>
      <w:pPr>
        <w:spacing w:before="160" w:after="80"/>
      </w:pPr>
      <w:r>
        <w:rPr>
          <w:rFonts w:ascii="Cambria" w:hAnsi="Cambria"/>
          <w:color w:val="3a1c64"/>
          <w:sz w:val="24"/>
          <w:b/>
        </w:rPr>
        <w:t xml:space="preserve">Move 7. Sustainability ramp made explicit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7a6e58"/>
        </w:rPr>
        <w:t xml:space="preserve">Option 1: </w:t>
      </w:r>
      <w:r>
        <w:rPr>
          <w:rFonts w:ascii="Cambria" w:hAnsi="Cambria"/>
          <w:sz w:val="22"/>
        </w:rPr>
        <w:t xml:space="preserve">Sustainability &amp; Replication at $110K over 5 years.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2f7a4d"/>
        </w:rPr>
        <w:t xml:space="preserve">Option 2: </w:t>
      </w:r>
      <w:r>
        <w:rPr>
          <w:rFonts w:ascii="Cambria" w:hAnsi="Cambria"/>
          <w:sz w:val="22"/>
        </w:rPr>
        <w:t xml:space="preserve">$80,000 over 5 years, ramped $10K → $14K → $16K → $18K → $22K as advancement work intensifies toward close-out.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8a6d18"/>
        </w:rPr>
        <w:t xml:space="preserve">Why: </w:t>
      </w:r>
      <w:r>
        <w:rPr>
          <w:rFonts w:ascii="Cambria" w:hAnsi="Cambria"/>
          <w:sz w:val="22"/>
          <w:i/>
        </w:rPr>
        <w:t xml:space="preserve">A ramping sustainability curve tells reviewers the project is planning for life after the grant.</w:t>
      </w:r>
    </w:p>
    <w:p/>
    <w:p>
      <w:pPr>
        <w:spacing w:before="160" w:after="80"/>
      </w:pPr>
      <w:r>
        <w:rPr>
          <w:rFonts w:ascii="Cambria" w:hAnsi="Cambria"/>
          <w:color w:val="3a1c64"/>
          <w:sz w:val="24"/>
          <w:b/>
        </w:rPr>
        <w:t xml:space="preserve">Move 8. Technology front-loaded, dissemination back-loaded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7a6e58"/>
        </w:rPr>
        <w:t xml:space="preserve">Option 1: </w:t>
      </w:r>
      <w:r>
        <w:rPr>
          <w:rFonts w:ascii="Cambria" w:hAnsi="Cambria"/>
          <w:sz w:val="22"/>
        </w:rPr>
        <w:t xml:space="preserve">Technology declined $20K → $14K; Communications grew $16K → $20K.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2f7a4d"/>
        </w:rPr>
        <w:t xml:space="preserve">Option 2: </w:t>
      </w:r>
      <w:r>
        <w:rPr>
          <w:rFonts w:ascii="Cambria" w:hAnsi="Cambria"/>
          <w:sz w:val="22"/>
        </w:rPr>
        <w:t xml:space="preserve">Technology amplified front-loading: $22K → $8K (build infrastructure once). Communications curve unchanged in shape ($16K → $20K).</w:t>
      </w:r>
    </w:p>
    <w:p>
      <w:pPr>
        <w:spacing w:after="120" w:line="300" w:lineRule="auto"/>
      </w:pPr>
      <w:r>
        <w:rPr>
          <w:rFonts w:ascii="Cambria" w:hAnsi="Cambria"/>
          <w:sz w:val="22"/>
          <w:b/>
          <w:color w:val="8a6d18"/>
        </w:rPr>
        <w:t xml:space="preserve">Why: </w:t>
      </w:r>
      <w:r>
        <w:rPr>
          <w:rFonts w:ascii="Cambria" w:hAnsi="Cambria"/>
          <w:sz w:val="22"/>
          <w:i/>
        </w:rPr>
        <w:t xml:space="preserve">Hybrid infrastructure investment makes sense in Year 1; once the LMS, streaming, and recording stack is set, ongoing costs drop to maintenance. Dissemination naturally grows with the project's body of work.</w:t>
      </w:r>
    </w:p>
    <w:p/>
    <w:p>
      <w:pPr>
        <w:spacing w:before="240" w:after="60"/>
      </w:pPr>
      <w:r>
        <w:rPr>
          <w:rFonts w:ascii="Arial" w:hAnsi="Arial"/>
          <w:color w:val="8a6d18"/>
          <w:sz w:val="16"/>
          <w:b/>
          <w:caps/>
          <w:spacing w:val="60"/>
        </w:rPr>
        <w:t xml:space="preserve">B. Personnel Table — Lilly Required Format</w:t>
      </w:r>
    </w:p>
    <w:p>
      <w:pPr>
        <w:spacing w:after="120" w:line="300" w:lineRule="auto"/>
      </w:pPr>
      <w:r>
        <w:rPr>
          <w:rFonts w:ascii="Cambria" w:hAnsi="Cambria"/>
          <w:sz w:val="22"/>
          <w:i/>
        </w:rPr>
        <w:t xml:space="preserve">Salary bases for institutional leadership are estimates marked </w:t>
      </w:r>
      <w:r>
        <w:rPr>
          <w:rFonts w:ascii="Cambria" w:hAnsi="Cambria"/>
          <w:sz w:val="22"/>
          <w:b/>
          <w:i/>
          <w:color w:val="8a6d18"/>
        </w:rPr>
        <w:t xml:space="preserve">est</w:t>
      </w:r>
      <w:r>
        <w:rPr>
          <w:rFonts w:ascii="Cambria" w:hAnsi="Cambria"/>
          <w:sz w:val="22"/>
          <w:i/>
        </w:rPr>
        <w:t xml:space="preserve"> pending Office of Business and Finance confirmation. Annual figures shown; multiply by 5 for five-year totals.</w:t>
      </w:r>
    </w:p>
    <w:tbl>
      <w:tblPr>
        <w:tblW w:w="10200" w:type="dxa"/>
        <w:tblBorders>
          <w:top w:val="single" w:sz="4" w:color="5A2D91"/>
          <w:bottom w:val="single" w:sz="4" w:color="5A2D91"/>
          <w:left w:val="none" w:sz="0" w:color="auto"/>
          <w:right w:val="none" w:sz="0" w:color="auto"/>
          <w:insideH w:val="single" w:sz="2" w:color="d8d3c5"/>
          <w:insideV w:val="none" w:sz="0" w:color="auto"/>
        </w:tblBorders>
      </w:tblPr>
      <w:tblGrid>
        <w:gridCol w:w="3400"/>
        <w:gridCol w:w="1200"/>
        <w:gridCol w:w="800"/>
        <w:gridCol w:w="1200"/>
        <w:gridCol w:w="1200"/>
        <w:gridCol w:w="1400"/>
        <w:gridCol w:w="1000"/>
      </w:tblGrid>
      <w:tr>
        <w:tc>
          <w:tcPr>
            <w:tcW w:w="3400" w:type="dxa"/>
            <w:shd w:val="clear" w:color="auto" w:fill="5A2D9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  <w:color w:val="FFFFFF"/>
                <w:b/>
                <w:caps/>
                <w:spacing w:val="40"/>
              </w:rPr>
              <w:t xml:space="preserve">Name &amp; Title</w:t>
            </w:r>
          </w:p>
        </w:tc>
        <w:tc>
          <w:tcPr>
            <w:tcW w:w="1200" w:type="dxa"/>
            <w:shd w:val="clear" w:color="auto" w:fill="5A2D9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  <w:color w:val="FFFFFF"/>
                <w:b/>
                <w:caps/>
                <w:spacing w:val="40"/>
              </w:rPr>
              <w:t xml:space="preserve">Base Salary</w:t>
            </w:r>
          </w:p>
        </w:tc>
        <w:tc>
          <w:tcPr>
            <w:tcW w:w="800" w:type="dxa"/>
            <w:shd w:val="clear" w:color="auto" w:fill="5A2D9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  <w:color w:val="FFFFFF"/>
                <w:b/>
                <w:caps/>
                <w:spacing w:val="40"/>
              </w:rPr>
              <w:t xml:space="preserve">% FTE</w:t>
            </w:r>
          </w:p>
        </w:tc>
        <w:tc>
          <w:tcPr>
            <w:tcW w:w="1200" w:type="dxa"/>
            <w:shd w:val="clear" w:color="auto" w:fill="5A2D9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  <w:color w:val="FFFFFF"/>
                <w:b/>
                <w:caps/>
                <w:spacing w:val="40"/>
              </w:rPr>
              <w:t xml:space="preserve">Salary (Annual)</w:t>
            </w:r>
          </w:p>
        </w:tc>
        <w:tc>
          <w:tcPr>
            <w:tcW w:w="1200" w:type="dxa"/>
            <w:shd w:val="clear" w:color="auto" w:fill="5A2D9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  <w:color w:val="FFFFFF"/>
                <w:b/>
                <w:caps/>
                <w:spacing w:val="40"/>
              </w:rPr>
              <w:t xml:space="preserve">Fringe (20%)</w:t>
            </w:r>
          </w:p>
        </w:tc>
        <w:tc>
          <w:tcPr>
            <w:tcW w:w="1400" w:type="dxa"/>
            <w:shd w:val="clear" w:color="auto" w:fill="5A2D9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  <w:color w:val="FFFFFF"/>
                <w:b/>
                <w:caps/>
                <w:spacing w:val="40"/>
              </w:rPr>
              <w:t xml:space="preserve">Annual Total</w:t>
            </w:r>
          </w:p>
        </w:tc>
        <w:tc>
          <w:tcPr>
            <w:tcW w:w="1000" w:type="dxa"/>
            <w:shd w:val="clear" w:color="auto" w:fill="5A2D9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  <w:color w:val="FFFFFF"/>
                <w:b/>
                <w:caps/>
                <w:spacing w:val="40"/>
              </w:rPr>
              <w:t xml:space="preserve">Funding</w:t>
            </w:r>
          </w:p>
        </w:tc>
      </w:tr>
      <w:tr>
        <w:tc>
          <w:tcPr>
            <w:tcW w:w="34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17"/>
                <w:color w:val="5A2D91"/>
                <w:b/>
                <w:caps/>
                <w:spacing w:val="40"/>
              </w:rPr>
              <w:t xml:space="preserve">Institutional Leadership — In-Kind Cost-Share (Team 1)</w:t>
            </w:r>
          </w:p>
        </w:tc>
        <w:tc>
          <w:tcPr>
            <w:tcW w:w="12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17"/>
                <w:color w:val="5A2D91"/>
                <w:b/>
                <w:caps/>
                <w:spacing w:val="40"/>
              </w:rPr>
              <w:t xml:space="preserve"/>
            </w:r>
          </w:p>
        </w:tc>
        <w:tc>
          <w:tcPr>
            <w:tcW w:w="8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17"/>
                <w:color w:val="5A2D91"/>
                <w:b/>
                <w:caps/>
                <w:spacing w:val="40"/>
              </w:rPr>
              <w:t xml:space="preserve"/>
            </w:r>
          </w:p>
        </w:tc>
        <w:tc>
          <w:tcPr>
            <w:tcW w:w="12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17"/>
                <w:color w:val="5A2D91"/>
                <w:b/>
                <w:caps/>
                <w:spacing w:val="40"/>
              </w:rPr>
              <w:t xml:space="preserve"/>
            </w:r>
          </w:p>
        </w:tc>
        <w:tc>
          <w:tcPr>
            <w:tcW w:w="12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17"/>
                <w:color w:val="5A2D91"/>
                <w:b/>
                <w:caps/>
                <w:spacing w:val="40"/>
              </w:rPr>
              <w:t xml:space="preserve"/>
            </w:r>
          </w:p>
        </w:tc>
        <w:tc>
          <w:tcPr>
            <w:tcW w:w="14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17"/>
                <w:color w:val="5A2D91"/>
                <w:b/>
                <w:caps/>
                <w:spacing w:val="40"/>
              </w:rPr>
              <w:t xml:space="preserve"/>
            </w:r>
          </w:p>
        </w:tc>
        <w:tc>
          <w:tcPr>
            <w:tcW w:w="10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17"/>
                <w:color w:val="5A2D91"/>
                <w:b/>
                <w:caps/>
                <w:spacing w:val="40"/>
              </w:rPr>
              <w:t xml:space="preserve"/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20"/>
                <w:color w:val="1c1422"/>
              </w:rPr>
              <w:t xml:space="preserve">Dr. Ammie L. Davis — PI / Executive Director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$215,000 est</w:t>
            </w:r>
          </w:p>
        </w:tc>
        <w:tc>
          <w:tcPr>
            <w:tcW w:w="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10%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$21,500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$4,300</w:t>
            </w:r>
          </w:p>
        </w:tc>
        <w:tc>
          <w:tcPr>
            <w:tcW w:w="1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$25,800</w:t>
            </w:r>
          </w:p>
        </w:tc>
        <w:tc>
          <w:tcPr>
            <w:tcW w:w="10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In-kind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20"/>
                <w:color w:val="1c1422"/>
              </w:rPr>
              <w:t xml:space="preserve">Dr. Buford — Co-Principal Investigator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$160,000 est</w:t>
            </w:r>
          </w:p>
        </w:tc>
        <w:tc>
          <w:tcPr>
            <w:tcW w:w="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10%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$16,000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$3,200</w:t>
            </w:r>
          </w:p>
        </w:tc>
        <w:tc>
          <w:tcPr>
            <w:tcW w:w="1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$19,200</w:t>
            </w:r>
          </w:p>
        </w:tc>
        <w:tc>
          <w:tcPr>
            <w:tcW w:w="10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In-kind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20"/>
                <w:color w:val="1c1422"/>
              </w:rPr>
              <w:t xml:space="preserve">Dr. Toks Fashola — PI for Evaluation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$150,000 est</w:t>
            </w:r>
          </w:p>
        </w:tc>
        <w:tc>
          <w:tcPr>
            <w:tcW w:w="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10%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$15,000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$3,000</w:t>
            </w:r>
          </w:p>
        </w:tc>
        <w:tc>
          <w:tcPr>
            <w:tcW w:w="1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$18,000</w:t>
            </w:r>
          </w:p>
        </w:tc>
        <w:tc>
          <w:tcPr>
            <w:tcW w:w="10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In-kind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20"/>
                <w:color w:val="1c1422"/>
              </w:rPr>
              <w:t xml:space="preserve">Dr. Valdes Snipes — Co-PI for Engagement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$140,000 est</w:t>
            </w:r>
          </w:p>
        </w:tc>
        <w:tc>
          <w:tcPr>
            <w:tcW w:w="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15%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$21,000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$4,200</w:t>
            </w:r>
          </w:p>
        </w:tc>
        <w:tc>
          <w:tcPr>
            <w:tcW w:w="1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$25,200</w:t>
            </w:r>
          </w:p>
        </w:tc>
        <w:tc>
          <w:tcPr>
            <w:tcW w:w="10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In-kind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20"/>
                <w:color w:val="1c1422"/>
              </w:rPr>
              <w:t xml:space="preserve">David Austin — Inst. Advancement &amp; Enrollment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$125,000 est</w:t>
            </w:r>
          </w:p>
        </w:tc>
        <w:tc>
          <w:tcPr>
            <w:tcW w:w="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10%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$12,500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$2,500</w:t>
            </w:r>
          </w:p>
        </w:tc>
        <w:tc>
          <w:tcPr>
            <w:tcW w:w="1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$15,000</w:t>
            </w:r>
          </w:p>
        </w:tc>
        <w:tc>
          <w:tcPr>
            <w:tcW w:w="10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In-kind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20"/>
                <w:color w:val="1c1422"/>
                <w:b/>
              </w:rPr>
              <w:t xml:space="preserve">Aliman Neal — Accounting, Operations, Student Svcs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  <w:b/>
              </w:rPr>
              <w:t xml:space="preserve">$95,000 est</w:t>
            </w:r>
          </w:p>
        </w:tc>
        <w:tc>
          <w:tcPr>
            <w:tcW w:w="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  <w:b/>
              </w:rPr>
              <w:t xml:space="preserve">5%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  <w:b/>
              </w:rPr>
              <w:t xml:space="preserve">$4,750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  <w:b/>
              </w:rPr>
              <w:t xml:space="preserve">$950</w:t>
            </w:r>
          </w:p>
        </w:tc>
        <w:tc>
          <w:tcPr>
            <w:tcW w:w="1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  <w:b/>
              </w:rPr>
              <w:t xml:space="preserve">$5,700</w:t>
            </w:r>
          </w:p>
        </w:tc>
        <w:tc>
          <w:tcPr>
            <w:tcW w:w="10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  <w:b/>
              </w:rPr>
              <w:t xml:space="preserve">In-kind</w:t>
            </w:r>
          </w:p>
        </w:tc>
      </w:tr>
      <w:tr>
        <w:tc>
          <w:tcPr>
            <w:tcW w:w="34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17"/>
                <w:color w:val="5A2D91"/>
                <w:b/>
                <w:caps/>
                <w:spacing w:val="40"/>
              </w:rPr>
              <w:t xml:space="preserve">Subtotal · In-Kind Cost-Share</w:t>
            </w:r>
          </w:p>
        </w:tc>
        <w:tc>
          <w:tcPr>
            <w:tcW w:w="12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17"/>
                <w:color w:val="5A2D91"/>
                <w:b/>
                <w:caps/>
                <w:spacing w:val="40"/>
              </w:rPr>
              <w:t xml:space="preserve">—</w:t>
            </w:r>
          </w:p>
        </w:tc>
        <w:tc>
          <w:tcPr>
            <w:tcW w:w="8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17"/>
                <w:color w:val="5A2D91"/>
                <w:b/>
                <w:caps/>
                <w:spacing w:val="40"/>
              </w:rPr>
              <w:t xml:space="preserve">60%</w:t>
            </w:r>
          </w:p>
        </w:tc>
        <w:tc>
          <w:tcPr>
            <w:tcW w:w="12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17"/>
                <w:color w:val="5A2D91"/>
                <w:b/>
                <w:caps/>
                <w:spacing w:val="40"/>
              </w:rPr>
              <w:t xml:space="preserve">$90,750</w:t>
            </w:r>
          </w:p>
        </w:tc>
        <w:tc>
          <w:tcPr>
            <w:tcW w:w="12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17"/>
                <w:color w:val="5A2D91"/>
                <w:b/>
                <w:caps/>
                <w:spacing w:val="40"/>
              </w:rPr>
              <w:t xml:space="preserve">$18,150</w:t>
            </w:r>
          </w:p>
        </w:tc>
        <w:tc>
          <w:tcPr>
            <w:tcW w:w="14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17"/>
                <w:color w:val="5A2D91"/>
                <w:b/>
                <w:caps/>
                <w:spacing w:val="40"/>
              </w:rPr>
              <w:t xml:space="preserve">$108,900</w:t>
            </w:r>
          </w:p>
        </w:tc>
        <w:tc>
          <w:tcPr>
            <w:tcW w:w="10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17"/>
                <w:color w:val="5A2D91"/>
                <w:b/>
                <w:caps/>
                <w:spacing w:val="40"/>
              </w:rPr>
              <w:t xml:space="preserve">—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20"/>
                <w:color w:val="1c1422"/>
              </w:rPr>
              <w:t xml:space="preserve">Grant-Funded Operational Staff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/>
            </w:r>
          </w:p>
        </w:tc>
        <w:tc>
          <w:tcPr>
            <w:tcW w:w="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/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/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/>
            </w:r>
          </w:p>
        </w:tc>
        <w:tc>
          <w:tcPr>
            <w:tcW w:w="1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/>
            </w:r>
          </w:p>
        </w:tc>
        <w:tc>
          <w:tcPr>
            <w:tcW w:w="10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/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20"/>
                <w:color w:val="1c1422"/>
              </w:rPr>
              <w:t xml:space="preserve">Director of Christian Practices &amp; Formation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$80,000</w:t>
            </w:r>
          </w:p>
        </w:tc>
        <w:tc>
          <w:tcPr>
            <w:tcW w:w="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100%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$80,000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$16,000</w:t>
            </w:r>
          </w:p>
        </w:tc>
        <w:tc>
          <w:tcPr>
            <w:tcW w:w="1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$96,000</w:t>
            </w:r>
          </w:p>
        </w:tc>
        <w:tc>
          <w:tcPr>
            <w:tcW w:w="10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Grant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20"/>
                <w:color w:val="1c1422"/>
              </w:rPr>
              <w:t xml:space="preserve">Program Manager / Operations Coordinator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$50,000</w:t>
            </w:r>
          </w:p>
        </w:tc>
        <w:tc>
          <w:tcPr>
            <w:tcW w:w="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100%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$50,000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$10,000</w:t>
            </w:r>
          </w:p>
        </w:tc>
        <w:tc>
          <w:tcPr>
            <w:tcW w:w="1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$60,000</w:t>
            </w:r>
          </w:p>
        </w:tc>
        <w:tc>
          <w:tcPr>
            <w:tcW w:w="10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Grant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20"/>
                <w:color w:val="1c1422"/>
              </w:rPr>
              <w:t xml:space="preserve">Communications &amp; Dissemination Specialist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$50,000</w:t>
            </w:r>
          </w:p>
        </w:tc>
        <w:tc>
          <w:tcPr>
            <w:tcW w:w="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50%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$25,000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$5,000</w:t>
            </w:r>
          </w:p>
        </w:tc>
        <w:tc>
          <w:tcPr>
            <w:tcW w:w="1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$30,000</w:t>
            </w:r>
          </w:p>
        </w:tc>
        <w:tc>
          <w:tcPr>
            <w:tcW w:w="10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Grant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20"/>
                <w:color w:val="1c1422"/>
                <w:b/>
              </w:rPr>
              <w:t xml:space="preserve">Participant Engagement &amp; Formation Coordinator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  <w:b/>
              </w:rPr>
              <w:t xml:space="preserve">$50,000</w:t>
            </w:r>
          </w:p>
        </w:tc>
        <w:tc>
          <w:tcPr>
            <w:tcW w:w="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  <w:b/>
              </w:rPr>
              <w:t xml:space="preserve">30%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  <w:b/>
              </w:rPr>
              <w:t xml:space="preserve">$15,000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  <w:b/>
              </w:rPr>
              <w:t xml:space="preserve">$3,000</w:t>
            </w:r>
          </w:p>
        </w:tc>
        <w:tc>
          <w:tcPr>
            <w:tcW w:w="1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  <w:b/>
              </w:rPr>
              <w:t xml:space="preserve">$18,000</w:t>
            </w:r>
          </w:p>
        </w:tc>
        <w:tc>
          <w:tcPr>
            <w:tcW w:w="10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  <w:b/>
              </w:rPr>
              <w:t xml:space="preserve">Grant</w:t>
            </w:r>
          </w:p>
        </w:tc>
      </w:tr>
      <w:tr>
        <w:tc>
          <w:tcPr>
            <w:tcW w:w="34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20"/>
                <w:color w:val="5A2D91"/>
                <w:b/>
              </w:rPr>
              <w:t xml:space="preserve">Assessment &amp; Evaluation Coordinator</w:t>
            </w:r>
          </w:p>
        </w:tc>
        <w:tc>
          <w:tcPr>
            <w:tcW w:w="12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5A2D91"/>
                <w:b/>
              </w:rPr>
              <w:t xml:space="preserve">$50,000</w:t>
            </w:r>
          </w:p>
        </w:tc>
        <w:tc>
          <w:tcPr>
            <w:tcW w:w="8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5A2D91"/>
                <w:b/>
              </w:rPr>
              <w:t xml:space="preserve">20%</w:t>
            </w:r>
          </w:p>
        </w:tc>
        <w:tc>
          <w:tcPr>
            <w:tcW w:w="12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5A2D91"/>
                <w:b/>
              </w:rPr>
              <w:t xml:space="preserve">$10,000</w:t>
            </w:r>
          </w:p>
        </w:tc>
        <w:tc>
          <w:tcPr>
            <w:tcW w:w="12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5A2D91"/>
                <w:b/>
              </w:rPr>
              <w:t xml:space="preserve">$2,000</w:t>
            </w:r>
          </w:p>
        </w:tc>
        <w:tc>
          <w:tcPr>
            <w:tcW w:w="14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5A2D91"/>
                <w:b/>
              </w:rPr>
              <w:t xml:space="preserve">$12,000</w:t>
            </w:r>
          </w:p>
        </w:tc>
        <w:tc>
          <w:tcPr>
            <w:tcW w:w="1000" w:type="dxa"/>
            <w:shd w:val="clear" w:color="auto" w:fill="f5ef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5A2D91"/>
                <w:b/>
              </w:rPr>
              <w:t xml:space="preserve">Grant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20"/>
                <w:color w:val="1c1422"/>
              </w:rPr>
              <w:t xml:space="preserve">Subtotal · Grant-Funded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—</w:t>
            </w:r>
          </w:p>
        </w:tc>
        <w:tc>
          <w:tcPr>
            <w:tcW w:w="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300%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$180,000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$36,000</w:t>
            </w:r>
          </w:p>
        </w:tc>
        <w:tc>
          <w:tcPr>
            <w:tcW w:w="1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$216,000</w:t>
            </w:r>
          </w:p>
        </w:tc>
        <w:tc>
          <w:tcPr>
            <w:tcW w:w="10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—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20"/>
                <w:color w:val="1c1422"/>
              </w:rPr>
              <w:t xml:space="preserve">PERSONNEL TOTAL · ANNUAL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—</w:t>
            </w:r>
          </w:p>
        </w:tc>
        <w:tc>
          <w:tcPr>
            <w:tcW w:w="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360%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$270,750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$54,150</w:t>
            </w:r>
          </w:p>
        </w:tc>
        <w:tc>
          <w:tcPr>
            <w:tcW w:w="14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$324,900</w:t>
            </w:r>
          </w:p>
        </w:tc>
        <w:tc>
          <w:tcPr>
            <w:tcW w:w="10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mbria" w:hAnsi="Cambria"/>
                <w:sz w:val="20"/>
                <w:color w:val="1c1422"/>
              </w:rPr>
              <w:t xml:space="preserve">—</w:t>
            </w:r>
          </w:p>
        </w:tc>
      </w:tr>
    </w:tbl>
    <w:p/>
    <w:p>
      <w:pPr>
        <w:spacing w:before="240" w:after="60"/>
      </w:pPr>
      <w:r>
        <w:rPr>
          <w:rFonts w:ascii="Arial" w:hAnsi="Arial"/>
          <w:color w:val="8a6d18"/>
          <w:sz w:val="16"/>
          <w:b/>
          <w:caps/>
          <w:spacing w:val="60"/>
        </w:rPr>
        <w:t xml:space="preserve">C. Sub-Award Structure</w:t>
      </w:r>
    </w:p>
    <w:p>
      <w:pPr>
        <w:spacing w:after="120" w:line="300" w:lineRule="auto"/>
      </w:pPr>
      <w:r>
        <w:rPr>
          <w:rFonts w:ascii="Cambria" w:hAnsi="Cambria"/>
          <w:sz w:val="22"/>
        </w:rPr>
        <w:t xml:space="preserve">Each partner sub-award is documented by a Partner Engagement Agreement (PEA) — a one to two page letter on partner letterhead naming the scope, deliverables, point person, and dollar amount. PEAs are Lilly's accepted lightweight alternative to formal MOUs for partners under $250,000 total.</w:t>
      </w:r>
    </w:p>
    <w:p>
      <w:pPr>
        <w:spacing w:before="160" w:after="80"/>
      </w:pPr>
      <w:r>
        <w:rPr>
          <w:rFonts w:ascii="Cambria" w:hAnsi="Cambria"/>
          <w:color w:val="3a1c64"/>
          <w:sz w:val="24"/>
          <w:b/>
        </w:rPr>
        <w:t xml:space="preserve">Sixth Episcopal District AME — $100,000 (5-year sub-award)</w:t>
      </w:r>
    </w:p>
    <w:p>
      <w:pPr>
        <w:spacing w:after="120" w:line="300" w:lineRule="auto"/>
      </w:pPr>
      <w:r>
        <w:rPr>
          <w:rFonts w:ascii="Cambria" w:hAnsi="Cambria"/>
          <w:sz w:val="22"/>
        </w:rPr>
        <w:t xml:space="preserve">Scope: Clergy engagement, women-in-ministry leadership development (JLWLA partnership), congregational partnerships, regional formation gatherings. Internal split: $60,000 Partner Stipend + $40,000 Consultant Fees.</w:t>
      </w:r>
    </w:p>
    <w:p>
      <w:pPr>
        <w:spacing w:before="160" w:after="80"/>
      </w:pPr>
      <w:r>
        <w:rPr>
          <w:rFonts w:ascii="Cambria" w:hAnsi="Cambria"/>
          <w:color w:val="3a1c64"/>
          <w:sz w:val="24"/>
          <w:b/>
        </w:rPr>
        <w:t xml:space="preserve">Salvation and Social Justice — $80,000 (5-year sub-award)</w:t>
      </w:r>
    </w:p>
    <w:p>
      <w:pPr>
        <w:spacing w:after="120" w:line="300" w:lineRule="auto"/>
      </w:pPr>
      <w:r>
        <w:rPr>
          <w:rFonts w:ascii="Cambria" w:hAnsi="Cambria"/>
          <w:sz w:val="22"/>
        </w:rPr>
        <w:t xml:space="preserve">Scope: Public theology engagement, justice-centered Christian practices, civic engagement workshops, public witness formation (TIPRSS alignment). Internal split: $50,000 Partner Stipend + $30,000 Consultant Fees.</w:t>
      </w:r>
    </w:p>
    <w:p>
      <w:pPr>
        <w:spacing w:before="160" w:after="80"/>
      </w:pPr>
      <w:r>
        <w:rPr>
          <w:rFonts w:ascii="Cambria" w:hAnsi="Cambria"/>
          <w:color w:val="3a1c64"/>
          <w:sz w:val="24"/>
          <w:b/>
        </w:rPr>
        <w:t xml:space="preserve">Sankofa CPE LLC — $200,000 (5-year sub-award)</w:t>
      </w:r>
    </w:p>
    <w:p>
      <w:pPr>
        <w:spacing w:after="120" w:line="300" w:lineRule="auto"/>
      </w:pPr>
      <w:r>
        <w:rPr>
          <w:rFonts w:ascii="Cambria" w:hAnsi="Cambria"/>
          <w:sz w:val="22"/>
        </w:rPr>
        <w:t xml:space="preserve">Scope: ACPE-accredited Clinical Pastoral Education partnership. Clinical formation facilitators, spiritual care mentors, reflection groups, ACPE supervision. Internal split: $120,000 ACPE supervision + $80,000 facilitator fees.</w:t>
      </w:r>
    </w:p>
    <w:p>
      <w:pPr>
        <w:spacing w:before="240" w:after="60"/>
      </w:pPr>
      <w:r>
        <w:rPr>
          <w:rFonts w:ascii="Arial" w:hAnsi="Arial"/>
          <w:color w:val="8a6d18"/>
          <w:sz w:val="16"/>
          <w:b/>
          <w:caps/>
          <w:spacing w:val="60"/>
        </w:rPr>
        <w:t xml:space="preserve">D. Risks &amp; Caveats — For Internal Eyes</w:t>
      </w:r>
    </w:p>
    <w:p>
      <w:pPr>
        <w:spacing w:before="160" w:after="80"/>
      </w:pPr>
      <w:r>
        <w:rPr>
          <w:rFonts w:ascii="Cambria" w:hAnsi="Cambria"/>
          <w:color w:val="3a1c64"/>
          <w:sz w:val="24"/>
          <w:b/>
        </w:rPr>
        <w:t xml:space="preserve">R1. Salary bases marked 'est' need confirmation</w:t>
      </w:r>
    </w:p>
    <w:p>
      <w:pPr>
        <w:spacing w:after="120" w:line="300" w:lineRule="auto"/>
      </w:pPr>
      <w:r>
        <w:rPr>
          <w:rFonts w:ascii="Cambria" w:hAnsi="Cambria"/>
          <w:sz w:val="22"/>
        </w:rPr>
        <w:t xml:space="preserve">The Office of Business and Finance (Karen Jordan) should verify the six institutional leadership base salaries used in the in-kind calculation. If actuals differ materially, the in-kind total shifts but the grant request does not change.</w:t>
      </w:r>
    </w:p>
    <w:p>
      <w:pPr>
        <w:spacing w:before="160" w:after="80"/>
      </w:pPr>
      <w:r>
        <w:rPr>
          <w:rFonts w:ascii="Cambria" w:hAnsi="Cambria"/>
          <w:color w:val="3a1c64"/>
          <w:sz w:val="24"/>
          <w:b/>
        </w:rPr>
        <w:t xml:space="preserve">R2. Partner Engagement Agreements must be in hand at submission</w:t>
      </w:r>
    </w:p>
    <w:p>
      <w:pPr>
        <w:spacing w:after="120" w:line="300" w:lineRule="auto"/>
      </w:pPr>
      <w:r>
        <w:rPr>
          <w:rFonts w:ascii="Cambria" w:hAnsi="Cambria"/>
          <w:sz w:val="22"/>
        </w:rPr>
        <w:t xml:space="preserve">Three PEAs needed: Sixth Episcopal District AME, Salvation and Social Justice, and Sankofa CPE LLC. Each signed by an authorized officer on partner letterhead. Drafts can be ready in days; signatures depend on partner cycle.</w:t>
      </w:r>
    </w:p>
    <w:p>
      <w:pPr>
        <w:spacing w:before="160" w:after="80"/>
      </w:pPr>
      <w:r>
        <w:rPr>
          <w:rFonts w:ascii="Cambria" w:hAnsi="Cambria"/>
          <w:color w:val="3a1c64"/>
          <w:sz w:val="24"/>
          <w:b/>
        </w:rPr>
        <w:t xml:space="preserve">R3. Five named grant-funded positions imply a hiring plan</w:t>
      </w:r>
    </w:p>
    <w:p>
      <w:pPr>
        <w:spacing w:after="120" w:line="300" w:lineRule="auto"/>
      </w:pPr>
      <w:r>
        <w:rPr>
          <w:rFonts w:ascii="Cambria" w:hAnsi="Cambria"/>
          <w:sz w:val="22"/>
        </w:rPr>
        <w:t xml:space="preserve">The Lilly award notification triggers a hiring cycle for the Director, Program Manager, and three part-time roles. The narrative should specify a 60–90 day post-award hiring runway so the Year 1 personnel run-rate is realistic.</w:t>
      </w:r>
    </w:p>
    <w:p>
      <w:pPr>
        <w:spacing w:before="160" w:after="80"/>
      </w:pPr>
      <w:r>
        <w:rPr>
          <w:rFonts w:ascii="Cambria" w:hAnsi="Cambria"/>
          <w:color w:val="3a1c64"/>
          <w:sz w:val="24"/>
          <w:b/>
        </w:rPr>
        <w:t xml:space="preserve">R4. Institutional cost-share commits Turner to time-and-effort tracking</w:t>
      </w:r>
    </w:p>
    <w:p>
      <w:pPr>
        <w:spacing w:after="120" w:line="300" w:lineRule="auto"/>
      </w:pPr>
      <w:r>
        <w:rPr>
          <w:rFonts w:ascii="Cambria" w:hAnsi="Cambria"/>
          <w:sz w:val="22"/>
        </w:rPr>
        <w:t xml:space="preserve">The six in-kind leaders need to log effort against the project on Turner's standard time-and-effort form quarterly. This is a real institutional commitment, not a paper one — but it is precisely the commitment Lilly is rewarding by allowing cost-share to count.</w:t>
      </w:r>
    </w:p>
    <w:p>
      <w:pPr>
        <w:spacing w:before="240" w:after="60"/>
      </w:pPr>
      <w:r>
        <w:rPr>
          <w:rFonts w:ascii="Arial" w:hAnsi="Arial"/>
          <w:color w:val="8a6d18"/>
          <w:sz w:val="16"/>
          <w:b/>
          <w:caps/>
          <w:spacing w:val="60"/>
        </w:rPr>
        <w:t xml:space="preserve">Net Effect</w:t>
      </w:r>
    </w:p>
    <w:p>
      <w:pPr>
        <w:spacing w:after="120" w:line="300" w:lineRule="auto"/>
      </w:pPr>
      <w:r>
        <w:rPr>
          <w:rFonts w:ascii="Cambria" w:hAnsi="Cambria"/>
          <w:sz w:val="22"/>
          <w:b/>
        </w:rPr>
        <w:t xml:space="preserve">Total request unchanged at </w:t>
      </w:r>
      <w:r>
        <w:rPr>
          <w:rFonts w:ascii="Cambria" w:hAnsi="Cambria"/>
          <w:sz w:val="22"/>
          <w:b/>
          <w:color w:val="5A2D91"/>
        </w:rPr>
        <w:t xml:space="preserve">$2,500,000</w:t>
      </w:r>
      <w:r>
        <w:rPr>
          <w:rFonts w:ascii="Cambria" w:hAnsi="Cambria"/>
          <w:sz w:val="22"/>
          <w:b/>
        </w:rPr>
        <w:t xml:space="preserve">. Net additions visible to reviewers: approximately </w:t>
      </w:r>
      <w:r>
        <w:rPr>
          <w:rFonts w:ascii="Cambria" w:hAnsi="Cambria"/>
          <w:sz w:val="22"/>
          <w:b/>
          <w:color w:val="5A2D91"/>
        </w:rPr>
        <w:t xml:space="preserve">$508,750</w:t>
      </w:r>
      <w:r>
        <w:rPr>
          <w:rFonts w:ascii="Cambria" w:hAnsi="Cambria"/>
          <w:sz w:val="22"/>
          <w:b/>
        </w:rPr>
        <w:t xml:space="preserve"> across indirect uplift (~$45K), partner envelope growth (~$45K from Option 1), and institutional in-kind cost-share (~$453,750 over 5 years) now named and quantified. Eight reviewer-score moves; same dollars, structurally repositioned.</w:t>
      </w: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  <w:color w:val="C9A22B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mbria" w:hAnsi="Cambria"/>
        <w:sz w:val="22"/>
        <w:color w:val="1c14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</Relationships>
</file>