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F122" w14:textId="77777777" w:rsidR="003562DF" w:rsidRDefault="00000000">
      <w:pPr>
        <w:spacing w:before="720" w:after="120"/>
        <w:jc w:val="center"/>
      </w:pPr>
      <w:r>
        <w:rPr>
          <w:b/>
          <w:bCs/>
          <w:caps/>
          <w:color w:val="C9A84C"/>
          <w:sz w:val="22"/>
          <w:szCs w:val="22"/>
        </w:rPr>
        <w:t>TURNER THEOLOGICAL SEMINARY</w:t>
      </w:r>
    </w:p>
    <w:p w14:paraId="0437A33C" w14:textId="77777777" w:rsidR="003562DF" w:rsidRDefault="00000000">
      <w:pPr>
        <w:spacing w:after="80"/>
        <w:jc w:val="center"/>
      </w:pPr>
      <w:r>
        <w:rPr>
          <w:color w:val="2E2E2E"/>
          <w:sz w:val="21"/>
          <w:szCs w:val="21"/>
        </w:rPr>
        <w:t>Office of Business &amp; Finance</w:t>
      </w:r>
    </w:p>
    <w:p w14:paraId="657DEE44" w14:textId="77777777" w:rsidR="003562DF" w:rsidRDefault="00000000">
      <w:pPr>
        <w:pStyle w:val="Heading1"/>
        <w:jc w:val="center"/>
      </w:pPr>
      <w:r>
        <w:t>FY2025 Audit Presentation</w:t>
      </w:r>
    </w:p>
    <w:p w14:paraId="2B2A8CC2" w14:textId="77777777" w:rsidR="003562DF" w:rsidRDefault="00000000">
      <w:pPr>
        <w:spacing w:after="80"/>
        <w:jc w:val="center"/>
      </w:pPr>
      <w:r>
        <w:rPr>
          <w:color w:val="2E2E2E"/>
          <w:sz w:val="21"/>
          <w:szCs w:val="21"/>
        </w:rPr>
        <w:t xml:space="preserve">Board of </w:t>
      </w:r>
      <w:proofErr w:type="gramStart"/>
      <w:r>
        <w:rPr>
          <w:color w:val="2E2E2E"/>
          <w:sz w:val="21"/>
          <w:szCs w:val="21"/>
        </w:rPr>
        <w:t>Trustees  ·</w:t>
      </w:r>
      <w:proofErr w:type="gramEnd"/>
      <w:r>
        <w:rPr>
          <w:color w:val="2E2E2E"/>
          <w:sz w:val="21"/>
          <w:szCs w:val="21"/>
        </w:rPr>
        <w:t xml:space="preserve">  April 27, 2026</w:t>
      </w:r>
    </w:p>
    <w:p w14:paraId="1A66B117" w14:textId="77777777" w:rsidR="003562DF" w:rsidRDefault="003562DF">
      <w:pPr>
        <w:pBdr>
          <w:bottom w:val="single" w:sz="8" w:space="1" w:color="6B2D8A"/>
        </w:pBdr>
        <w:spacing w:before="80" w:after="80"/>
      </w:pPr>
    </w:p>
    <w:p w14:paraId="70A48530" w14:textId="77777777" w:rsidR="003562DF" w:rsidRDefault="00000000">
      <w:pPr>
        <w:spacing w:before="80" w:after="480"/>
        <w:jc w:val="center"/>
      </w:pPr>
      <w:r>
        <w:rPr>
          <w:b/>
          <w:bCs/>
          <w:color w:val="2E2E2E"/>
          <w:sz w:val="22"/>
          <w:szCs w:val="22"/>
        </w:rPr>
        <w:t>Presenter Talking Points &amp; Narrative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442128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6E3"/>
            <w:tcMar>
              <w:top w:w="120" w:type="dxa"/>
              <w:left w:w="160" w:type="dxa"/>
              <w:bottom w:w="120" w:type="dxa"/>
              <w:right w:w="160" w:type="dxa"/>
            </w:tcMar>
          </w:tcPr>
          <w:p w14:paraId="7296675D" w14:textId="77777777" w:rsidR="003562DF" w:rsidRDefault="00000000">
            <w:pPr>
              <w:spacing w:after="60"/>
            </w:pPr>
            <w:r>
              <w:rPr>
                <w:b/>
                <w:bCs/>
                <w:caps/>
                <w:color w:val="2E2E2E"/>
              </w:rPr>
              <w:t>HOW TO USE THIS DOCUMENT</w:t>
            </w:r>
          </w:p>
          <w:p w14:paraId="0F084E67" w14:textId="77777777" w:rsidR="003562DF" w:rsidRDefault="00000000">
            <w:pPr>
              <w:spacing w:after="40"/>
            </w:pPr>
            <w:r>
              <w:rPr>
                <w:color w:val="2E2E2E"/>
                <w:sz w:val="19"/>
                <w:szCs w:val="19"/>
              </w:rPr>
              <w:t xml:space="preserve">This document provides the narrative framework for each slide in the FY2025 Audited Financial Statements presentation. It is organized by slide </w:t>
            </w:r>
            <w:proofErr w:type="gramStart"/>
            <w:r>
              <w:rPr>
                <w:color w:val="2E2E2E"/>
                <w:sz w:val="19"/>
                <w:szCs w:val="19"/>
              </w:rPr>
              <w:t>number</w:t>
            </w:r>
            <w:proofErr w:type="gramEnd"/>
            <w:r>
              <w:rPr>
                <w:color w:val="2E2E2E"/>
                <w:sz w:val="19"/>
                <w:szCs w:val="19"/>
              </w:rPr>
              <w:t xml:space="preserve"> with key talking points, financial context, and anticipated board questions with suggested responses. The CFO leads financial slides (2–7); the Director of Business &amp; Finance leads the YTD and strategic momentum sections (8–9).</w:t>
            </w:r>
          </w:p>
          <w:p w14:paraId="4CB48362" w14:textId="77777777" w:rsidR="003562DF" w:rsidRDefault="00000000">
            <w:pPr>
              <w:spacing w:before="40"/>
            </w:pPr>
            <w:r>
              <w:rPr>
                <w:b/>
                <w:bCs/>
                <w:color w:val="6B2D8A"/>
                <w:sz w:val="19"/>
                <w:szCs w:val="19"/>
              </w:rPr>
              <w:t>Confidential — For Internal Use Only</w:t>
            </w:r>
          </w:p>
        </w:tc>
      </w:tr>
    </w:tbl>
    <w:p w14:paraId="4725725E" w14:textId="77777777" w:rsidR="003562DF" w:rsidRDefault="003562DF">
      <w:pPr>
        <w:spacing w:before="80" w:after="80"/>
      </w:pPr>
    </w:p>
    <w:p w14:paraId="02A15C77" w14:textId="77777777" w:rsidR="003562DF" w:rsidRDefault="00000000">
      <w:pPr>
        <w:pStyle w:val="Heading2"/>
        <w:spacing w:before="360"/>
      </w:pPr>
      <w:r>
        <w:rPr>
          <w:color w:val="C9A84C"/>
        </w:rPr>
        <w:t xml:space="preserve">SLIDE </w:t>
      </w:r>
      <w:proofErr w:type="gramStart"/>
      <w:r>
        <w:rPr>
          <w:color w:val="C9A84C"/>
        </w:rPr>
        <w:t>1  ·</w:t>
      </w:r>
      <w:proofErr w:type="gramEnd"/>
      <w:r>
        <w:rPr>
          <w:color w:val="C9A84C"/>
        </w:rPr>
        <w:t xml:space="preserve">  </w:t>
      </w:r>
      <w:r>
        <w:t>COVER — AUDITED FINANCIAL STATEMENTS</w:t>
      </w:r>
    </w:p>
    <w:p w14:paraId="0364EC51" w14:textId="77777777" w:rsidR="003562DF" w:rsidRDefault="003562DF">
      <w:pPr>
        <w:pBdr>
          <w:bottom w:val="single" w:sz="8" w:space="1" w:color="6B2D8A"/>
        </w:pBdr>
        <w:spacing w:before="80" w:after="80"/>
      </w:pPr>
    </w:p>
    <w:p w14:paraId="51CAA3E9" w14:textId="77777777" w:rsidR="003562DF" w:rsidRDefault="00000000">
      <w:pPr>
        <w:spacing w:before="160" w:after="60"/>
      </w:pPr>
      <w:r>
        <w:rPr>
          <w:b/>
          <w:bCs/>
          <w:caps/>
          <w:color w:val="6B2D8A"/>
        </w:rPr>
        <w:t>Opening Remarks</w:t>
      </w:r>
    </w:p>
    <w:p w14:paraId="65FF1339" w14:textId="77777777" w:rsidR="003562DF" w:rsidRDefault="00000000">
      <w:pPr>
        <w:spacing w:before="40" w:after="80"/>
      </w:pPr>
      <w:r>
        <w:rPr>
          <w:color w:val="2E2E2E"/>
        </w:rPr>
        <w:t>Introduce the presentation briefly. The tone should be confident and forward-looking — the institution completed its audit on schedule, received the highest possible opinion, and is presenting with full transparency.</w:t>
      </w:r>
    </w:p>
    <w:p w14:paraId="059170B7" w14:textId="77777777" w:rsidR="003562DF" w:rsidRDefault="00000000">
      <w:pPr>
        <w:spacing w:before="160" w:after="60"/>
      </w:pPr>
      <w:r>
        <w:rPr>
          <w:b/>
          <w:bCs/>
          <w:caps/>
          <w:color w:val="6B2D8A"/>
        </w:rPr>
        <w:t>Suggested Opening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3B9063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BF9"/>
            <w:tcMar>
              <w:top w:w="100" w:type="dxa"/>
              <w:left w:w="160" w:type="dxa"/>
              <w:bottom w:w="100" w:type="dxa"/>
              <w:right w:w="160" w:type="dxa"/>
            </w:tcMar>
          </w:tcPr>
          <w:p w14:paraId="379DCB63" w14:textId="77777777" w:rsidR="003562DF" w:rsidRDefault="00000000">
            <w:r>
              <w:rPr>
                <w:i/>
                <w:iCs/>
                <w:color w:val="2E2E2E"/>
              </w:rPr>
              <w:t>"Good morning. On behalf of the Office of Business and Finance, we are pleased to present the FY2025 Audited Financial Statements for Turner Theological Seminary for the year ended June 30, 2025. The audit was completed and the opinion issued by Wesley Peachtree Group on March 2, 2026. We will walk through each component of the financial statements, address the management letter, and close with a brief look at where the institution stands today."</w:t>
            </w:r>
          </w:p>
        </w:tc>
      </w:tr>
    </w:tbl>
    <w:p w14:paraId="2D4879E8" w14:textId="77777777" w:rsidR="003562DF" w:rsidRDefault="003562DF">
      <w:pPr>
        <w:spacing w:before="80" w:after="80"/>
      </w:pPr>
    </w:p>
    <w:p w14:paraId="50799704" w14:textId="77777777" w:rsidR="003562DF" w:rsidRDefault="00000000">
      <w:pPr>
        <w:pStyle w:val="Heading2"/>
        <w:spacing w:before="360"/>
      </w:pPr>
      <w:r>
        <w:rPr>
          <w:color w:val="C9A84C"/>
        </w:rPr>
        <w:t xml:space="preserve">SLIDE </w:t>
      </w:r>
      <w:proofErr w:type="gramStart"/>
      <w:r>
        <w:rPr>
          <w:color w:val="C9A84C"/>
        </w:rPr>
        <w:t>2  ·</w:t>
      </w:r>
      <w:proofErr w:type="gramEnd"/>
      <w:r>
        <w:rPr>
          <w:color w:val="C9A84C"/>
        </w:rPr>
        <w:t xml:space="preserve">  </w:t>
      </w:r>
      <w:r>
        <w:t>INDEPENDENT AUDITOR'S OPINION</w:t>
      </w:r>
    </w:p>
    <w:p w14:paraId="63A35735" w14:textId="77777777" w:rsidR="003562DF" w:rsidRDefault="003562DF">
      <w:pPr>
        <w:pBdr>
          <w:bottom w:val="single" w:sz="8" w:space="1" w:color="6B2D8A"/>
        </w:pBdr>
        <w:spacing w:before="80" w:after="80"/>
      </w:pPr>
    </w:p>
    <w:p w14:paraId="0C557588" w14:textId="77777777" w:rsidR="003562DF" w:rsidRDefault="00000000">
      <w:pPr>
        <w:spacing w:before="160" w:after="60"/>
      </w:pPr>
      <w:r>
        <w:rPr>
          <w:b/>
          <w:bCs/>
          <w:caps/>
          <w:color w:val="6B2D8A"/>
        </w:rPr>
        <w:t>Key Points to Make</w:t>
      </w:r>
    </w:p>
    <w:p w14:paraId="458A9DC0" w14:textId="77777777" w:rsidR="003562DF" w:rsidRDefault="00000000">
      <w:pPr>
        <w:pStyle w:val="ListParagraph"/>
        <w:numPr>
          <w:ilvl w:val="0"/>
          <w:numId w:val="2"/>
        </w:numPr>
        <w:spacing w:before="40" w:after="40"/>
      </w:pPr>
      <w:r>
        <w:rPr>
          <w:color w:val="2E2E2E"/>
        </w:rPr>
        <w:t>Wesley Peachtree Group, CPAs &amp; Business Strategists issued the opinion on March 2, 2026.</w:t>
      </w:r>
    </w:p>
    <w:p w14:paraId="71D2A331" w14:textId="77777777" w:rsidR="003562DF" w:rsidRDefault="00000000">
      <w:pPr>
        <w:pStyle w:val="ListParagraph"/>
        <w:numPr>
          <w:ilvl w:val="0"/>
          <w:numId w:val="2"/>
        </w:numPr>
        <w:spacing w:before="40" w:after="40"/>
      </w:pPr>
      <w:r>
        <w:rPr>
          <w:color w:val="2E2E2E"/>
        </w:rPr>
        <w:t>The opinion is unmodified — this is the highest level of assurance an auditor can provide. There are three levels of opinion: unmodified (best), qualified (some exceptions), and adverse (major problems). We received unmodified.</w:t>
      </w:r>
    </w:p>
    <w:p w14:paraId="38CB83D7" w14:textId="77777777" w:rsidR="003562DF" w:rsidRDefault="00000000">
      <w:pPr>
        <w:pStyle w:val="ListParagraph"/>
        <w:numPr>
          <w:ilvl w:val="0"/>
          <w:numId w:val="2"/>
        </w:numPr>
        <w:spacing w:before="40" w:after="40"/>
      </w:pPr>
      <w:r>
        <w:rPr>
          <w:color w:val="2E2E2E"/>
        </w:rPr>
        <w:t>Three specific assurances were provided: the financial position is accurately stated, revenues and expenses are properly recorded, and cash flows are properly presented.</w:t>
      </w:r>
    </w:p>
    <w:p w14:paraId="728D9E74" w14:textId="77777777" w:rsidR="003562DF" w:rsidRDefault="00000000">
      <w:pPr>
        <w:pStyle w:val="ListParagraph"/>
        <w:numPr>
          <w:ilvl w:val="0"/>
          <w:numId w:val="2"/>
        </w:numPr>
        <w:spacing w:before="40" w:after="40"/>
      </w:pPr>
      <w:r>
        <w:rPr>
          <w:color w:val="2E2E2E"/>
        </w:rPr>
        <w:lastRenderedPageBreak/>
        <w:t>This is not automatic. Auditors examine evidence, test internal controls, and verify transactions. An unmodified opinion means they found no material misstatements.</w:t>
      </w:r>
    </w:p>
    <w:p w14:paraId="3E04AFB1" w14:textId="77777777" w:rsidR="003562DF" w:rsidRDefault="003562DF">
      <w:pPr>
        <w:spacing w:before="80" w:after="80"/>
      </w:pPr>
    </w:p>
    <w:p w14:paraId="54D4F456" w14:textId="77777777" w:rsidR="003562DF" w:rsidRDefault="00000000">
      <w:pPr>
        <w:spacing w:before="160" w:after="60"/>
      </w:pPr>
      <w:r>
        <w:rPr>
          <w:b/>
          <w:bCs/>
          <w:caps/>
          <w:color w:val="6B2D8A"/>
        </w:rPr>
        <w:t>Why This Matters for the Board</w:t>
      </w:r>
    </w:p>
    <w:p w14:paraId="08AE7BAF" w14:textId="77777777" w:rsidR="003562DF" w:rsidRDefault="00000000">
      <w:pPr>
        <w:spacing w:before="40" w:after="80"/>
      </w:pPr>
      <w:r>
        <w:rPr>
          <w:color w:val="2E2E2E"/>
        </w:rPr>
        <w:t>The Board has fiduciary responsibility for the institution's financial integrity. An unmodified opinion is the auditors' independent confirmation that the financial statements you are about to review can be relied upon. This is the foundation for every number you will see in this presentation.</w:t>
      </w:r>
    </w:p>
    <w:p w14:paraId="28CBA664"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35EBAB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27BB1E8D" w14:textId="77777777" w:rsidR="003562DF" w:rsidRDefault="00000000">
            <w:pPr>
              <w:spacing w:after="40"/>
            </w:pPr>
            <w:r>
              <w:rPr>
                <w:b/>
                <w:bCs/>
                <w:color w:val="6B2D8A"/>
                <w:sz w:val="19"/>
                <w:szCs w:val="19"/>
              </w:rPr>
              <w:t>Q: Did the auditors have any concerns at all?</w:t>
            </w:r>
          </w:p>
          <w:p w14:paraId="508FC0FE" w14:textId="77777777" w:rsidR="003562DF" w:rsidRDefault="00000000">
            <w:r>
              <w:rPr>
                <w:color w:val="2E2E2E"/>
                <w:sz w:val="19"/>
                <w:szCs w:val="19"/>
              </w:rPr>
              <w:t>A: They issued a management letter with internal control recommendations, which we will cover in the next section. The management letter is separate from the audit opinion — the opinion addresses whether the financial statements are accurate, while the management letter addresses operational improvement recommendations. All management letter findings have been implemented.</w:t>
            </w:r>
          </w:p>
        </w:tc>
      </w:tr>
    </w:tbl>
    <w:p w14:paraId="2D2C093C"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19BF34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0D6B0A22" w14:textId="77777777" w:rsidR="003562DF" w:rsidRDefault="00000000">
            <w:pPr>
              <w:spacing w:after="40"/>
            </w:pPr>
            <w:r>
              <w:rPr>
                <w:b/>
                <w:bCs/>
                <w:color w:val="6B2D8A"/>
                <w:sz w:val="19"/>
                <w:szCs w:val="19"/>
              </w:rPr>
              <w:t>Q: Who is Wesley Peachtree Group?</w:t>
            </w:r>
          </w:p>
          <w:p w14:paraId="5E706AD4" w14:textId="77777777" w:rsidR="003562DF" w:rsidRDefault="00000000">
            <w:r>
              <w:rPr>
                <w:color w:val="2E2E2E"/>
                <w:sz w:val="19"/>
                <w:szCs w:val="19"/>
              </w:rPr>
              <w:t>A: Wesley Peachtree Group, CPAs &amp; Business Strategists, is the Seminary's independent auditor. They are the same firm that conducted the prior year audit, providing consistency in methodology and institutional knowledge.</w:t>
            </w:r>
          </w:p>
        </w:tc>
      </w:tr>
    </w:tbl>
    <w:p w14:paraId="575BC0B3" w14:textId="77777777" w:rsidR="003562DF" w:rsidRDefault="003562DF">
      <w:pPr>
        <w:spacing w:before="80" w:after="80"/>
      </w:pPr>
    </w:p>
    <w:p w14:paraId="75FC78A1" w14:textId="77777777" w:rsidR="003562DF" w:rsidRDefault="00000000">
      <w:r>
        <w:br w:type="page"/>
      </w:r>
    </w:p>
    <w:p w14:paraId="71AC9E03" w14:textId="77777777" w:rsidR="003562DF" w:rsidRDefault="00000000">
      <w:pPr>
        <w:pStyle w:val="Heading2"/>
        <w:spacing w:before="360"/>
      </w:pPr>
      <w:r>
        <w:rPr>
          <w:color w:val="C9A84C"/>
        </w:rPr>
        <w:lastRenderedPageBreak/>
        <w:t xml:space="preserve">SLIDE </w:t>
      </w:r>
      <w:proofErr w:type="gramStart"/>
      <w:r>
        <w:rPr>
          <w:color w:val="C9A84C"/>
        </w:rPr>
        <w:t>3  ·</w:t>
      </w:r>
      <w:proofErr w:type="gramEnd"/>
      <w:r>
        <w:rPr>
          <w:color w:val="C9A84C"/>
        </w:rPr>
        <w:t xml:space="preserve">  </w:t>
      </w:r>
      <w:r>
        <w:t>STATEMENT OF FINANCIAL POSITION</w:t>
      </w:r>
    </w:p>
    <w:p w14:paraId="0636DE17" w14:textId="77777777" w:rsidR="003562DF" w:rsidRDefault="003562DF">
      <w:pPr>
        <w:pBdr>
          <w:bottom w:val="single" w:sz="8" w:space="1" w:color="6B2D8A"/>
        </w:pBdr>
        <w:spacing w:before="80" w:after="80"/>
      </w:pPr>
    </w:p>
    <w:p w14:paraId="01F2DBB8" w14:textId="77777777" w:rsidR="003562DF" w:rsidRDefault="00000000">
      <w:pPr>
        <w:spacing w:before="160" w:after="60"/>
      </w:pPr>
      <w:r>
        <w:rPr>
          <w:b/>
          <w:bCs/>
          <w:caps/>
          <w:color w:val="6B2D8A"/>
        </w:rPr>
        <w:t>The Headline</w:t>
      </w:r>
    </w:p>
    <w:p w14:paraId="5CE3E0A2" w14:textId="77777777" w:rsidR="003562DF" w:rsidRDefault="00000000">
      <w:pPr>
        <w:spacing w:before="40" w:after="80"/>
      </w:pPr>
      <w:r>
        <w:rPr>
          <w:color w:val="2E2E2E"/>
        </w:rPr>
        <w:t xml:space="preserve">Total assets grew by $162,364 year over year — from $1,728,487 to $1,890,851. This happened in a year </w:t>
      </w:r>
      <w:proofErr w:type="gramStart"/>
      <w:r>
        <w:rPr>
          <w:color w:val="2E2E2E"/>
        </w:rPr>
        <w:t>where</w:t>
      </w:r>
      <w:proofErr w:type="gramEnd"/>
      <w:r>
        <w:rPr>
          <w:color w:val="2E2E2E"/>
        </w:rPr>
        <w:t xml:space="preserve"> expenses exceeded revenue, which requires explanation. The growth was driven by capital investment, not revenue surplus, and it was intentional.</w:t>
      </w:r>
    </w:p>
    <w:p w14:paraId="2D2D88F0" w14:textId="77777777" w:rsidR="003562DF" w:rsidRDefault="003562DF">
      <w:pPr>
        <w:spacing w:before="80" w:after="80"/>
      </w:pPr>
    </w:p>
    <w:p w14:paraId="46EB20C0" w14:textId="77777777" w:rsidR="003562DF" w:rsidRDefault="00000000">
      <w:pPr>
        <w:spacing w:before="160" w:after="60"/>
      </w:pPr>
      <w:r>
        <w:rPr>
          <w:b/>
          <w:bCs/>
          <w:caps/>
          <w:color w:val="6B2D8A"/>
        </w:rPr>
        <w:t>Key Points — Assets</w:t>
      </w:r>
    </w:p>
    <w:p w14:paraId="45543D1E" w14:textId="77777777" w:rsidR="003562DF" w:rsidRDefault="00000000">
      <w:pPr>
        <w:pStyle w:val="ListParagraph"/>
        <w:numPr>
          <w:ilvl w:val="0"/>
          <w:numId w:val="2"/>
        </w:numPr>
        <w:spacing w:before="40" w:after="40"/>
      </w:pPr>
      <w:r>
        <w:rPr>
          <w:color w:val="2E2E2E"/>
        </w:rPr>
        <w:t>Cash decreased from $341,566 to $127,330. This is the number that requires the most context. Cash declined because the institution invested in Talbot Hall's physical plant — the investment that is now generating housing revenue. The liquidity picture is broader than cash alone.</w:t>
      </w:r>
    </w:p>
    <w:p w14:paraId="4BB979CB" w14:textId="77777777" w:rsidR="003562DF" w:rsidRDefault="00000000">
      <w:pPr>
        <w:pStyle w:val="ListParagraph"/>
        <w:numPr>
          <w:ilvl w:val="0"/>
          <w:numId w:val="2"/>
        </w:numPr>
        <w:spacing w:before="40" w:after="40"/>
      </w:pPr>
      <w:r>
        <w:rPr>
          <w:color w:val="2E2E2E"/>
        </w:rPr>
        <w:t>Total liquidity is $780,153 when you include accounts receivable of $24,296 and $633,000 available on the line of credit. The institution has meaningful access to working capital.</w:t>
      </w:r>
    </w:p>
    <w:p w14:paraId="25824F0B" w14:textId="77777777" w:rsidR="003562DF" w:rsidRDefault="00000000">
      <w:pPr>
        <w:pStyle w:val="ListParagraph"/>
        <w:numPr>
          <w:ilvl w:val="0"/>
          <w:numId w:val="2"/>
        </w:numPr>
        <w:spacing w:before="40" w:after="40"/>
      </w:pPr>
      <w:r>
        <w:rPr>
          <w:color w:val="2E2E2E"/>
        </w:rPr>
        <w:t>Property and Equipment grew from $1,012,105 to $1,334,204 — an increase of $322,099. This represents the Talbot Hall renovation investment that directly enabled the housing revenue increase.</w:t>
      </w:r>
    </w:p>
    <w:p w14:paraId="131F1ADC" w14:textId="77777777" w:rsidR="003562DF" w:rsidRDefault="00000000">
      <w:pPr>
        <w:pStyle w:val="ListParagraph"/>
        <w:numPr>
          <w:ilvl w:val="0"/>
          <w:numId w:val="2"/>
        </w:numPr>
        <w:spacing w:before="40" w:after="40"/>
      </w:pPr>
      <w:r>
        <w:rPr>
          <w:color w:val="2E2E2E"/>
        </w:rPr>
        <w:t>Endowment grew from $366,950 to $405,021. No distributions were taken from the endowment in FY2025. The growth is entirely from investment returns.</w:t>
      </w:r>
    </w:p>
    <w:p w14:paraId="2B5636CD" w14:textId="77777777" w:rsidR="003562DF" w:rsidRDefault="003562DF">
      <w:pPr>
        <w:spacing w:before="80" w:after="80"/>
      </w:pPr>
    </w:p>
    <w:p w14:paraId="258117E3" w14:textId="77777777" w:rsidR="003562DF" w:rsidRDefault="00000000">
      <w:pPr>
        <w:spacing w:before="160" w:after="60"/>
      </w:pPr>
      <w:r>
        <w:rPr>
          <w:b/>
          <w:bCs/>
          <w:caps/>
          <w:color w:val="6B2D8A"/>
        </w:rPr>
        <w:t>Key Points — Liabilities &amp; Net Assets</w:t>
      </w:r>
    </w:p>
    <w:p w14:paraId="647E28E5" w14:textId="77777777" w:rsidR="003562DF" w:rsidRDefault="00000000">
      <w:pPr>
        <w:pStyle w:val="ListParagraph"/>
        <w:numPr>
          <w:ilvl w:val="0"/>
          <w:numId w:val="2"/>
        </w:numPr>
        <w:spacing w:before="40" w:after="40"/>
      </w:pPr>
      <w:r>
        <w:rPr>
          <w:color w:val="2E2E2E"/>
        </w:rPr>
        <w:t>A line of credit of $866,645 was established in FY2025 at 8.5% interest, maturing August 3, 2027. This is new. It funded operations during the transition year. The board should understand the maturity date and the importance of having a paydown strategy.</w:t>
      </w:r>
    </w:p>
    <w:p w14:paraId="56F3B354" w14:textId="77777777" w:rsidR="003562DF" w:rsidRDefault="00000000">
      <w:pPr>
        <w:pStyle w:val="ListParagraph"/>
        <w:numPr>
          <w:ilvl w:val="0"/>
          <w:numId w:val="2"/>
        </w:numPr>
        <w:spacing w:before="40" w:after="40"/>
      </w:pPr>
      <w:r>
        <w:rPr>
          <w:color w:val="2E2E2E"/>
        </w:rPr>
        <w:t>Deferred revenue dropped significantly from $640,220 to $19,000. This is positive — previously deferred housing revenue was earned and recognized in FY2025.</w:t>
      </w:r>
    </w:p>
    <w:p w14:paraId="5E338B0F" w14:textId="77777777" w:rsidR="003562DF" w:rsidRDefault="00000000">
      <w:pPr>
        <w:pStyle w:val="ListParagraph"/>
        <w:numPr>
          <w:ilvl w:val="0"/>
          <w:numId w:val="2"/>
        </w:numPr>
        <w:spacing w:before="40" w:after="40"/>
      </w:pPr>
      <w:r>
        <w:rPr>
          <w:color w:val="2E2E2E"/>
        </w:rPr>
        <w:t>Total net assets declined from $967,667 to $866,041 — a decrease of $101,626. This is the audit year deficit. But total assets increased by $162,364 despite the deficit, because the capital investment created asset value that exceeded the operating loss.</w:t>
      </w:r>
    </w:p>
    <w:p w14:paraId="7A6AADB7" w14:textId="77777777" w:rsidR="003562DF" w:rsidRDefault="003562DF">
      <w:pPr>
        <w:spacing w:before="80" w:after="80"/>
      </w:pPr>
    </w:p>
    <w:p w14:paraId="69973B91" w14:textId="77777777" w:rsidR="003562DF" w:rsidRDefault="00000000">
      <w:pPr>
        <w:spacing w:before="160" w:after="60"/>
      </w:pPr>
      <w:r>
        <w:rPr>
          <w:b/>
          <w:bCs/>
          <w:caps/>
          <w:color w:val="6B2D8A"/>
        </w:rPr>
        <w:t>The Frame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2D7B9F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BF9"/>
            <w:tcMar>
              <w:top w:w="100" w:type="dxa"/>
              <w:left w:w="160" w:type="dxa"/>
              <w:bottom w:w="100" w:type="dxa"/>
              <w:right w:w="160" w:type="dxa"/>
            </w:tcMar>
          </w:tcPr>
          <w:p w14:paraId="69D50DB4" w14:textId="77777777" w:rsidR="003562DF" w:rsidRDefault="00000000">
            <w:r>
              <w:rPr>
                <w:i/>
                <w:iCs/>
                <w:color w:val="2E2E2E"/>
              </w:rPr>
              <w:t>"The balance sheet reflects an institution in transition — one that deliberately invested in its own infrastructure to create a sustainable revenue base. The cash reduction and the deficit are two sides of the same decision. The third side is the result: housing revenue that doubled year over year, and a positive trajectory that is already showing up in our current year numbers."</w:t>
            </w:r>
          </w:p>
        </w:tc>
      </w:tr>
    </w:tbl>
    <w:p w14:paraId="7A9104A4"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2430B1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286C08C2" w14:textId="77777777" w:rsidR="003562DF" w:rsidRDefault="00000000">
            <w:pPr>
              <w:spacing w:after="40"/>
            </w:pPr>
            <w:r>
              <w:rPr>
                <w:b/>
                <w:bCs/>
                <w:color w:val="6B2D8A"/>
                <w:sz w:val="19"/>
                <w:szCs w:val="19"/>
              </w:rPr>
              <w:t>Q: Why did cash drop so significantly?</w:t>
            </w:r>
          </w:p>
          <w:p w14:paraId="5398B3A5" w14:textId="77777777" w:rsidR="003562DF" w:rsidRDefault="00000000">
            <w:r>
              <w:rPr>
                <w:color w:val="2E2E2E"/>
                <w:sz w:val="19"/>
                <w:szCs w:val="19"/>
              </w:rPr>
              <w:t>A: The cash decline reflects capital expenditures in Talbot Hall infrastructure. Those funds were converted from cash to a fixed asset — the leasehold improvements and furniture that now command the housing rental rates we are achieving. The $322,000 in physical plant investment directly generated the housing revenue increase from $610,000 to $1.28 million.</w:t>
            </w:r>
          </w:p>
        </w:tc>
      </w:tr>
    </w:tbl>
    <w:p w14:paraId="7B15B524"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0FA80C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0AD310C8" w14:textId="77777777" w:rsidR="003562DF" w:rsidRDefault="00000000">
            <w:pPr>
              <w:spacing w:after="40"/>
            </w:pPr>
            <w:r>
              <w:rPr>
                <w:b/>
                <w:bCs/>
                <w:color w:val="6B2D8A"/>
                <w:sz w:val="19"/>
                <w:szCs w:val="19"/>
              </w:rPr>
              <w:t>Q: Is the line of credit a concern?</w:t>
            </w:r>
          </w:p>
          <w:p w14:paraId="5E376EF1" w14:textId="77777777" w:rsidR="003562DF" w:rsidRDefault="00000000">
            <w:r>
              <w:rPr>
                <w:color w:val="2E2E2E"/>
                <w:sz w:val="19"/>
                <w:szCs w:val="19"/>
              </w:rPr>
              <w:t>A: It requires active management. The line matures August 3, 2027. We are monitoring the balance and building a paydown strategy into the FY2026 and FY2027 operating plans. The current year performance — which we will review shortly — demonstrates that the institution has the revenue capacity to service and reduce this obligation.</w:t>
            </w:r>
          </w:p>
        </w:tc>
      </w:tr>
    </w:tbl>
    <w:p w14:paraId="153E4384" w14:textId="77777777" w:rsidR="003562DF" w:rsidRDefault="00000000">
      <w:pPr>
        <w:pStyle w:val="Heading2"/>
        <w:spacing w:before="360"/>
      </w:pPr>
      <w:r>
        <w:rPr>
          <w:color w:val="C9A84C"/>
        </w:rPr>
        <w:lastRenderedPageBreak/>
        <w:t xml:space="preserve">SLIDE </w:t>
      </w:r>
      <w:proofErr w:type="gramStart"/>
      <w:r>
        <w:rPr>
          <w:color w:val="C9A84C"/>
        </w:rPr>
        <w:t>4  ·</w:t>
      </w:r>
      <w:proofErr w:type="gramEnd"/>
      <w:r>
        <w:rPr>
          <w:color w:val="C9A84C"/>
        </w:rPr>
        <w:t xml:space="preserve">  </w:t>
      </w:r>
      <w:r>
        <w:t>MANAGEMENT LETTER RESPONSES</w:t>
      </w:r>
    </w:p>
    <w:p w14:paraId="10B0D8F3" w14:textId="77777777" w:rsidR="003562DF" w:rsidRDefault="003562DF">
      <w:pPr>
        <w:pBdr>
          <w:bottom w:val="single" w:sz="8" w:space="1" w:color="6B2D8A"/>
        </w:pBdr>
        <w:spacing w:before="80" w:after="80"/>
      </w:pPr>
    </w:p>
    <w:p w14:paraId="6B7FAC61" w14:textId="77777777" w:rsidR="003562DF" w:rsidRDefault="00000000">
      <w:pPr>
        <w:spacing w:before="160" w:after="60"/>
      </w:pPr>
      <w:r>
        <w:rPr>
          <w:b/>
          <w:bCs/>
          <w:caps/>
          <w:color w:val="6B2D8A"/>
        </w:rPr>
        <w:t>Context</w:t>
      </w:r>
    </w:p>
    <w:p w14:paraId="1C04F7BB" w14:textId="77777777" w:rsidR="003562DF" w:rsidRDefault="00000000">
      <w:pPr>
        <w:spacing w:before="40" w:after="80"/>
      </w:pPr>
      <w:r>
        <w:rPr>
          <w:color w:val="2E2E2E"/>
        </w:rPr>
        <w:t>A management letter is a standard component of every audit. It documents areas where the auditors identified opportunities to strengthen internal controls or accounting practices. It is separate from the audit opinion. Receiving a management letter is normal and expected — it does not indicate a problem with the financial statements, which received an unmodified opinion.</w:t>
      </w:r>
    </w:p>
    <w:p w14:paraId="05A08965" w14:textId="77777777" w:rsidR="003562DF" w:rsidRDefault="003562DF">
      <w:pPr>
        <w:spacing w:before="80" w:after="80"/>
      </w:pPr>
    </w:p>
    <w:p w14:paraId="7AC38D9A" w14:textId="77777777" w:rsidR="003562DF" w:rsidRDefault="00000000">
      <w:pPr>
        <w:spacing w:before="160" w:after="60"/>
      </w:pPr>
      <w:r>
        <w:rPr>
          <w:b/>
          <w:bCs/>
          <w:caps/>
          <w:color w:val="6B2D8A"/>
        </w:rPr>
        <w:t>Finding 2024-003: Functional Expense Allocation — Implemented</w:t>
      </w:r>
    </w:p>
    <w:p w14:paraId="3B1C49B4" w14:textId="77777777" w:rsidR="003562DF" w:rsidRDefault="00000000">
      <w:pPr>
        <w:pStyle w:val="ListParagraph"/>
        <w:numPr>
          <w:ilvl w:val="0"/>
          <w:numId w:val="2"/>
        </w:numPr>
        <w:spacing w:before="40" w:after="40"/>
      </w:pPr>
      <w:r>
        <w:rPr>
          <w:color w:val="2E2E2E"/>
        </w:rPr>
        <w:t>The auditors recommended that program-related expenses be properly classified between program services and management &amp; general, following NACUBO standards.</w:t>
      </w:r>
    </w:p>
    <w:p w14:paraId="47444280" w14:textId="77777777" w:rsidR="003562DF" w:rsidRDefault="00000000">
      <w:pPr>
        <w:pStyle w:val="ListParagraph"/>
        <w:numPr>
          <w:ilvl w:val="0"/>
          <w:numId w:val="2"/>
        </w:numPr>
        <w:spacing w:before="40" w:after="40"/>
      </w:pPr>
      <w:r>
        <w:rPr>
          <w:color w:val="2E2E2E"/>
        </w:rPr>
        <w:t>Why it matters: Proper functional expense classification is important for donors, accreditors, and regulators. It demonstrates that the institution's resources are being directed toward its educational mission.</w:t>
      </w:r>
    </w:p>
    <w:p w14:paraId="20B8069D" w14:textId="77777777" w:rsidR="003562DF" w:rsidRDefault="00000000">
      <w:pPr>
        <w:pStyle w:val="ListParagraph"/>
        <w:numPr>
          <w:ilvl w:val="0"/>
          <w:numId w:val="2"/>
        </w:numPr>
        <w:spacing w:before="40" w:after="40"/>
      </w:pPr>
      <w:r>
        <w:rPr>
          <w:color w:val="2E2E2E"/>
        </w:rPr>
        <w:t>What was done: The Controller implemented functional classification protocols. All payroll and vendor payments are now charged to the proper expense accounts. The NACUBO Financial Accounting Reporting Manual was obtained as the reference standard.</w:t>
      </w:r>
    </w:p>
    <w:p w14:paraId="4EE26DE8" w14:textId="77777777" w:rsidR="003562DF" w:rsidRDefault="003562DF">
      <w:pPr>
        <w:spacing w:before="80" w:after="80"/>
      </w:pPr>
    </w:p>
    <w:p w14:paraId="5F9F31F3" w14:textId="77777777" w:rsidR="003562DF" w:rsidRDefault="00000000">
      <w:pPr>
        <w:spacing w:before="160" w:after="60"/>
      </w:pPr>
      <w:r>
        <w:rPr>
          <w:b/>
          <w:bCs/>
          <w:caps/>
          <w:color w:val="6B2D8A"/>
        </w:rPr>
        <w:t>Finding 2024-004: Chart of Accounts — Implemented</w:t>
      </w:r>
    </w:p>
    <w:p w14:paraId="794C1ADB" w14:textId="77777777" w:rsidR="003562DF" w:rsidRDefault="00000000">
      <w:pPr>
        <w:pStyle w:val="ListParagraph"/>
        <w:numPr>
          <w:ilvl w:val="0"/>
          <w:numId w:val="2"/>
        </w:numPr>
        <w:spacing w:before="40" w:after="40"/>
      </w:pPr>
      <w:r>
        <w:rPr>
          <w:color w:val="2E2E2E"/>
        </w:rPr>
        <w:t>The auditors recommended that expenditures be recorded as restricted or unrestricted, with account classes to trace by department, program, or grant.</w:t>
      </w:r>
    </w:p>
    <w:p w14:paraId="77AF2CC1" w14:textId="77777777" w:rsidR="003562DF" w:rsidRDefault="00000000">
      <w:pPr>
        <w:pStyle w:val="ListParagraph"/>
        <w:numPr>
          <w:ilvl w:val="0"/>
          <w:numId w:val="2"/>
        </w:numPr>
        <w:spacing w:before="40" w:after="40"/>
      </w:pPr>
      <w:r>
        <w:rPr>
          <w:color w:val="2E2E2E"/>
        </w:rPr>
        <w:t>What was done: The Controller reviewed and restructured the chart of accounts per NACUBO standards. This improvement enhances the institution's ability to track grant compliance and report to accrediting bodies.</w:t>
      </w:r>
    </w:p>
    <w:p w14:paraId="1654E938" w14:textId="77777777" w:rsidR="003562DF" w:rsidRDefault="003562DF">
      <w:pPr>
        <w:spacing w:before="80" w:after="80"/>
      </w:pPr>
    </w:p>
    <w:p w14:paraId="5283BB9F" w14:textId="77777777" w:rsidR="003562DF" w:rsidRDefault="00000000">
      <w:pPr>
        <w:spacing w:before="160" w:after="60"/>
      </w:pPr>
      <w:r>
        <w:rPr>
          <w:b/>
          <w:bCs/>
          <w:caps/>
          <w:color w:val="6B2D8A"/>
        </w:rPr>
        <w:t>Prior Year Findings — All Implemented</w:t>
      </w:r>
    </w:p>
    <w:p w14:paraId="22C19808" w14:textId="77777777" w:rsidR="003562DF" w:rsidRDefault="00000000">
      <w:pPr>
        <w:pStyle w:val="ListParagraph"/>
        <w:numPr>
          <w:ilvl w:val="0"/>
          <w:numId w:val="2"/>
        </w:numPr>
        <w:spacing w:before="40" w:after="40"/>
      </w:pPr>
      <w:r>
        <w:rPr>
          <w:color w:val="2E2E2E"/>
        </w:rPr>
        <w:t>Endowment records: Now properly maintained and accurately reflected in the financial statements.</w:t>
      </w:r>
    </w:p>
    <w:p w14:paraId="77F23981" w14:textId="77777777" w:rsidR="003562DF" w:rsidRDefault="00000000">
      <w:pPr>
        <w:pStyle w:val="ListParagraph"/>
        <w:numPr>
          <w:ilvl w:val="0"/>
          <w:numId w:val="2"/>
        </w:numPr>
        <w:spacing w:before="40" w:after="40"/>
      </w:pPr>
      <w:r>
        <w:rPr>
          <w:color w:val="2E2E2E"/>
        </w:rPr>
        <w:t>Month-end close process: Formal checklist implemented. All accounting periods are closed completely and on schedule.</w:t>
      </w:r>
    </w:p>
    <w:p w14:paraId="2294F876" w14:textId="77777777" w:rsidR="003562DF" w:rsidRDefault="00000000">
      <w:pPr>
        <w:pStyle w:val="ListParagraph"/>
        <w:numPr>
          <w:ilvl w:val="0"/>
          <w:numId w:val="2"/>
        </w:numPr>
        <w:spacing w:before="40" w:after="40"/>
      </w:pPr>
      <w:r>
        <w:rPr>
          <w:color w:val="2E2E2E"/>
        </w:rPr>
        <w:t xml:space="preserve">Expense categorization: Consistent classification methodology </w:t>
      </w:r>
      <w:proofErr w:type="gramStart"/>
      <w:r>
        <w:rPr>
          <w:color w:val="2E2E2E"/>
        </w:rPr>
        <w:t>now</w:t>
      </w:r>
      <w:proofErr w:type="gramEnd"/>
      <w:r>
        <w:rPr>
          <w:color w:val="2E2E2E"/>
        </w:rPr>
        <w:t xml:space="preserve"> in place.</w:t>
      </w:r>
    </w:p>
    <w:p w14:paraId="480C7E3D" w14:textId="77777777" w:rsidR="003562DF" w:rsidRDefault="00000000">
      <w:pPr>
        <w:pStyle w:val="ListParagraph"/>
        <w:numPr>
          <w:ilvl w:val="0"/>
          <w:numId w:val="2"/>
        </w:numPr>
        <w:spacing w:before="40" w:after="40"/>
      </w:pPr>
      <w:r>
        <w:rPr>
          <w:color w:val="2E2E2E"/>
        </w:rPr>
        <w:t>Bank reconciliations: Performed monthly and current.</w:t>
      </w:r>
    </w:p>
    <w:p w14:paraId="2253CCEB" w14:textId="77777777" w:rsidR="003562DF" w:rsidRDefault="00000000">
      <w:pPr>
        <w:pStyle w:val="ListParagraph"/>
        <w:numPr>
          <w:ilvl w:val="0"/>
          <w:numId w:val="2"/>
        </w:numPr>
        <w:spacing w:before="40" w:after="40"/>
      </w:pPr>
      <w:r>
        <w:rPr>
          <w:color w:val="2E2E2E"/>
        </w:rPr>
        <w:t>Separation of duties: Reviewed and strengthened given the institution's staff size.</w:t>
      </w:r>
    </w:p>
    <w:p w14:paraId="03E91649"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6F576F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2008A9DD" w14:textId="77777777" w:rsidR="003562DF" w:rsidRDefault="00000000">
            <w:pPr>
              <w:spacing w:after="40"/>
            </w:pPr>
            <w:r>
              <w:rPr>
                <w:b/>
                <w:bCs/>
                <w:color w:val="6B2D8A"/>
                <w:sz w:val="19"/>
                <w:szCs w:val="19"/>
              </w:rPr>
              <w:t>Q: Why do we keep receiving management letter findings?</w:t>
            </w:r>
          </w:p>
          <w:p w14:paraId="076957BC" w14:textId="77777777" w:rsidR="003562DF" w:rsidRDefault="00000000">
            <w:r>
              <w:rPr>
                <w:color w:val="2E2E2E"/>
                <w:sz w:val="19"/>
                <w:szCs w:val="19"/>
              </w:rPr>
              <w:t>A: Audit findings represent the auditors' professional obligation to document every area where they see improvement opportunity. The critical point is the trajectory: prior year findings were resolved, and the current findings were implemented during the audit period. The institution is responding effectively and building stronger financial infrastructure with each cycle.</w:t>
            </w:r>
          </w:p>
        </w:tc>
      </w:tr>
    </w:tbl>
    <w:p w14:paraId="086182E0" w14:textId="77777777" w:rsidR="003562DF" w:rsidRDefault="003562DF">
      <w:pPr>
        <w:spacing w:before="80" w:after="80"/>
      </w:pPr>
    </w:p>
    <w:p w14:paraId="77F244BD" w14:textId="77777777" w:rsidR="00D62B11" w:rsidRDefault="00D62B11">
      <w:pPr>
        <w:pStyle w:val="Heading2"/>
        <w:spacing w:before="360"/>
        <w:rPr>
          <w:color w:val="C9A84C"/>
        </w:rPr>
      </w:pPr>
    </w:p>
    <w:p w14:paraId="6071E1E9" w14:textId="77777777" w:rsidR="00D62B11" w:rsidRDefault="00D62B11">
      <w:pPr>
        <w:pStyle w:val="Heading2"/>
        <w:spacing w:before="360"/>
        <w:rPr>
          <w:color w:val="C9A84C"/>
        </w:rPr>
      </w:pPr>
    </w:p>
    <w:p w14:paraId="405A09B9" w14:textId="77777777" w:rsidR="00D62B11" w:rsidRDefault="00D62B11">
      <w:pPr>
        <w:pStyle w:val="Heading2"/>
        <w:spacing w:before="360"/>
        <w:rPr>
          <w:color w:val="C9A84C"/>
        </w:rPr>
      </w:pPr>
    </w:p>
    <w:p w14:paraId="1FE67EB4" w14:textId="0BF4908C" w:rsidR="003562DF" w:rsidRDefault="00000000">
      <w:pPr>
        <w:pStyle w:val="Heading2"/>
        <w:spacing w:before="360"/>
      </w:pPr>
      <w:r>
        <w:rPr>
          <w:color w:val="C9A84C"/>
        </w:rPr>
        <w:lastRenderedPageBreak/>
        <w:t xml:space="preserve">SLIDE </w:t>
      </w:r>
      <w:proofErr w:type="gramStart"/>
      <w:r>
        <w:rPr>
          <w:color w:val="C9A84C"/>
        </w:rPr>
        <w:t>5  ·</w:t>
      </w:r>
      <w:proofErr w:type="gramEnd"/>
      <w:r>
        <w:rPr>
          <w:color w:val="C9A84C"/>
        </w:rPr>
        <w:t xml:space="preserve">  </w:t>
      </w:r>
      <w:r>
        <w:t>R14 COMPOSITE FINANCIAL HEALTH SCORE</w:t>
      </w:r>
    </w:p>
    <w:p w14:paraId="68978320" w14:textId="77777777" w:rsidR="003562DF" w:rsidRDefault="003562DF">
      <w:pPr>
        <w:pBdr>
          <w:bottom w:val="single" w:sz="8" w:space="1" w:color="6B2D8A"/>
        </w:pBdr>
        <w:spacing w:before="80" w:after="80"/>
      </w:pPr>
    </w:p>
    <w:p w14:paraId="178E4442" w14:textId="77777777" w:rsidR="003562DF" w:rsidRDefault="00000000">
      <w:pPr>
        <w:spacing w:before="160" w:after="60"/>
      </w:pPr>
      <w:r>
        <w:rPr>
          <w:b/>
          <w:bCs/>
          <w:caps/>
          <w:color w:val="6B2D8A"/>
        </w:rPr>
        <w:t>What the R14 Score Is</w:t>
      </w:r>
    </w:p>
    <w:p w14:paraId="47DD6574" w14:textId="77777777" w:rsidR="003562DF" w:rsidRDefault="00000000">
      <w:pPr>
        <w:spacing w:before="40" w:after="80"/>
      </w:pPr>
      <w:r>
        <w:rPr>
          <w:color w:val="2E2E2E"/>
        </w:rPr>
        <w:t xml:space="preserve">The R14 Composite Score is a financial health metric used by the U.S. Department of Education to assess the financial health of institutions participating in Title IV federal student aid programs. It is calculated from three ratios, weighted and combined into a single score on a scale from -1.0 </w:t>
      </w:r>
      <w:proofErr w:type="gramStart"/>
      <w:r>
        <w:rPr>
          <w:color w:val="2E2E2E"/>
        </w:rPr>
        <w:t>to 3.0</w:t>
      </w:r>
      <w:proofErr w:type="gramEnd"/>
      <w:r>
        <w:rPr>
          <w:color w:val="2E2E2E"/>
        </w:rPr>
        <w:t>. A score of 1.5 or above is considered financially healthy. A score of 1.0 to 1.5 is monitored. A score below 1.0 requires additional documentation. Turner's FY2025 score is 0.6 — in the Acceptable range under SACSCOC's framework, though below the Department of Education's preferred threshold.</w:t>
      </w:r>
    </w:p>
    <w:p w14:paraId="1389E5F0" w14:textId="77777777" w:rsidR="003562DF" w:rsidRDefault="003562DF">
      <w:pPr>
        <w:spacing w:before="80" w:after="80"/>
      </w:pPr>
    </w:p>
    <w:p w14:paraId="2C46F703" w14:textId="77777777" w:rsidR="003562DF" w:rsidRDefault="00000000">
      <w:pPr>
        <w:spacing w:before="160" w:after="60"/>
      </w:pPr>
      <w:r>
        <w:rPr>
          <w:b/>
          <w:bCs/>
          <w:caps/>
          <w:color w:val="6B2D8A"/>
        </w:rPr>
        <w:t>The Three Ratios</w:t>
      </w:r>
    </w:p>
    <w:p w14:paraId="397F0B3A" w14:textId="77777777" w:rsidR="003562DF" w:rsidRDefault="00000000">
      <w:pPr>
        <w:pStyle w:val="ListParagraph"/>
        <w:numPr>
          <w:ilvl w:val="0"/>
          <w:numId w:val="2"/>
        </w:numPr>
        <w:spacing w:before="40" w:after="40"/>
      </w:pPr>
      <w:r>
        <w:rPr>
          <w:color w:val="2E2E2E"/>
        </w:rPr>
        <w:t>Primary Reserve Ratio: -0.3993 (weight: 40%). This ratio measures expendable net assets relative to total expenses. It is negative because the physical plant investment ($1.33M in Talbot Hall) reduced expendable net assets. This is a structural feature of capital investment, not financial distress. As housing revenue matures and the physical plant is fully utilized, this ratio will improve.</w:t>
      </w:r>
    </w:p>
    <w:p w14:paraId="59DE8171" w14:textId="77777777" w:rsidR="003562DF" w:rsidRDefault="00000000">
      <w:pPr>
        <w:pStyle w:val="ListParagraph"/>
        <w:numPr>
          <w:ilvl w:val="0"/>
          <w:numId w:val="2"/>
        </w:numPr>
        <w:spacing w:before="40" w:after="40"/>
      </w:pPr>
      <w:r>
        <w:rPr>
          <w:color w:val="2E2E2E"/>
        </w:rPr>
        <w:t>Equity Ratio: 0.4580 (weight: 40%). This measures net assets as a percentage of total assets — 46%. This is the strongest of the three ratios and signals institutional stability. Net assets remain positive and assets grew year over year.</w:t>
      </w:r>
    </w:p>
    <w:p w14:paraId="4818AFEE" w14:textId="77777777" w:rsidR="003562DF" w:rsidRDefault="00000000">
      <w:pPr>
        <w:pStyle w:val="ListParagraph"/>
        <w:numPr>
          <w:ilvl w:val="0"/>
          <w:numId w:val="2"/>
        </w:numPr>
        <w:spacing w:before="40" w:after="40"/>
      </w:pPr>
      <w:r>
        <w:rPr>
          <w:color w:val="2E2E2E"/>
        </w:rPr>
        <w:t>Net Income Ratio: -0.0541 (weight: 20%). This reflects the FY2025 operating deficit of $101,626. The deficit was driven by $668,132 in scholarship investment. FY2026 YTD data shows a return to positive operating income.</w:t>
      </w:r>
    </w:p>
    <w:p w14:paraId="76221C2B" w14:textId="77777777" w:rsidR="003562DF" w:rsidRDefault="003562DF">
      <w:pPr>
        <w:spacing w:before="80" w:after="80"/>
      </w:pPr>
    </w:p>
    <w:p w14:paraId="159F8E3E" w14:textId="77777777" w:rsidR="003562DF" w:rsidRDefault="00000000">
      <w:pPr>
        <w:spacing w:before="160" w:after="60"/>
      </w:pPr>
      <w:r>
        <w:rPr>
          <w:b/>
          <w:bCs/>
          <w:caps/>
          <w:color w:val="6B2D8A"/>
        </w:rPr>
        <w:t>The Key Message</w:t>
      </w:r>
    </w:p>
    <w:p w14:paraId="2520944D" w14:textId="77777777" w:rsidR="003562DF" w:rsidRDefault="00000000">
      <w:pPr>
        <w:spacing w:before="40" w:after="80"/>
      </w:pPr>
      <w:r>
        <w:rPr>
          <w:color w:val="2E2E2E"/>
        </w:rPr>
        <w:t xml:space="preserve">A score of 0.6 reflects a transition year. The institution made two large, deliberate investments — in student access through scholarships, and in physical infrastructure through Talbot Hall. Both investments </w:t>
      </w:r>
      <w:proofErr w:type="gramStart"/>
      <w:r>
        <w:rPr>
          <w:color w:val="2E2E2E"/>
        </w:rPr>
        <w:t>are producing</w:t>
      </w:r>
      <w:proofErr w:type="gramEnd"/>
      <w:r>
        <w:rPr>
          <w:color w:val="2E2E2E"/>
        </w:rPr>
        <w:t xml:space="preserve"> returns: enrollment grew significantly, and housing revenue doubled. The R14 score will improve as those returns compound over time.</w:t>
      </w:r>
    </w:p>
    <w:p w14:paraId="6DE61527"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25FF60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2EC66870" w14:textId="77777777" w:rsidR="003562DF" w:rsidRDefault="00000000">
            <w:pPr>
              <w:spacing w:after="40"/>
            </w:pPr>
            <w:r>
              <w:rPr>
                <w:b/>
                <w:bCs/>
                <w:color w:val="6B2D8A"/>
                <w:sz w:val="19"/>
                <w:szCs w:val="19"/>
              </w:rPr>
              <w:t>Q: Does this score affect our federal funding eligibility?</w:t>
            </w:r>
          </w:p>
          <w:p w14:paraId="0CA1607D" w14:textId="77777777" w:rsidR="003562DF" w:rsidRDefault="00000000">
            <w:r>
              <w:rPr>
                <w:color w:val="2E2E2E"/>
                <w:sz w:val="19"/>
                <w:szCs w:val="19"/>
              </w:rPr>
              <w:t xml:space="preserve">A: The R14 score is one factor in Title IV eligibility assessment. It is not the sole determinant, and the SACSCOC deficit petition — which was approved on April 23, 2026 — specifically addresses the operating deficit context. The Title IV PPA was submitted March 20, </w:t>
            </w:r>
            <w:proofErr w:type="gramStart"/>
            <w:r>
              <w:rPr>
                <w:color w:val="2E2E2E"/>
                <w:sz w:val="19"/>
                <w:szCs w:val="19"/>
              </w:rPr>
              <w:t>2026</w:t>
            </w:r>
            <w:proofErr w:type="gramEnd"/>
            <w:r>
              <w:rPr>
                <w:color w:val="2E2E2E"/>
                <w:sz w:val="19"/>
                <w:szCs w:val="19"/>
              </w:rPr>
              <w:t xml:space="preserve"> and is pending USDE approval. We are in active engagement with the appropriate regulatory processes.</w:t>
            </w:r>
          </w:p>
        </w:tc>
      </w:tr>
    </w:tbl>
    <w:p w14:paraId="51146E85"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6241B2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17E0CD12" w14:textId="77777777" w:rsidR="003562DF" w:rsidRDefault="00000000">
            <w:pPr>
              <w:spacing w:after="40"/>
            </w:pPr>
            <w:r>
              <w:rPr>
                <w:b/>
                <w:bCs/>
                <w:color w:val="6B2D8A"/>
                <w:sz w:val="19"/>
                <w:szCs w:val="19"/>
              </w:rPr>
              <w:t>Q: What is the target score and when do we expect to reach it?</w:t>
            </w:r>
          </w:p>
          <w:p w14:paraId="2627DC78" w14:textId="77777777" w:rsidR="003562DF" w:rsidRDefault="00000000">
            <w:r>
              <w:rPr>
                <w:color w:val="2E2E2E"/>
                <w:sz w:val="19"/>
                <w:szCs w:val="19"/>
              </w:rPr>
              <w:t xml:space="preserve">A: The Department of Education's preferred threshold is 1.5. Our primary </w:t>
            </w:r>
            <w:proofErr w:type="gramStart"/>
            <w:r>
              <w:rPr>
                <w:color w:val="2E2E2E"/>
                <w:sz w:val="19"/>
                <w:szCs w:val="19"/>
              </w:rPr>
              <w:t>lever</w:t>
            </w:r>
            <w:proofErr w:type="gramEnd"/>
            <w:r>
              <w:rPr>
                <w:color w:val="2E2E2E"/>
                <w:sz w:val="19"/>
                <w:szCs w:val="19"/>
              </w:rPr>
              <w:t xml:space="preserve"> for improvement is the net income ratio — returning to sustained operating surpluses. The FY2026 YTD data, which we will review next, shows $256,075 in positive net operating income through 9 months. If that trajectory holds, the FY2026 R14 score will improve materially.</w:t>
            </w:r>
          </w:p>
        </w:tc>
      </w:tr>
    </w:tbl>
    <w:p w14:paraId="0D6A8ABC" w14:textId="77777777" w:rsidR="003562DF" w:rsidRDefault="003562DF">
      <w:pPr>
        <w:spacing w:before="80" w:after="80"/>
      </w:pPr>
    </w:p>
    <w:p w14:paraId="4B590FC9" w14:textId="77777777" w:rsidR="003562DF" w:rsidRDefault="00000000">
      <w:r>
        <w:br w:type="page"/>
      </w:r>
    </w:p>
    <w:p w14:paraId="32BF626B" w14:textId="77777777" w:rsidR="003562DF" w:rsidRDefault="00000000">
      <w:pPr>
        <w:pStyle w:val="Heading2"/>
        <w:spacing w:before="360"/>
      </w:pPr>
      <w:r>
        <w:rPr>
          <w:color w:val="C9A84C"/>
        </w:rPr>
        <w:lastRenderedPageBreak/>
        <w:t xml:space="preserve">SLIDE </w:t>
      </w:r>
      <w:proofErr w:type="gramStart"/>
      <w:r>
        <w:rPr>
          <w:color w:val="C9A84C"/>
        </w:rPr>
        <w:t>6  ·</w:t>
      </w:r>
      <w:proofErr w:type="gramEnd"/>
      <w:r>
        <w:rPr>
          <w:color w:val="C9A84C"/>
        </w:rPr>
        <w:t xml:space="preserve">  </w:t>
      </w:r>
      <w:r>
        <w:t>THE FINANCIAL STORY OF FY2025</w:t>
      </w:r>
    </w:p>
    <w:p w14:paraId="732F78E3" w14:textId="77777777" w:rsidR="003562DF" w:rsidRDefault="003562DF">
      <w:pPr>
        <w:pBdr>
          <w:bottom w:val="single" w:sz="8" w:space="1" w:color="6B2D8A"/>
        </w:pBdr>
        <w:spacing w:before="80" w:after="80"/>
      </w:pPr>
    </w:p>
    <w:p w14:paraId="7F3D8A62" w14:textId="77777777" w:rsidR="003562DF" w:rsidRDefault="00000000">
      <w:pPr>
        <w:spacing w:before="160" w:after="60"/>
      </w:pPr>
      <w:r>
        <w:rPr>
          <w:b/>
          <w:bCs/>
          <w:caps/>
          <w:color w:val="6B2D8A"/>
        </w:rPr>
        <w:t>The Narrative</w:t>
      </w:r>
    </w:p>
    <w:p w14:paraId="76F2BD6C" w14:textId="77777777" w:rsidR="003562DF" w:rsidRDefault="00000000">
      <w:pPr>
        <w:spacing w:before="40" w:after="80"/>
      </w:pPr>
      <w:r>
        <w:rPr>
          <w:color w:val="2E2E2E"/>
        </w:rPr>
        <w:t>FY2025 was a deliberate transition year. The institution made two specific investments that will define its financial future. Understanding those decisions — and seeing the early evidence that they are working — is the most important thing the Board can take away from this presentation.</w:t>
      </w:r>
    </w:p>
    <w:p w14:paraId="5959C0C2" w14:textId="77777777" w:rsidR="003562DF" w:rsidRDefault="003562DF">
      <w:pPr>
        <w:spacing w:before="80" w:after="80"/>
      </w:pPr>
    </w:p>
    <w:p w14:paraId="6344BB4D" w14:textId="77777777" w:rsidR="003562DF" w:rsidRDefault="00000000">
      <w:pPr>
        <w:spacing w:before="160" w:after="60"/>
      </w:pPr>
      <w:r>
        <w:rPr>
          <w:b/>
          <w:bCs/>
          <w:caps/>
          <w:color w:val="6B2D8A"/>
        </w:rPr>
        <w:t>Decision 1: Scholarship Investment</w:t>
      </w:r>
    </w:p>
    <w:p w14:paraId="5ED2573B" w14:textId="77777777" w:rsidR="003562DF" w:rsidRDefault="00000000">
      <w:pPr>
        <w:pStyle w:val="ListParagraph"/>
        <w:numPr>
          <w:ilvl w:val="0"/>
          <w:numId w:val="2"/>
        </w:numPr>
        <w:spacing w:before="40" w:after="40"/>
      </w:pPr>
      <w:r>
        <w:rPr>
          <w:color w:val="2E2E2E"/>
        </w:rPr>
        <w:t>$668,132 in institutionally funded aid was awarded in FY2025.</w:t>
      </w:r>
    </w:p>
    <w:p w14:paraId="46695F9B" w14:textId="77777777" w:rsidR="003562DF" w:rsidRDefault="00000000">
      <w:pPr>
        <w:pStyle w:val="ListParagraph"/>
        <w:numPr>
          <w:ilvl w:val="0"/>
          <w:numId w:val="2"/>
        </w:numPr>
        <w:spacing w:before="40" w:after="40"/>
      </w:pPr>
      <w:r>
        <w:rPr>
          <w:color w:val="2E2E2E"/>
        </w:rPr>
        <w:t>This compressed net tuition revenue to $61,171 from $729,303 in gross tuition.</w:t>
      </w:r>
    </w:p>
    <w:p w14:paraId="538589BC" w14:textId="77777777" w:rsidR="003562DF" w:rsidRDefault="00000000">
      <w:pPr>
        <w:pStyle w:val="ListParagraph"/>
        <w:numPr>
          <w:ilvl w:val="0"/>
          <w:numId w:val="2"/>
        </w:numPr>
        <w:spacing w:before="40" w:after="40"/>
      </w:pPr>
      <w:r>
        <w:rPr>
          <w:color w:val="2E2E2E"/>
        </w:rPr>
        <w:t>The result: enrollment grew from 14 students in Fall 2024 to 33 in Spring 2025, 54 in Fall 2025, and 64 in Spring 2026.</w:t>
      </w:r>
    </w:p>
    <w:p w14:paraId="4501D5A0" w14:textId="77777777" w:rsidR="003562DF" w:rsidRDefault="00000000">
      <w:pPr>
        <w:pStyle w:val="ListParagraph"/>
        <w:numPr>
          <w:ilvl w:val="0"/>
          <w:numId w:val="2"/>
        </w:numPr>
        <w:spacing w:before="40" w:after="40"/>
      </w:pPr>
      <w:r>
        <w:rPr>
          <w:color w:val="2E2E2E"/>
        </w:rPr>
        <w:t>Enrollment is the institution's long-term revenue and mission foundation. The scholarship investment bought four semesters of rapid enrollment growth that would not have occurred at full tuition rates.</w:t>
      </w:r>
    </w:p>
    <w:p w14:paraId="726D3D47" w14:textId="77777777" w:rsidR="003562DF" w:rsidRDefault="003562DF">
      <w:pPr>
        <w:spacing w:before="80" w:after="80"/>
      </w:pPr>
    </w:p>
    <w:p w14:paraId="63D4CB0C" w14:textId="77777777" w:rsidR="003562DF" w:rsidRDefault="00000000">
      <w:pPr>
        <w:spacing w:before="160" w:after="60"/>
      </w:pPr>
      <w:r>
        <w:rPr>
          <w:b/>
          <w:bCs/>
          <w:caps/>
          <w:color w:val="6B2D8A"/>
        </w:rPr>
        <w:t>Decision 2: Capital Investment</w:t>
      </w:r>
    </w:p>
    <w:p w14:paraId="757E67BE" w14:textId="77777777" w:rsidR="003562DF" w:rsidRDefault="00000000">
      <w:pPr>
        <w:pStyle w:val="ListParagraph"/>
        <w:numPr>
          <w:ilvl w:val="0"/>
          <w:numId w:val="2"/>
        </w:numPr>
        <w:spacing w:before="40" w:after="40"/>
      </w:pPr>
      <w:r>
        <w:rPr>
          <w:color w:val="2E2E2E"/>
        </w:rPr>
        <w:t>$322,099 was invested in Talbot Hall physical plant — leasehold improvements, furniture, and infrastructure.</w:t>
      </w:r>
    </w:p>
    <w:p w14:paraId="0D5EE2CE" w14:textId="77777777" w:rsidR="003562DF" w:rsidRDefault="00000000">
      <w:pPr>
        <w:pStyle w:val="ListParagraph"/>
        <w:numPr>
          <w:ilvl w:val="0"/>
          <w:numId w:val="2"/>
        </w:numPr>
        <w:spacing w:before="40" w:after="40"/>
      </w:pPr>
      <w:r>
        <w:rPr>
          <w:color w:val="2E2E2E"/>
        </w:rPr>
        <w:t>This investment enabled the housing program to serve a premium tenant base.</w:t>
      </w:r>
    </w:p>
    <w:p w14:paraId="0C2FB934" w14:textId="77777777" w:rsidR="003562DF" w:rsidRDefault="00000000">
      <w:pPr>
        <w:pStyle w:val="ListParagraph"/>
        <w:numPr>
          <w:ilvl w:val="0"/>
          <w:numId w:val="2"/>
        </w:numPr>
        <w:spacing w:before="40" w:after="40"/>
      </w:pPr>
      <w:r>
        <w:rPr>
          <w:color w:val="2E2E2E"/>
        </w:rPr>
        <w:t>The result: auxiliary enterprise revenue grew from $610,006 in FY2024 to $1,279,562 in FY2025 — a 110% increase.</w:t>
      </w:r>
    </w:p>
    <w:p w14:paraId="1DE0B47E" w14:textId="77777777" w:rsidR="003562DF" w:rsidRDefault="00000000">
      <w:pPr>
        <w:pStyle w:val="ListParagraph"/>
        <w:numPr>
          <w:ilvl w:val="0"/>
          <w:numId w:val="2"/>
        </w:numPr>
        <w:spacing w:before="40" w:after="40"/>
      </w:pPr>
      <w:r>
        <w:rPr>
          <w:color w:val="2E2E2E"/>
        </w:rPr>
        <w:t>Housing is now the institution's largest and most reliable revenue source.</w:t>
      </w:r>
    </w:p>
    <w:p w14:paraId="50790CE1" w14:textId="77777777" w:rsidR="003562DF" w:rsidRDefault="003562DF">
      <w:pPr>
        <w:spacing w:before="80" w:after="80"/>
      </w:pPr>
    </w:p>
    <w:p w14:paraId="4EEFFC0A" w14:textId="77777777" w:rsidR="003562DF" w:rsidRDefault="00000000">
      <w:pPr>
        <w:spacing w:before="160" w:after="60"/>
      </w:pPr>
      <w:r>
        <w:rPr>
          <w:b/>
          <w:bCs/>
          <w:caps/>
          <w:color w:val="6B2D8A"/>
        </w:rPr>
        <w:t>The Verdict</w:t>
      </w:r>
    </w:p>
    <w:p w14:paraId="67A4DF7A" w14:textId="77777777" w:rsidR="003562DF" w:rsidRDefault="00000000">
      <w:pPr>
        <w:spacing w:before="40" w:after="80"/>
      </w:pPr>
      <w:r>
        <w:rPr>
          <w:color w:val="2E2E2E"/>
        </w:rPr>
        <w:t xml:space="preserve">The deficit of $101,626 was the cost of building the revenue engine. It was not the product of waste, mismanagement, or unforeseen circumstances. It was </w:t>
      </w:r>
      <w:proofErr w:type="gramStart"/>
      <w:r>
        <w:rPr>
          <w:color w:val="2E2E2E"/>
        </w:rPr>
        <w:t>the predictable</w:t>
      </w:r>
      <w:proofErr w:type="gramEnd"/>
      <w:r>
        <w:rPr>
          <w:color w:val="2E2E2E"/>
        </w:rPr>
        <w:t xml:space="preserve"> arithmetic of investing ahead of the revenue curve. FY2026 YTD data confirms the strategy is working.</w:t>
      </w:r>
    </w:p>
    <w:p w14:paraId="3B1E2EFA"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47A407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0FFCF6A1" w14:textId="77777777" w:rsidR="003562DF" w:rsidRDefault="00000000">
            <w:pPr>
              <w:spacing w:after="40"/>
            </w:pPr>
            <w:r>
              <w:rPr>
                <w:b/>
                <w:bCs/>
                <w:color w:val="6B2D8A"/>
                <w:sz w:val="19"/>
                <w:szCs w:val="19"/>
              </w:rPr>
              <w:t>Q: Could the scholarship investment have been smaller?</w:t>
            </w:r>
          </w:p>
          <w:p w14:paraId="768E2EBD" w14:textId="77777777" w:rsidR="003562DF" w:rsidRDefault="00000000">
            <w:r>
              <w:rPr>
                <w:color w:val="2E2E2E"/>
                <w:sz w:val="19"/>
                <w:szCs w:val="19"/>
              </w:rPr>
              <w:t>A: The scholarship strategy was calibrated to enrollment targets. A smaller scholarship investment would likely have produced slower enrollment growth, which would have extended the period of compressed net tuition revenue rather than shortening it. The investment was sized to produce a step-change in enrollment, not a gradual drift upward.</w:t>
            </w:r>
          </w:p>
        </w:tc>
      </w:tr>
    </w:tbl>
    <w:p w14:paraId="7AD25995" w14:textId="77777777" w:rsidR="003562DF" w:rsidRDefault="003562DF">
      <w:pPr>
        <w:spacing w:before="80" w:after="80"/>
      </w:pPr>
    </w:p>
    <w:p w14:paraId="373B9BC7" w14:textId="77777777" w:rsidR="00D62B11" w:rsidRDefault="00D62B11">
      <w:pPr>
        <w:pStyle w:val="Heading2"/>
        <w:spacing w:before="360"/>
        <w:rPr>
          <w:color w:val="C9A84C"/>
        </w:rPr>
      </w:pPr>
    </w:p>
    <w:p w14:paraId="54616CFF" w14:textId="77777777" w:rsidR="00D62B11" w:rsidRDefault="00D62B11">
      <w:pPr>
        <w:pStyle w:val="Heading2"/>
        <w:spacing w:before="360"/>
        <w:rPr>
          <w:color w:val="C9A84C"/>
        </w:rPr>
      </w:pPr>
    </w:p>
    <w:p w14:paraId="5242D61F" w14:textId="77777777" w:rsidR="00D62B11" w:rsidRDefault="00D62B11">
      <w:pPr>
        <w:pStyle w:val="Heading2"/>
        <w:spacing w:before="360"/>
        <w:rPr>
          <w:color w:val="C9A84C"/>
        </w:rPr>
      </w:pPr>
    </w:p>
    <w:p w14:paraId="224AB9C8" w14:textId="77777777" w:rsidR="00D62B11" w:rsidRDefault="00D62B11">
      <w:pPr>
        <w:pStyle w:val="Heading2"/>
        <w:spacing w:before="360"/>
        <w:rPr>
          <w:color w:val="C9A84C"/>
        </w:rPr>
      </w:pPr>
    </w:p>
    <w:p w14:paraId="72C39493" w14:textId="691D40C5" w:rsidR="003562DF" w:rsidRDefault="00000000">
      <w:pPr>
        <w:pStyle w:val="Heading2"/>
        <w:spacing w:before="360"/>
      </w:pPr>
      <w:r>
        <w:rPr>
          <w:color w:val="C9A84C"/>
        </w:rPr>
        <w:lastRenderedPageBreak/>
        <w:t xml:space="preserve">SLIDE </w:t>
      </w:r>
      <w:proofErr w:type="gramStart"/>
      <w:r>
        <w:rPr>
          <w:color w:val="C9A84C"/>
        </w:rPr>
        <w:t>7  ·</w:t>
      </w:r>
      <w:proofErr w:type="gramEnd"/>
      <w:r>
        <w:rPr>
          <w:color w:val="C9A84C"/>
        </w:rPr>
        <w:t xml:space="preserve">  </w:t>
      </w:r>
      <w:r>
        <w:t>STATEMENT OF ACTIVITIES</w:t>
      </w:r>
    </w:p>
    <w:p w14:paraId="5427B786" w14:textId="77777777" w:rsidR="003562DF" w:rsidRDefault="003562DF">
      <w:pPr>
        <w:pBdr>
          <w:bottom w:val="single" w:sz="8" w:space="1" w:color="6B2D8A"/>
        </w:pBdr>
        <w:spacing w:before="80" w:after="80"/>
      </w:pPr>
    </w:p>
    <w:p w14:paraId="12B86DB8" w14:textId="77777777" w:rsidR="003562DF" w:rsidRDefault="00000000">
      <w:pPr>
        <w:spacing w:before="160" w:after="60"/>
      </w:pPr>
      <w:r>
        <w:rPr>
          <w:b/>
          <w:bCs/>
          <w:caps/>
          <w:color w:val="6B2D8A"/>
        </w:rPr>
        <w:t>Revenue — The Full Picture</w:t>
      </w:r>
    </w:p>
    <w:p w14:paraId="4855DDBF" w14:textId="77777777" w:rsidR="003562DF" w:rsidRDefault="00000000">
      <w:pPr>
        <w:pStyle w:val="ListParagraph"/>
        <w:numPr>
          <w:ilvl w:val="0"/>
          <w:numId w:val="2"/>
        </w:numPr>
        <w:spacing w:before="40" w:after="40"/>
      </w:pPr>
      <w:r>
        <w:rPr>
          <w:color w:val="2E2E2E"/>
        </w:rPr>
        <w:t>Total revenue grew from $1,494,174 in FY2024 to $1,973,923 in FY2025 — an increase of $479,749 (32%).</w:t>
      </w:r>
    </w:p>
    <w:p w14:paraId="2128C12E" w14:textId="77777777" w:rsidR="003562DF" w:rsidRDefault="00000000">
      <w:pPr>
        <w:pStyle w:val="ListParagraph"/>
        <w:numPr>
          <w:ilvl w:val="0"/>
          <w:numId w:val="2"/>
        </w:numPr>
        <w:spacing w:before="40" w:after="40"/>
      </w:pPr>
      <w:r>
        <w:rPr>
          <w:color w:val="2E2E2E"/>
        </w:rPr>
        <w:t>Gross MDiv tuition was $729,303 — representing the enrollment growth. After scholarships of $668,132, net tuition was $61,171.</w:t>
      </w:r>
    </w:p>
    <w:p w14:paraId="3387BE8E" w14:textId="77777777" w:rsidR="003562DF" w:rsidRDefault="00000000">
      <w:pPr>
        <w:pStyle w:val="ListParagraph"/>
        <w:numPr>
          <w:ilvl w:val="0"/>
          <w:numId w:val="2"/>
        </w:numPr>
        <w:spacing w:before="40" w:after="40"/>
      </w:pPr>
      <w:r>
        <w:rPr>
          <w:color w:val="2E2E2E"/>
        </w:rPr>
        <w:t>Auxiliary enterprise (Talbot Hall housing): $1,279,562 — up from $610,006 in FY2024. This is the single most important revenue story.</w:t>
      </w:r>
    </w:p>
    <w:p w14:paraId="79A613F1" w14:textId="77777777" w:rsidR="003562DF" w:rsidRDefault="00000000">
      <w:pPr>
        <w:pStyle w:val="ListParagraph"/>
        <w:numPr>
          <w:ilvl w:val="0"/>
          <w:numId w:val="2"/>
        </w:numPr>
        <w:spacing w:before="40" w:after="40"/>
      </w:pPr>
      <w:r>
        <w:rPr>
          <w:color w:val="2E2E2E"/>
        </w:rPr>
        <w:t>Private gifts and grants: $594,121. This reflects strong philanthropic momentum.</w:t>
      </w:r>
    </w:p>
    <w:p w14:paraId="7357F3E4" w14:textId="77777777" w:rsidR="003562DF" w:rsidRDefault="00000000">
      <w:pPr>
        <w:pStyle w:val="ListParagraph"/>
        <w:numPr>
          <w:ilvl w:val="0"/>
          <w:numId w:val="2"/>
        </w:numPr>
        <w:spacing w:before="40" w:after="40"/>
      </w:pPr>
      <w:r>
        <w:rPr>
          <w:color w:val="2E2E2E"/>
        </w:rPr>
        <w:t>Investment income: $38,266 from the endowment portfolio.</w:t>
      </w:r>
    </w:p>
    <w:p w14:paraId="10346F09" w14:textId="77777777" w:rsidR="003562DF" w:rsidRDefault="003562DF">
      <w:pPr>
        <w:spacing w:before="80" w:after="80"/>
      </w:pPr>
    </w:p>
    <w:p w14:paraId="469473D3" w14:textId="77777777" w:rsidR="003562DF" w:rsidRDefault="00000000">
      <w:pPr>
        <w:spacing w:before="160" w:after="60"/>
      </w:pPr>
      <w:r>
        <w:rPr>
          <w:b/>
          <w:bCs/>
          <w:caps/>
          <w:color w:val="6B2D8A"/>
        </w:rPr>
        <w:t>Expenses — Context Required</w:t>
      </w:r>
    </w:p>
    <w:p w14:paraId="482C5166" w14:textId="77777777" w:rsidR="003562DF" w:rsidRDefault="00000000">
      <w:pPr>
        <w:pStyle w:val="ListParagraph"/>
        <w:numPr>
          <w:ilvl w:val="0"/>
          <w:numId w:val="2"/>
        </w:numPr>
        <w:spacing w:before="40" w:after="40"/>
      </w:pPr>
      <w:r>
        <w:rPr>
          <w:color w:val="2E2E2E"/>
        </w:rPr>
        <w:t>Total expenses were $2,075,549 — up from $1,413,849 in FY2024.</w:t>
      </w:r>
    </w:p>
    <w:p w14:paraId="673B9789" w14:textId="77777777" w:rsidR="003562DF" w:rsidRDefault="00000000">
      <w:pPr>
        <w:pStyle w:val="ListParagraph"/>
        <w:numPr>
          <w:ilvl w:val="0"/>
          <w:numId w:val="2"/>
        </w:numPr>
        <w:spacing w:before="40" w:after="40"/>
      </w:pPr>
      <w:r>
        <w:rPr>
          <w:color w:val="2E2E2E"/>
        </w:rPr>
        <w:t>Program services (direct mission expenses): $1,091,965. This increase reflects the scholarship investment — scholarships are classified as program expenses.</w:t>
      </w:r>
    </w:p>
    <w:p w14:paraId="743148AB" w14:textId="77777777" w:rsidR="003562DF" w:rsidRDefault="00000000">
      <w:pPr>
        <w:pStyle w:val="ListParagraph"/>
        <w:numPr>
          <w:ilvl w:val="0"/>
          <w:numId w:val="2"/>
        </w:numPr>
        <w:spacing w:before="40" w:after="40"/>
      </w:pPr>
      <w:r>
        <w:rPr>
          <w:color w:val="2E2E2E"/>
        </w:rPr>
        <w:t>Management and general: $983,584. This category includes housing operations, accreditation costs, and administrative infrastructure.</w:t>
      </w:r>
    </w:p>
    <w:p w14:paraId="21BDC986" w14:textId="77777777" w:rsidR="003562DF" w:rsidRDefault="00000000">
      <w:pPr>
        <w:pStyle w:val="ListParagraph"/>
        <w:numPr>
          <w:ilvl w:val="0"/>
          <w:numId w:val="2"/>
        </w:numPr>
        <w:spacing w:before="40" w:after="40"/>
      </w:pPr>
      <w:r>
        <w:rPr>
          <w:color w:val="2E2E2E"/>
        </w:rPr>
        <w:t>The expense increase is directly correlated with revenue growth. Higher housing revenue requires higher housing operating costs. More students require more academic support. These are investment expenses, not overhead creep.</w:t>
      </w:r>
    </w:p>
    <w:p w14:paraId="08E8E7D5" w14:textId="77777777" w:rsidR="003562DF" w:rsidRDefault="003562DF">
      <w:pPr>
        <w:spacing w:before="80" w:after="80"/>
      </w:pPr>
    </w:p>
    <w:p w14:paraId="6A129B29" w14:textId="77777777" w:rsidR="003562DF" w:rsidRDefault="00000000">
      <w:pPr>
        <w:spacing w:before="160" w:after="60"/>
      </w:pPr>
      <w:r>
        <w:rPr>
          <w:b/>
          <w:bCs/>
          <w:caps/>
          <w:color w:val="6B2D8A"/>
        </w:rPr>
        <w:t>The Net</w:t>
      </w:r>
    </w:p>
    <w:p w14:paraId="66D76A5B" w14:textId="77777777" w:rsidR="003562DF" w:rsidRDefault="00000000">
      <w:pPr>
        <w:spacing w:before="40" w:after="80"/>
      </w:pPr>
      <w:r>
        <w:rPr>
          <w:color w:val="2E2E2E"/>
        </w:rPr>
        <w:t xml:space="preserve">Net change in net assets was ($101,626). Total assets increased by $162,364 despite the deficit — the capital investment created more balance sheet value than the operating loss consumed. The institution </w:t>
      </w:r>
      <w:proofErr w:type="gramStart"/>
      <w:r>
        <w:rPr>
          <w:color w:val="2E2E2E"/>
        </w:rPr>
        <w:t>ended</w:t>
      </w:r>
      <w:proofErr w:type="gramEnd"/>
      <w:r>
        <w:rPr>
          <w:color w:val="2E2E2E"/>
        </w:rPr>
        <w:t xml:space="preserve"> FY2025</w:t>
      </w:r>
      <w:proofErr w:type="gramStart"/>
      <w:r>
        <w:rPr>
          <w:color w:val="2E2E2E"/>
        </w:rPr>
        <w:t xml:space="preserve"> larger</w:t>
      </w:r>
      <w:proofErr w:type="gramEnd"/>
      <w:r>
        <w:rPr>
          <w:color w:val="2E2E2E"/>
        </w:rPr>
        <w:t xml:space="preserve"> than it started.</w:t>
      </w:r>
    </w:p>
    <w:p w14:paraId="71180590"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4FE5A8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419A63B7" w14:textId="77777777" w:rsidR="003562DF" w:rsidRDefault="00000000">
            <w:pPr>
              <w:spacing w:after="40"/>
            </w:pPr>
            <w:r>
              <w:rPr>
                <w:b/>
                <w:bCs/>
                <w:color w:val="6B2D8A"/>
                <w:sz w:val="19"/>
                <w:szCs w:val="19"/>
              </w:rPr>
              <w:t>Q: Management and general expenses are high relative to program expenses. Is that appropriate?</w:t>
            </w:r>
          </w:p>
          <w:p w14:paraId="5AF04DCD" w14:textId="77777777" w:rsidR="003562DF" w:rsidRDefault="00000000">
            <w:r>
              <w:rPr>
                <w:color w:val="2E2E2E"/>
                <w:sz w:val="19"/>
                <w:szCs w:val="19"/>
              </w:rPr>
              <w:t>A: For an institution in a growth and infrastructure phase, yes. Housing operations — a significant portion of management and general — are a direct enabler of the program. Accreditation costs, also in this category, are strategic investments in the institution's future. As enrollment grows and the program services category scales, the ratio will normalize. We are tracking this and it is a focus area for FY2026 budget management.</w:t>
            </w:r>
          </w:p>
        </w:tc>
      </w:tr>
    </w:tbl>
    <w:p w14:paraId="386B3C34" w14:textId="77777777" w:rsidR="003562DF" w:rsidRDefault="003562DF">
      <w:pPr>
        <w:spacing w:before="80" w:after="80"/>
      </w:pPr>
    </w:p>
    <w:p w14:paraId="04F16AD0" w14:textId="77777777" w:rsidR="003562DF" w:rsidRDefault="00000000">
      <w:r>
        <w:br w:type="page"/>
      </w:r>
    </w:p>
    <w:p w14:paraId="3C9B71D3" w14:textId="77777777" w:rsidR="003562DF" w:rsidRDefault="00000000">
      <w:pPr>
        <w:pStyle w:val="Heading2"/>
        <w:spacing w:before="360"/>
      </w:pPr>
      <w:r>
        <w:rPr>
          <w:color w:val="C9A84C"/>
        </w:rPr>
        <w:lastRenderedPageBreak/>
        <w:t xml:space="preserve">SLIDE </w:t>
      </w:r>
      <w:proofErr w:type="gramStart"/>
      <w:r>
        <w:rPr>
          <w:color w:val="C9A84C"/>
        </w:rPr>
        <w:t>8  ·</w:t>
      </w:r>
      <w:proofErr w:type="gramEnd"/>
      <w:r>
        <w:rPr>
          <w:color w:val="C9A84C"/>
        </w:rPr>
        <w:t xml:space="preserve">  </w:t>
      </w:r>
      <w:r>
        <w:t>FY2026 YEAR-TO-DATE PERFORMANCE</w:t>
      </w:r>
    </w:p>
    <w:p w14:paraId="326A7156" w14:textId="77777777" w:rsidR="003562DF" w:rsidRDefault="003562DF">
      <w:pPr>
        <w:pBdr>
          <w:bottom w:val="single" w:sz="8" w:space="1" w:color="6B2D8A"/>
        </w:pBdr>
        <w:spacing w:before="80" w:after="80"/>
      </w:pPr>
    </w:p>
    <w:p w14:paraId="388AC73C" w14:textId="77777777" w:rsidR="003562DF" w:rsidRDefault="00000000">
      <w:pPr>
        <w:spacing w:before="160" w:after="60"/>
      </w:pPr>
      <w:r>
        <w:rPr>
          <w:b/>
          <w:bCs/>
          <w:caps/>
          <w:color w:val="6B2D8A"/>
        </w:rPr>
        <w:t>The Story</w:t>
      </w:r>
    </w:p>
    <w:p w14:paraId="3F0A1E37" w14:textId="77777777" w:rsidR="003562DF" w:rsidRDefault="00000000">
      <w:pPr>
        <w:spacing w:before="40" w:after="80"/>
      </w:pPr>
      <w:r>
        <w:rPr>
          <w:color w:val="2E2E2E"/>
        </w:rPr>
        <w:t>Through February 28, 2026 — 8 months into FY2026 — the institution has reversed the FY2025 deficit and is generating positive operating income. The FY2025 strategy is working.</w:t>
      </w:r>
    </w:p>
    <w:p w14:paraId="02360085" w14:textId="77777777" w:rsidR="003562DF" w:rsidRDefault="003562DF">
      <w:pPr>
        <w:spacing w:before="80" w:after="80"/>
      </w:pPr>
    </w:p>
    <w:p w14:paraId="6CBEAE4E" w14:textId="77777777" w:rsidR="003562DF" w:rsidRDefault="00000000">
      <w:pPr>
        <w:spacing w:before="160" w:after="60"/>
      </w:pPr>
      <w:r>
        <w:rPr>
          <w:b/>
          <w:bCs/>
          <w:caps/>
          <w:color w:val="6B2D8A"/>
        </w:rPr>
        <w:t>Key Numbers</w:t>
      </w:r>
    </w:p>
    <w:p w14:paraId="6A31C4D2" w14:textId="77777777" w:rsidR="003562DF" w:rsidRDefault="00000000">
      <w:pPr>
        <w:pStyle w:val="ListParagraph"/>
        <w:numPr>
          <w:ilvl w:val="0"/>
          <w:numId w:val="2"/>
        </w:numPr>
        <w:spacing w:before="40" w:after="40"/>
      </w:pPr>
      <w:r>
        <w:rPr>
          <w:color w:val="2E2E2E"/>
        </w:rPr>
        <w:t xml:space="preserve">Total Revenue: $1,782,964 </w:t>
      </w:r>
      <w:proofErr w:type="gramStart"/>
      <w:r>
        <w:rPr>
          <w:color w:val="2E2E2E"/>
        </w:rPr>
        <w:t>through</w:t>
      </w:r>
      <w:proofErr w:type="gramEnd"/>
      <w:r>
        <w:rPr>
          <w:color w:val="2E2E2E"/>
        </w:rPr>
        <w:t xml:space="preserve"> 8 months.</w:t>
      </w:r>
    </w:p>
    <w:p w14:paraId="12589F02" w14:textId="77777777" w:rsidR="003562DF" w:rsidRDefault="00000000">
      <w:pPr>
        <w:pStyle w:val="ListParagraph"/>
        <w:numPr>
          <w:ilvl w:val="0"/>
          <w:numId w:val="2"/>
        </w:numPr>
        <w:spacing w:before="40" w:after="40"/>
      </w:pPr>
      <w:r>
        <w:rPr>
          <w:color w:val="2E2E2E"/>
        </w:rPr>
        <w:t>Net Operating Income: $256,075 — positive, before investment income.</w:t>
      </w:r>
    </w:p>
    <w:p w14:paraId="6CD8C6B9" w14:textId="77777777" w:rsidR="003562DF" w:rsidRDefault="00000000">
      <w:pPr>
        <w:pStyle w:val="ListParagraph"/>
        <w:numPr>
          <w:ilvl w:val="0"/>
          <w:numId w:val="2"/>
        </w:numPr>
        <w:spacing w:before="40" w:after="40"/>
      </w:pPr>
      <w:r>
        <w:rPr>
          <w:color w:val="2E2E2E"/>
        </w:rPr>
        <w:t>Net Revenue (including $31K investment income): $287,116.</w:t>
      </w:r>
    </w:p>
    <w:p w14:paraId="534C8D7C" w14:textId="77777777" w:rsidR="003562DF" w:rsidRDefault="00000000">
      <w:pPr>
        <w:pStyle w:val="ListParagraph"/>
        <w:numPr>
          <w:ilvl w:val="0"/>
          <w:numId w:val="2"/>
        </w:numPr>
        <w:spacing w:before="40" w:after="40"/>
      </w:pPr>
      <w:r>
        <w:rPr>
          <w:color w:val="2E2E2E"/>
        </w:rPr>
        <w:t>Housing Revenue: $1,163,154 — 41% above the annual budget of $825,903 with 4 months remaining in the fiscal year.</w:t>
      </w:r>
    </w:p>
    <w:p w14:paraId="3ADCA5A4" w14:textId="77777777" w:rsidR="003562DF" w:rsidRDefault="00000000">
      <w:pPr>
        <w:pStyle w:val="ListParagraph"/>
        <w:numPr>
          <w:ilvl w:val="0"/>
          <w:numId w:val="2"/>
        </w:numPr>
        <w:spacing w:before="40" w:after="40"/>
      </w:pPr>
      <w:r>
        <w:rPr>
          <w:color w:val="2E2E2E"/>
        </w:rPr>
        <w:t xml:space="preserve">MDiv Tuition Gross: $708,380 — double the $353,600 budget. Enrollment growth is translating directly </w:t>
      </w:r>
      <w:proofErr w:type="gramStart"/>
      <w:r>
        <w:rPr>
          <w:color w:val="2E2E2E"/>
        </w:rPr>
        <w:t>to</w:t>
      </w:r>
      <w:proofErr w:type="gramEnd"/>
      <w:r>
        <w:rPr>
          <w:color w:val="2E2E2E"/>
        </w:rPr>
        <w:t xml:space="preserve"> tuition revenue.</w:t>
      </w:r>
    </w:p>
    <w:p w14:paraId="3DCB4504" w14:textId="77777777" w:rsidR="003562DF" w:rsidRDefault="00000000">
      <w:pPr>
        <w:pStyle w:val="ListParagraph"/>
        <w:numPr>
          <w:ilvl w:val="0"/>
          <w:numId w:val="2"/>
        </w:numPr>
        <w:spacing w:before="40" w:after="40"/>
      </w:pPr>
      <w:r>
        <w:rPr>
          <w:color w:val="2E2E2E"/>
        </w:rPr>
        <w:t>Enrollment: 64 MDiv students in Spring 2026, up from 54 in Fall 2025 and 33 in Spring 2025.</w:t>
      </w:r>
    </w:p>
    <w:p w14:paraId="3A238C63" w14:textId="77777777" w:rsidR="003562DF" w:rsidRDefault="00000000">
      <w:pPr>
        <w:pStyle w:val="ListParagraph"/>
        <w:numPr>
          <w:ilvl w:val="0"/>
          <w:numId w:val="2"/>
        </w:numPr>
        <w:spacing w:before="40" w:after="40"/>
      </w:pPr>
      <w:r>
        <w:rPr>
          <w:color w:val="2E2E2E"/>
        </w:rPr>
        <w:t>Cash on Hand: $123,206 as of February 28.</w:t>
      </w:r>
    </w:p>
    <w:p w14:paraId="00CD74F4" w14:textId="77777777" w:rsidR="003562DF" w:rsidRDefault="00000000">
      <w:pPr>
        <w:pStyle w:val="ListParagraph"/>
        <w:numPr>
          <w:ilvl w:val="0"/>
          <w:numId w:val="2"/>
        </w:numPr>
        <w:spacing w:before="40" w:after="40"/>
      </w:pPr>
      <w:r>
        <w:rPr>
          <w:color w:val="2E2E2E"/>
        </w:rPr>
        <w:t>Salary Realignment Savings: $13,750 per month — $165,000 annualized impact from strategic staffing changes.</w:t>
      </w:r>
    </w:p>
    <w:p w14:paraId="650C76F3" w14:textId="77777777" w:rsidR="003562DF" w:rsidRDefault="003562DF">
      <w:pPr>
        <w:spacing w:before="80" w:after="80"/>
      </w:pPr>
    </w:p>
    <w:p w14:paraId="2A3C3EF7" w14:textId="77777777" w:rsidR="003562DF" w:rsidRDefault="00000000">
      <w:pPr>
        <w:spacing w:before="160" w:after="60"/>
      </w:pPr>
      <w:r>
        <w:rPr>
          <w:b/>
          <w:bCs/>
          <w:caps/>
          <w:color w:val="6B2D8A"/>
        </w:rPr>
        <w:t>What This Means</w:t>
      </w:r>
    </w:p>
    <w:p w14:paraId="6448643E" w14:textId="77777777" w:rsidR="003562DF" w:rsidRDefault="00000000">
      <w:pPr>
        <w:spacing w:before="40" w:after="80"/>
      </w:pPr>
      <w:r>
        <w:rPr>
          <w:color w:val="2E2E2E"/>
        </w:rPr>
        <w:t>The institution is on track for a positive net income year in FY2026. The investments made in FY2025 are producing the returns that were projected. The housing revenue trajectory suggests full-year performance well above budget. Enrollment growth continues.</w:t>
      </w:r>
    </w:p>
    <w:p w14:paraId="483A888C"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4664E9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08953D87" w14:textId="77777777" w:rsidR="003562DF" w:rsidRDefault="00000000">
            <w:pPr>
              <w:spacing w:after="40"/>
            </w:pPr>
            <w:r>
              <w:rPr>
                <w:b/>
                <w:bCs/>
                <w:color w:val="6B2D8A"/>
                <w:sz w:val="19"/>
                <w:szCs w:val="19"/>
              </w:rPr>
              <w:t>Q: What is the full-year FY2026 projection?</w:t>
            </w:r>
          </w:p>
          <w:p w14:paraId="60660F46" w14:textId="77777777" w:rsidR="003562DF" w:rsidRDefault="00000000">
            <w:r>
              <w:rPr>
                <w:color w:val="2E2E2E"/>
                <w:sz w:val="19"/>
                <w:szCs w:val="19"/>
              </w:rPr>
              <w:t xml:space="preserve">A: We are projecting positive operating performance for FY2026. The remaining revenue targets include the President's Initiative ($300,000), an advancement campaign ($50,000), the Scholarship Breakfast ($50,000 net), and continued housing occupancy at 70% or </w:t>
            </w:r>
            <w:proofErr w:type="gramStart"/>
            <w:r>
              <w:rPr>
                <w:color w:val="2E2E2E"/>
                <w:sz w:val="19"/>
                <w:szCs w:val="19"/>
              </w:rPr>
              <w:t>above</w:t>
            </w:r>
            <w:proofErr w:type="gramEnd"/>
            <w:r>
              <w:rPr>
                <w:color w:val="2E2E2E"/>
                <w:sz w:val="19"/>
                <w:szCs w:val="19"/>
              </w:rPr>
              <w:t>. Total additional revenue target through June 30 is $400,000+. Combined with the YTD position, FY2026 should produce a meaningful positive result.</w:t>
            </w:r>
          </w:p>
        </w:tc>
      </w:tr>
    </w:tbl>
    <w:p w14:paraId="2853B554"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3A9AA7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2E6022E5" w14:textId="77777777" w:rsidR="003562DF" w:rsidRDefault="00000000">
            <w:pPr>
              <w:spacing w:after="40"/>
            </w:pPr>
            <w:r>
              <w:rPr>
                <w:b/>
                <w:bCs/>
                <w:color w:val="6B2D8A"/>
                <w:sz w:val="19"/>
                <w:szCs w:val="19"/>
              </w:rPr>
              <w:t>Q: What happened with the salary realignment?</w:t>
            </w:r>
          </w:p>
          <w:p w14:paraId="39277AB1" w14:textId="77777777" w:rsidR="003562DF" w:rsidRDefault="00000000">
            <w:r>
              <w:rPr>
                <w:color w:val="2E2E2E"/>
                <w:sz w:val="19"/>
                <w:szCs w:val="19"/>
              </w:rPr>
              <w:t xml:space="preserve">A: Through strategic staffing adjustments and reassignment of functions, the institution reduced monthly salary costs by approximately $13,750. This was accomplished through a combination of position eliminations, contractor reductions, and internal reassignments — without </w:t>
            </w:r>
            <w:proofErr w:type="gramStart"/>
            <w:r>
              <w:rPr>
                <w:color w:val="2E2E2E"/>
                <w:sz w:val="19"/>
                <w:szCs w:val="19"/>
              </w:rPr>
              <w:t>reducing service</w:t>
            </w:r>
            <w:proofErr w:type="gramEnd"/>
            <w:r>
              <w:rPr>
                <w:color w:val="2E2E2E"/>
                <w:sz w:val="19"/>
                <w:szCs w:val="19"/>
              </w:rPr>
              <w:t xml:space="preserve"> delivery. The annualized impact is $165,000.</w:t>
            </w:r>
          </w:p>
        </w:tc>
      </w:tr>
    </w:tbl>
    <w:p w14:paraId="5A15D33E" w14:textId="77777777" w:rsidR="003562DF" w:rsidRDefault="003562DF">
      <w:pPr>
        <w:spacing w:before="80" w:after="80"/>
      </w:pPr>
    </w:p>
    <w:p w14:paraId="7185170A" w14:textId="77777777" w:rsidR="00D62B11" w:rsidRDefault="00D62B11">
      <w:pPr>
        <w:pStyle w:val="Heading2"/>
        <w:spacing w:before="360"/>
        <w:rPr>
          <w:color w:val="C9A84C"/>
        </w:rPr>
      </w:pPr>
    </w:p>
    <w:p w14:paraId="238B6C7E" w14:textId="77777777" w:rsidR="00D62B11" w:rsidRDefault="00D62B11">
      <w:pPr>
        <w:pStyle w:val="Heading2"/>
        <w:spacing w:before="360"/>
        <w:rPr>
          <w:color w:val="C9A84C"/>
        </w:rPr>
      </w:pPr>
    </w:p>
    <w:p w14:paraId="14314FC6" w14:textId="77777777" w:rsidR="00D62B11" w:rsidRDefault="00D62B11">
      <w:pPr>
        <w:pStyle w:val="Heading2"/>
        <w:spacing w:before="360"/>
        <w:rPr>
          <w:color w:val="C9A84C"/>
        </w:rPr>
      </w:pPr>
    </w:p>
    <w:p w14:paraId="785CBDAA" w14:textId="77777777" w:rsidR="00D62B11" w:rsidRDefault="00D62B11">
      <w:pPr>
        <w:pStyle w:val="Heading2"/>
        <w:spacing w:before="360"/>
        <w:rPr>
          <w:color w:val="C9A84C"/>
        </w:rPr>
      </w:pPr>
    </w:p>
    <w:p w14:paraId="1255D8C7" w14:textId="42CE1DDF" w:rsidR="003562DF" w:rsidRDefault="00000000">
      <w:pPr>
        <w:pStyle w:val="Heading2"/>
        <w:spacing w:before="360"/>
      </w:pPr>
      <w:r>
        <w:rPr>
          <w:color w:val="C9A84C"/>
        </w:rPr>
        <w:lastRenderedPageBreak/>
        <w:t xml:space="preserve">SLIDE </w:t>
      </w:r>
      <w:proofErr w:type="gramStart"/>
      <w:r>
        <w:rPr>
          <w:color w:val="C9A84C"/>
        </w:rPr>
        <w:t>9  ·</w:t>
      </w:r>
      <w:proofErr w:type="gramEnd"/>
      <w:r>
        <w:rPr>
          <w:color w:val="C9A84C"/>
        </w:rPr>
        <w:t xml:space="preserve">  </w:t>
      </w:r>
      <w:r>
        <w:t>STRATEGIC MOMENTUM</w:t>
      </w:r>
    </w:p>
    <w:p w14:paraId="026A0950" w14:textId="77777777" w:rsidR="003562DF" w:rsidRDefault="003562DF">
      <w:pPr>
        <w:pBdr>
          <w:bottom w:val="single" w:sz="8" w:space="1" w:color="6B2D8A"/>
        </w:pBdr>
        <w:spacing w:before="80" w:after="80"/>
      </w:pPr>
    </w:p>
    <w:p w14:paraId="38F3EC53" w14:textId="77777777" w:rsidR="003562DF" w:rsidRDefault="00000000">
      <w:pPr>
        <w:spacing w:before="160" w:after="60"/>
      </w:pPr>
      <w:r>
        <w:rPr>
          <w:b/>
          <w:bCs/>
          <w:caps/>
          <w:color w:val="6B2D8A"/>
        </w:rPr>
        <w:t>Key Milestones as of April 2026</w:t>
      </w:r>
    </w:p>
    <w:p w14:paraId="00BDF0B8" w14:textId="77777777" w:rsidR="003562DF" w:rsidRDefault="00000000">
      <w:pPr>
        <w:pStyle w:val="ListParagraph"/>
        <w:numPr>
          <w:ilvl w:val="0"/>
          <w:numId w:val="2"/>
        </w:numPr>
        <w:spacing w:before="40" w:after="40"/>
      </w:pPr>
      <w:r>
        <w:rPr>
          <w:color w:val="2E2E2E"/>
        </w:rPr>
        <w:t xml:space="preserve">SACSCOC Deficit Petition: APPROVED — April 23, 2026. The petition for exception to the annual operating deficit requirement was submitted March 31, </w:t>
      </w:r>
      <w:proofErr w:type="gramStart"/>
      <w:r>
        <w:rPr>
          <w:color w:val="2E2E2E"/>
        </w:rPr>
        <w:t>2026</w:t>
      </w:r>
      <w:proofErr w:type="gramEnd"/>
      <w:r>
        <w:rPr>
          <w:color w:val="2E2E2E"/>
        </w:rPr>
        <w:t xml:space="preserve"> and approved by the Council on April 23. This is a significant institutional achievement that directly supports our accreditation pathway.</w:t>
      </w:r>
    </w:p>
    <w:p w14:paraId="11C86EAE" w14:textId="77777777" w:rsidR="003562DF" w:rsidRDefault="00000000">
      <w:pPr>
        <w:pStyle w:val="ListParagraph"/>
        <w:numPr>
          <w:ilvl w:val="0"/>
          <w:numId w:val="2"/>
        </w:numPr>
        <w:spacing w:before="40" w:after="40"/>
      </w:pPr>
      <w:r>
        <w:rPr>
          <w:color w:val="2E2E2E"/>
        </w:rPr>
        <w:t xml:space="preserve">Title IV / PPA: Submitted March 20, </w:t>
      </w:r>
      <w:proofErr w:type="gramStart"/>
      <w:r>
        <w:rPr>
          <w:color w:val="2E2E2E"/>
        </w:rPr>
        <w:t>2026</w:t>
      </w:r>
      <w:proofErr w:type="gramEnd"/>
      <w:r>
        <w:rPr>
          <w:color w:val="2E2E2E"/>
        </w:rPr>
        <w:t xml:space="preserve"> to USDE. Pending approval. Target: Spring 2027. Title IV access is transformational for enrollment capacity and student support.</w:t>
      </w:r>
    </w:p>
    <w:p w14:paraId="514AC6A7" w14:textId="77777777" w:rsidR="003562DF" w:rsidRDefault="00000000">
      <w:pPr>
        <w:pStyle w:val="ListParagraph"/>
        <w:numPr>
          <w:ilvl w:val="0"/>
          <w:numId w:val="2"/>
        </w:numPr>
        <w:spacing w:before="40" w:after="40"/>
      </w:pPr>
      <w:r>
        <w:rPr>
          <w:color w:val="2E2E2E"/>
        </w:rPr>
        <w:t>TRACS Candidacy: Confirmed in the FY2025 audit. The U.S. Department of Education recognizes TRACS, establishing the legal pathway to Title IV.</w:t>
      </w:r>
    </w:p>
    <w:p w14:paraId="3CB3D7E9" w14:textId="77777777" w:rsidR="003562DF" w:rsidRDefault="00000000">
      <w:pPr>
        <w:pStyle w:val="ListParagraph"/>
        <w:numPr>
          <w:ilvl w:val="0"/>
          <w:numId w:val="2"/>
        </w:numPr>
        <w:spacing w:before="40" w:after="40"/>
      </w:pPr>
      <w:r>
        <w:rPr>
          <w:color w:val="2E2E2E"/>
        </w:rPr>
        <w:t>Lilly Endowment: $10 million collaborative grant awarded. MOUs with 9 partner institutions are in development. This is the largest grant in the institution's recent history.</w:t>
      </w:r>
    </w:p>
    <w:p w14:paraId="5A6EE2B4" w14:textId="77777777" w:rsidR="003562DF" w:rsidRDefault="00000000">
      <w:pPr>
        <w:pStyle w:val="ListParagraph"/>
        <w:numPr>
          <w:ilvl w:val="0"/>
          <w:numId w:val="2"/>
        </w:numPr>
        <w:spacing w:before="40" w:after="40"/>
      </w:pPr>
      <w:r>
        <w:rPr>
          <w:color w:val="2E2E2E"/>
        </w:rPr>
        <w:t>GEMA Non-Profit Security Grant: $200,000 application submitted, pending approval.</w:t>
      </w:r>
    </w:p>
    <w:p w14:paraId="6AFC0428" w14:textId="77777777" w:rsidR="003562DF" w:rsidRDefault="00000000">
      <w:pPr>
        <w:pStyle w:val="ListParagraph"/>
        <w:numPr>
          <w:ilvl w:val="0"/>
          <w:numId w:val="2"/>
        </w:numPr>
        <w:spacing w:before="40" w:after="40"/>
      </w:pPr>
      <w:r>
        <w:rPr>
          <w:color w:val="2E2E2E"/>
        </w:rPr>
        <w:t>Endowment: $405,021 at FY25 year-end — 10% growth. Target: $1 million by December 2026. Zero distributions taken.</w:t>
      </w:r>
    </w:p>
    <w:p w14:paraId="61385A88" w14:textId="77777777" w:rsidR="003562DF" w:rsidRDefault="00000000">
      <w:pPr>
        <w:pStyle w:val="ListParagraph"/>
        <w:numPr>
          <w:ilvl w:val="0"/>
          <w:numId w:val="2"/>
        </w:numPr>
        <w:spacing w:before="40" w:after="40"/>
      </w:pPr>
      <w:r>
        <w:rPr>
          <w:color w:val="2E2E2E"/>
        </w:rPr>
        <w:t>Accreditation: All three pathways (SACSCOC, ATS, TRACS) are on schedule. Total accreditation investment through March 2026: $116,980.</w:t>
      </w:r>
    </w:p>
    <w:p w14:paraId="49F5F1BE" w14:textId="77777777" w:rsidR="003562DF" w:rsidRDefault="003562DF">
      <w:pPr>
        <w:spacing w:before="80" w:after="80"/>
      </w:pPr>
    </w:p>
    <w:p w14:paraId="7B47D3CC" w14:textId="77777777" w:rsidR="003562DF" w:rsidRDefault="00000000">
      <w:pPr>
        <w:spacing w:before="160" w:after="60"/>
      </w:pPr>
      <w:r>
        <w:rPr>
          <w:b/>
          <w:bCs/>
          <w:caps/>
          <w:color w:val="6B2D8A"/>
        </w:rPr>
        <w:t>What These Milestones Mean Together</w:t>
      </w:r>
    </w:p>
    <w:p w14:paraId="0D9527C8" w14:textId="26E8C6CE" w:rsidR="003562DF" w:rsidRDefault="00000000">
      <w:pPr>
        <w:spacing w:before="40" w:after="80"/>
      </w:pPr>
      <w:r>
        <w:rPr>
          <w:color w:val="2E2E2E"/>
        </w:rPr>
        <w:t xml:space="preserve">The financial story and the strategic story are the same story. Every milestone listed above was enabled by the financial decisions made in FY2025. Enrollment growth supported the SACSCOC petition. Housing revenue credibility supported the Lilly grant narrative. </w:t>
      </w:r>
      <w:proofErr w:type="gramStart"/>
      <w:r>
        <w:rPr>
          <w:color w:val="2E2E2E"/>
        </w:rPr>
        <w:t>The</w:t>
      </w:r>
      <w:r w:rsidR="00D62B11">
        <w:rPr>
          <w:color w:val="2E2E2E"/>
        </w:rPr>
        <w:t xml:space="preserve"> </w:t>
      </w:r>
      <w:r>
        <w:rPr>
          <w:color w:val="2E2E2E"/>
        </w:rPr>
        <w:t>endowment</w:t>
      </w:r>
      <w:proofErr w:type="gramEnd"/>
      <w:r>
        <w:rPr>
          <w:color w:val="2E2E2E"/>
        </w:rPr>
        <w:t xml:space="preserve"> growth demonstrates responsible stewardship. This is an institution that made hard decisions in a hard year and is now seeing those decisions vindicated.</w:t>
      </w:r>
    </w:p>
    <w:p w14:paraId="2E23E213"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077EBC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31A4B225" w14:textId="77777777" w:rsidR="003562DF" w:rsidRDefault="00000000">
            <w:pPr>
              <w:spacing w:after="40"/>
            </w:pPr>
            <w:r>
              <w:rPr>
                <w:b/>
                <w:bCs/>
                <w:color w:val="6B2D8A"/>
                <w:sz w:val="19"/>
                <w:szCs w:val="19"/>
              </w:rPr>
              <w:t>Q: What is the timeline for Title IV approval?</w:t>
            </w:r>
          </w:p>
          <w:p w14:paraId="1652F49C" w14:textId="77777777" w:rsidR="003562DF" w:rsidRDefault="00000000">
            <w:r>
              <w:rPr>
                <w:color w:val="2E2E2E"/>
                <w:sz w:val="19"/>
                <w:szCs w:val="19"/>
              </w:rPr>
              <w:t>A: The PPA was submitted March 20, 2026. USDE processing typically takes 12 to 18 months. Our target is Spring 2027. Title IV access will fundamentally change the enrollment and financial aid landscape for our students, and we are taking every step to ensure our application is comprehensive and accurate.</w:t>
            </w:r>
          </w:p>
        </w:tc>
      </w:tr>
    </w:tbl>
    <w:p w14:paraId="24207355"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0434EF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0BF53FD3" w14:textId="77777777" w:rsidR="003562DF" w:rsidRDefault="00000000">
            <w:pPr>
              <w:spacing w:after="40"/>
            </w:pPr>
            <w:r>
              <w:rPr>
                <w:b/>
                <w:bCs/>
                <w:color w:val="6B2D8A"/>
                <w:sz w:val="19"/>
                <w:szCs w:val="19"/>
              </w:rPr>
              <w:t>Q: How will the Lilly $10M be deployed?</w:t>
            </w:r>
          </w:p>
          <w:p w14:paraId="5A9E411E" w14:textId="77777777" w:rsidR="003562DF" w:rsidRDefault="00000000">
            <w:r>
              <w:rPr>
                <w:color w:val="2E2E2E"/>
                <w:sz w:val="19"/>
                <w:szCs w:val="19"/>
              </w:rPr>
              <w:t>A: The Lilly Endowment grant is a collaborative award. MOU negotiations are underway with 9 partner institutions. The deployment plan will be presented to the Board as those agreements are finalized. The funds are designed to strengthen the institutional infrastructure and academic mission across the collaborative.</w:t>
            </w:r>
          </w:p>
        </w:tc>
      </w:tr>
    </w:tbl>
    <w:p w14:paraId="7DE6CF49" w14:textId="77777777" w:rsidR="003562DF" w:rsidRDefault="003562DF">
      <w:pPr>
        <w:spacing w:before="80" w:after="80"/>
      </w:pPr>
    </w:p>
    <w:p w14:paraId="1AAB2DB1" w14:textId="77777777" w:rsidR="003562DF" w:rsidRDefault="00000000">
      <w:r>
        <w:br w:type="page"/>
      </w:r>
    </w:p>
    <w:p w14:paraId="340490AE" w14:textId="77777777" w:rsidR="003562DF" w:rsidRDefault="00000000">
      <w:pPr>
        <w:pStyle w:val="Heading2"/>
        <w:spacing w:before="360"/>
      </w:pPr>
      <w:r>
        <w:rPr>
          <w:color w:val="C9A84C"/>
        </w:rPr>
        <w:lastRenderedPageBreak/>
        <w:t xml:space="preserve">SLIDE </w:t>
      </w:r>
      <w:proofErr w:type="gramStart"/>
      <w:r>
        <w:rPr>
          <w:color w:val="C9A84C"/>
        </w:rPr>
        <w:t>10  ·</w:t>
      </w:r>
      <w:proofErr w:type="gramEnd"/>
      <w:r>
        <w:rPr>
          <w:color w:val="C9A84C"/>
        </w:rPr>
        <w:t xml:space="preserve">  </w:t>
      </w:r>
      <w:r>
        <w:t>CLOSE — QUESTIONS &amp; DISCUSSION</w:t>
      </w:r>
    </w:p>
    <w:p w14:paraId="2E2F3196" w14:textId="77777777" w:rsidR="003562DF" w:rsidRDefault="003562DF">
      <w:pPr>
        <w:pBdr>
          <w:bottom w:val="single" w:sz="8" w:space="1" w:color="6B2D8A"/>
        </w:pBdr>
        <w:spacing w:before="80" w:after="80"/>
      </w:pPr>
    </w:p>
    <w:p w14:paraId="638E212E" w14:textId="77777777" w:rsidR="003562DF" w:rsidRDefault="00000000">
      <w:pPr>
        <w:spacing w:before="160" w:after="60"/>
      </w:pPr>
      <w:r>
        <w:rPr>
          <w:b/>
          <w:bCs/>
          <w:caps/>
          <w:color w:val="6B2D8A"/>
        </w:rPr>
        <w:t>Suggested Closing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19E6A5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BF9"/>
            <w:tcMar>
              <w:top w:w="100" w:type="dxa"/>
              <w:left w:w="160" w:type="dxa"/>
              <w:bottom w:w="100" w:type="dxa"/>
              <w:right w:w="160" w:type="dxa"/>
            </w:tcMar>
          </w:tcPr>
          <w:p w14:paraId="5E9BCBCF" w14:textId="77777777" w:rsidR="003562DF" w:rsidRDefault="00000000">
            <w:r>
              <w:rPr>
                <w:i/>
                <w:iCs/>
                <w:color w:val="2E2E2E"/>
              </w:rPr>
              <w:t>"In summary: FY2025 was a year of deliberate investment. The auditors confirmed that our financial statements are fairly presented. We addressed every management letter finding. Our composite score reflects the capital and scholarship investments made. And most importantly — the FY2026 data confirms that those investments are working. The institution is generating positive operating income, housing is performing above budget, and enrollment is growing. We are on trajectory. We welcome your questions."</w:t>
            </w:r>
          </w:p>
        </w:tc>
      </w:tr>
    </w:tbl>
    <w:p w14:paraId="4074A9DB" w14:textId="77777777" w:rsidR="003562DF" w:rsidRDefault="003562DF">
      <w:pPr>
        <w:spacing w:before="80" w:after="80"/>
      </w:pPr>
    </w:p>
    <w:p w14:paraId="56A5095A" w14:textId="77777777" w:rsidR="003562DF" w:rsidRDefault="00000000">
      <w:pPr>
        <w:spacing w:before="160" w:after="60"/>
      </w:pPr>
      <w:r>
        <w:rPr>
          <w:b/>
          <w:bCs/>
          <w:caps/>
          <w:color w:val="6B2D8A"/>
        </w:rPr>
        <w:t>Additional Questions That May Arise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1242CA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1464B6E3" w14:textId="77777777" w:rsidR="003562DF" w:rsidRDefault="00000000">
            <w:pPr>
              <w:spacing w:after="40"/>
            </w:pPr>
            <w:r>
              <w:rPr>
                <w:b/>
                <w:bCs/>
                <w:color w:val="6B2D8A"/>
                <w:sz w:val="19"/>
                <w:szCs w:val="19"/>
              </w:rPr>
              <w:t>Q: When will you return to a 1.5+ R14 score?</w:t>
            </w:r>
          </w:p>
          <w:p w14:paraId="76C8D93C" w14:textId="77777777" w:rsidR="003562DF" w:rsidRDefault="00000000">
            <w:r>
              <w:rPr>
                <w:color w:val="2E2E2E"/>
                <w:sz w:val="19"/>
                <w:szCs w:val="19"/>
              </w:rPr>
              <w:t>A: We are projecting R14 improvement in FY2026 based on the positive YTD operating performance. Reaching 1.5 is a multi-year trajectory that depends on sustained operating surpluses and continued endowment growth. Our plan includes specific annual targets for both.</w:t>
            </w:r>
          </w:p>
        </w:tc>
      </w:tr>
    </w:tbl>
    <w:p w14:paraId="2760A770"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656121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420439F8" w14:textId="77777777" w:rsidR="003562DF" w:rsidRDefault="00000000">
            <w:pPr>
              <w:spacing w:after="40"/>
            </w:pPr>
            <w:r>
              <w:rPr>
                <w:b/>
                <w:bCs/>
                <w:color w:val="6B2D8A"/>
                <w:sz w:val="19"/>
                <w:szCs w:val="19"/>
              </w:rPr>
              <w:t>Q: What is the plan for the line of credit?</w:t>
            </w:r>
          </w:p>
          <w:p w14:paraId="3730C778" w14:textId="77777777" w:rsidR="003562DF" w:rsidRDefault="00000000">
            <w:r>
              <w:rPr>
                <w:color w:val="2E2E2E"/>
                <w:sz w:val="19"/>
                <w:szCs w:val="19"/>
              </w:rPr>
              <w:t>A: The line matures August 3, 2027. Our operating plan includes scheduled principal reductions. Housing revenue is the primary source of paydown capacity. We are also pursuing grant funding that, if received, would accelerate paydown. We will provide the Board with a specific LOC management report at the next meeting.</w:t>
            </w:r>
          </w:p>
        </w:tc>
      </w:tr>
    </w:tbl>
    <w:p w14:paraId="5A4B7250"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7C3762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1B6D579B" w14:textId="77777777" w:rsidR="003562DF" w:rsidRDefault="00000000">
            <w:pPr>
              <w:spacing w:after="40"/>
            </w:pPr>
            <w:r>
              <w:rPr>
                <w:b/>
                <w:bCs/>
                <w:color w:val="6B2D8A"/>
                <w:sz w:val="19"/>
                <w:szCs w:val="19"/>
              </w:rPr>
              <w:t>Q: How does this compare to peer institutions?</w:t>
            </w:r>
          </w:p>
          <w:p w14:paraId="4CC6A867" w14:textId="77777777" w:rsidR="003562DF" w:rsidRDefault="00000000">
            <w:r>
              <w:rPr>
                <w:color w:val="2E2E2E"/>
                <w:sz w:val="19"/>
                <w:szCs w:val="19"/>
              </w:rPr>
              <w:t>A: Small theological seminaries in accreditation growth phases commonly show R14 scores in the 0.5 to 1.0 range during capital investment years. Our trajectory — from deficit to positive operating income in a single year — is strong relative to the category. We will have comparative data available as part of the SACSCOC self-study.</w:t>
            </w:r>
          </w:p>
        </w:tc>
      </w:tr>
    </w:tbl>
    <w:p w14:paraId="73BBE58C" w14:textId="77777777" w:rsidR="003562DF" w:rsidRDefault="003562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62DF" w14:paraId="0615C7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0FB"/>
            <w:tcMar>
              <w:top w:w="80" w:type="dxa"/>
              <w:left w:w="120" w:type="dxa"/>
              <w:bottom w:w="80" w:type="dxa"/>
              <w:right w:w="120" w:type="dxa"/>
            </w:tcMar>
          </w:tcPr>
          <w:p w14:paraId="0A62252C" w14:textId="77777777" w:rsidR="003562DF" w:rsidRDefault="00000000">
            <w:pPr>
              <w:spacing w:after="40"/>
            </w:pPr>
            <w:r>
              <w:rPr>
                <w:b/>
                <w:bCs/>
                <w:color w:val="6B2D8A"/>
                <w:sz w:val="19"/>
                <w:szCs w:val="19"/>
              </w:rPr>
              <w:t>Q: What are the biggest financial risks going into FY2027?</w:t>
            </w:r>
          </w:p>
          <w:p w14:paraId="7238BF74" w14:textId="77777777" w:rsidR="003562DF" w:rsidRDefault="00000000">
            <w:r>
              <w:rPr>
                <w:color w:val="2E2E2E"/>
                <w:sz w:val="19"/>
                <w:szCs w:val="19"/>
              </w:rPr>
              <w:t>A: The three primary risks are: (1) line of credit maturity in August 2027 — requires a refinancing or paydown strategy; (2) housing occupancy — maintaining 70%+ occupancy is critical to the revenue model; (3) institutional aid levels — scholarship awards are currently a significant expense and must be calibrated against enrollment targets. All three are actively managed.</w:t>
            </w:r>
          </w:p>
        </w:tc>
      </w:tr>
    </w:tbl>
    <w:p w14:paraId="0C8E2F4D" w14:textId="77777777" w:rsidR="003562DF" w:rsidRDefault="003562DF">
      <w:pPr>
        <w:spacing w:before="80" w:after="80"/>
      </w:pPr>
    </w:p>
    <w:p w14:paraId="45B961C2" w14:textId="77777777" w:rsidR="003562DF" w:rsidRDefault="003562DF">
      <w:pPr>
        <w:pBdr>
          <w:bottom w:val="single" w:sz="8" w:space="1" w:color="6B2D8A"/>
        </w:pBdr>
        <w:spacing w:before="80" w:after="80"/>
      </w:pPr>
    </w:p>
    <w:p w14:paraId="73E81F92" w14:textId="77777777" w:rsidR="003562DF" w:rsidRDefault="00000000">
      <w:pPr>
        <w:spacing w:before="120" w:after="40"/>
        <w:jc w:val="center"/>
      </w:pPr>
      <w:r>
        <w:rPr>
          <w:color w:val="888888"/>
          <w:sz w:val="18"/>
          <w:szCs w:val="18"/>
        </w:rPr>
        <w:t xml:space="preserve">Turner Theological </w:t>
      </w:r>
      <w:proofErr w:type="gramStart"/>
      <w:r>
        <w:rPr>
          <w:color w:val="888888"/>
          <w:sz w:val="18"/>
          <w:szCs w:val="18"/>
        </w:rPr>
        <w:t>Seminary  ·</w:t>
      </w:r>
      <w:proofErr w:type="gramEnd"/>
      <w:r>
        <w:rPr>
          <w:color w:val="888888"/>
          <w:sz w:val="18"/>
          <w:szCs w:val="18"/>
        </w:rPr>
        <w:t xml:space="preserve">  Office of Business &amp; </w:t>
      </w:r>
      <w:proofErr w:type="gramStart"/>
      <w:r>
        <w:rPr>
          <w:color w:val="888888"/>
          <w:sz w:val="18"/>
          <w:szCs w:val="18"/>
        </w:rPr>
        <w:t>Finance  ·</w:t>
      </w:r>
      <w:proofErr w:type="gramEnd"/>
      <w:r>
        <w:rPr>
          <w:color w:val="888888"/>
          <w:sz w:val="18"/>
          <w:szCs w:val="18"/>
        </w:rPr>
        <w:t xml:space="preserve">  April 2026</w:t>
      </w:r>
    </w:p>
    <w:p w14:paraId="2B102AE9" w14:textId="77777777" w:rsidR="003562DF" w:rsidRDefault="00000000">
      <w:pPr>
        <w:jc w:val="center"/>
      </w:pPr>
      <w:r>
        <w:rPr>
          <w:b/>
          <w:bCs/>
          <w:color w:val="6B2D8A"/>
          <w:sz w:val="18"/>
          <w:szCs w:val="18"/>
        </w:rPr>
        <w:t>Confidential — For Internal Use Only</w:t>
      </w:r>
    </w:p>
    <w:sectPr w:rsidR="003562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C7A81"/>
    <w:multiLevelType w:val="hybridMultilevel"/>
    <w:tmpl w:val="F8186518"/>
    <w:lvl w:ilvl="0" w:tplc="D6EEE2EE">
      <w:start w:val="1"/>
      <w:numFmt w:val="bullet"/>
      <w:lvlText w:val="•"/>
      <w:lvlJc w:val="left"/>
      <w:pPr>
        <w:ind w:left="540" w:hanging="260"/>
      </w:pPr>
    </w:lvl>
    <w:lvl w:ilvl="1" w:tplc="58B2228E">
      <w:numFmt w:val="decimal"/>
      <w:lvlText w:val=""/>
      <w:lvlJc w:val="left"/>
    </w:lvl>
    <w:lvl w:ilvl="2" w:tplc="22EADA9C">
      <w:numFmt w:val="decimal"/>
      <w:lvlText w:val=""/>
      <w:lvlJc w:val="left"/>
    </w:lvl>
    <w:lvl w:ilvl="3" w:tplc="2F38E5A6">
      <w:numFmt w:val="decimal"/>
      <w:lvlText w:val=""/>
      <w:lvlJc w:val="left"/>
    </w:lvl>
    <w:lvl w:ilvl="4" w:tplc="CD6AF468">
      <w:numFmt w:val="decimal"/>
      <w:lvlText w:val=""/>
      <w:lvlJc w:val="left"/>
    </w:lvl>
    <w:lvl w:ilvl="5" w:tplc="E45AD7CE">
      <w:numFmt w:val="decimal"/>
      <w:lvlText w:val=""/>
      <w:lvlJc w:val="left"/>
    </w:lvl>
    <w:lvl w:ilvl="6" w:tplc="91F85EB2">
      <w:numFmt w:val="decimal"/>
      <w:lvlText w:val=""/>
      <w:lvlJc w:val="left"/>
    </w:lvl>
    <w:lvl w:ilvl="7" w:tplc="54C0BEC8">
      <w:numFmt w:val="decimal"/>
      <w:lvlText w:val=""/>
      <w:lvlJc w:val="left"/>
    </w:lvl>
    <w:lvl w:ilvl="8" w:tplc="97DAF52A">
      <w:numFmt w:val="decimal"/>
      <w:lvlText w:val=""/>
      <w:lvlJc w:val="left"/>
    </w:lvl>
  </w:abstractNum>
  <w:abstractNum w:abstractNumId="1" w15:restartNumberingAfterBreak="0">
    <w:nsid w:val="6662050E"/>
    <w:multiLevelType w:val="hybridMultilevel"/>
    <w:tmpl w:val="531CB29A"/>
    <w:lvl w:ilvl="0" w:tplc="5CAA637A">
      <w:start w:val="1"/>
      <w:numFmt w:val="bullet"/>
      <w:lvlText w:val="–"/>
      <w:lvlJc w:val="left"/>
      <w:pPr>
        <w:ind w:left="900" w:hanging="260"/>
      </w:pPr>
    </w:lvl>
    <w:lvl w:ilvl="1" w:tplc="BE2E7930">
      <w:numFmt w:val="decimal"/>
      <w:lvlText w:val=""/>
      <w:lvlJc w:val="left"/>
    </w:lvl>
    <w:lvl w:ilvl="2" w:tplc="A3EAB1C0">
      <w:numFmt w:val="decimal"/>
      <w:lvlText w:val=""/>
      <w:lvlJc w:val="left"/>
    </w:lvl>
    <w:lvl w:ilvl="3" w:tplc="962C929E">
      <w:numFmt w:val="decimal"/>
      <w:lvlText w:val=""/>
      <w:lvlJc w:val="left"/>
    </w:lvl>
    <w:lvl w:ilvl="4" w:tplc="2EC0D700">
      <w:numFmt w:val="decimal"/>
      <w:lvlText w:val=""/>
      <w:lvlJc w:val="left"/>
    </w:lvl>
    <w:lvl w:ilvl="5" w:tplc="9EE8B70E">
      <w:numFmt w:val="decimal"/>
      <w:lvlText w:val=""/>
      <w:lvlJc w:val="left"/>
    </w:lvl>
    <w:lvl w:ilvl="6" w:tplc="15107568">
      <w:numFmt w:val="decimal"/>
      <w:lvlText w:val=""/>
      <w:lvlJc w:val="left"/>
    </w:lvl>
    <w:lvl w:ilvl="7" w:tplc="9BBCF7BA">
      <w:numFmt w:val="decimal"/>
      <w:lvlText w:val=""/>
      <w:lvlJc w:val="left"/>
    </w:lvl>
    <w:lvl w:ilvl="8" w:tplc="651C81E4">
      <w:numFmt w:val="decimal"/>
      <w:lvlText w:val=""/>
      <w:lvlJc w:val="left"/>
    </w:lvl>
  </w:abstractNum>
  <w:abstractNum w:abstractNumId="2" w15:restartNumberingAfterBreak="0">
    <w:nsid w:val="6FEE3BD2"/>
    <w:multiLevelType w:val="hybridMultilevel"/>
    <w:tmpl w:val="555292F6"/>
    <w:lvl w:ilvl="0" w:tplc="57FCE2B4">
      <w:start w:val="1"/>
      <w:numFmt w:val="bullet"/>
      <w:lvlText w:val="●"/>
      <w:lvlJc w:val="left"/>
      <w:pPr>
        <w:ind w:left="720" w:hanging="360"/>
      </w:pPr>
    </w:lvl>
    <w:lvl w:ilvl="1" w:tplc="8EB079AC">
      <w:start w:val="1"/>
      <w:numFmt w:val="bullet"/>
      <w:lvlText w:val="○"/>
      <w:lvlJc w:val="left"/>
      <w:pPr>
        <w:ind w:left="1440" w:hanging="360"/>
      </w:pPr>
    </w:lvl>
    <w:lvl w:ilvl="2" w:tplc="4FA62BB4">
      <w:start w:val="1"/>
      <w:numFmt w:val="bullet"/>
      <w:lvlText w:val="■"/>
      <w:lvlJc w:val="left"/>
      <w:pPr>
        <w:ind w:left="2160" w:hanging="360"/>
      </w:pPr>
    </w:lvl>
    <w:lvl w:ilvl="3" w:tplc="1E809E36">
      <w:start w:val="1"/>
      <w:numFmt w:val="bullet"/>
      <w:lvlText w:val="●"/>
      <w:lvlJc w:val="left"/>
      <w:pPr>
        <w:ind w:left="2880" w:hanging="360"/>
      </w:pPr>
    </w:lvl>
    <w:lvl w:ilvl="4" w:tplc="0EEE19C8">
      <w:start w:val="1"/>
      <w:numFmt w:val="bullet"/>
      <w:lvlText w:val="○"/>
      <w:lvlJc w:val="left"/>
      <w:pPr>
        <w:ind w:left="3600" w:hanging="360"/>
      </w:pPr>
    </w:lvl>
    <w:lvl w:ilvl="5" w:tplc="8CA66096">
      <w:start w:val="1"/>
      <w:numFmt w:val="bullet"/>
      <w:lvlText w:val="■"/>
      <w:lvlJc w:val="left"/>
      <w:pPr>
        <w:ind w:left="4320" w:hanging="360"/>
      </w:pPr>
    </w:lvl>
    <w:lvl w:ilvl="6" w:tplc="B4E07EB0">
      <w:start w:val="1"/>
      <w:numFmt w:val="bullet"/>
      <w:lvlText w:val="●"/>
      <w:lvlJc w:val="left"/>
      <w:pPr>
        <w:ind w:left="5040" w:hanging="360"/>
      </w:pPr>
    </w:lvl>
    <w:lvl w:ilvl="7" w:tplc="9CC25AAC">
      <w:start w:val="1"/>
      <w:numFmt w:val="bullet"/>
      <w:lvlText w:val="●"/>
      <w:lvlJc w:val="left"/>
      <w:pPr>
        <w:ind w:left="5760" w:hanging="360"/>
      </w:pPr>
    </w:lvl>
    <w:lvl w:ilvl="8" w:tplc="D878EBF6">
      <w:start w:val="1"/>
      <w:numFmt w:val="bullet"/>
      <w:lvlText w:val="●"/>
      <w:lvlJc w:val="left"/>
      <w:pPr>
        <w:ind w:left="6480" w:hanging="360"/>
      </w:pPr>
    </w:lvl>
  </w:abstractNum>
  <w:num w:numId="1" w16cid:durableId="167017202">
    <w:abstractNumId w:val="2"/>
    <w:lvlOverride w:ilvl="0">
      <w:startOverride w:val="1"/>
    </w:lvlOverride>
  </w:num>
  <w:num w:numId="2" w16cid:durableId="104812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2DF"/>
    <w:rsid w:val="003562DF"/>
    <w:rsid w:val="00D342C3"/>
    <w:rsid w:val="00D62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B729"/>
  <w15:docId w15:val="{21593B80-D156-400D-9E81-180EF5E8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6B2D8A"/>
      <w:sz w:val="36"/>
      <w:szCs w:val="36"/>
    </w:rPr>
  </w:style>
  <w:style w:type="paragraph" w:styleId="Heading2">
    <w:name w:val="heading 2"/>
    <w:uiPriority w:val="9"/>
    <w:unhideWhenUsed/>
    <w:qFormat/>
    <w:pPr>
      <w:spacing w:before="300" w:after="80"/>
      <w:outlineLvl w:val="1"/>
    </w:pPr>
    <w:rPr>
      <w:b/>
      <w:bCs/>
      <w:color w:val="6B2D8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3248</Words>
  <Characters>18519</Characters>
  <Application>Microsoft Office Word</Application>
  <DocSecurity>0</DocSecurity>
  <Lines>154</Lines>
  <Paragraphs>43</Paragraphs>
  <ScaleCrop>false</ScaleCrop>
  <Company/>
  <LinksUpToDate>false</LinksUpToDate>
  <CharactersWithSpaces>21724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2026-04-27T05:33:00Z</dcterms:created>
  <dcterms:modified xsi:type="dcterms:W3CDTF">2026-04-27T05:33:00Z</dcterms:modified>
</cp:coreProperties>
</file>