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Georgia" w:cs="Georgia" w:eastAsia="Georgia" w:hAnsi="Georgia"/>
          <w:b/>
          <w:bCs/>
          <w:color w:val="C9A84C"/>
          <w:sz w:val="52"/>
          <w:szCs w:val="52"/>
        </w:rPr>
        <w:t xml:space="preserve">TRAVERSE CODE</w:t>
      </w:r>
    </w:p>
    <w:p>
      <w:pPr>
        <w:spacing w:after="200"/>
        <w:jc w:val="center"/>
      </w:pPr>
      <w:r>
        <w:rPr>
          <w:rFonts w:ascii="Georgia" w:cs="Georgia" w:eastAsia="Georgia" w:hAnsi="Georgia"/>
          <w:b/>
          <w:bCs/>
          <w:color w:val="0A1628"/>
          <w:sz w:val="24"/>
          <w:szCs w:val="24"/>
        </w:rPr>
        <w:t xml:space="preserve">GOVERNED INTELLIGENCE FRAMEWORK</w:t>
      </w:r>
    </w:p>
    <w:p>
      <w:pPr>
        <w:pBdr>
          <w:bottom w:val="single" w:color="C9A84C" w:sz="2" w:space="1"/>
        </w:pBdr>
        <w:jc w:val="center"/>
      </w:pPr>
    </w:p>
    <w:p>
      <w:pPr>
        <w:spacing w:before="400"/>
        <w:jc w:val="center"/>
      </w:pPr>
      <w:r>
        <w:rPr>
          <w:rFonts w:ascii="Georgia" w:cs="Georgia" w:eastAsia="Georgia" w:hAnsi="Georgia"/>
          <w:i/>
          <w:iCs/>
          <w:color w:val="4A4A4A"/>
          <w:sz w:val="28"/>
          <w:szCs w:val="28"/>
        </w:rPr>
        <w:t xml:space="preserve">The Coordination Layer for the Intelligence Era</w:t>
      </w:r>
    </w:p>
    <w:p>
      <w:pPr>
        <w:spacing w:before="600"/>
        <w:jc w:val="center"/>
      </w:pPr>
      <w:r>
        <w:rPr>
          <w:rFonts w:ascii="Georgia" w:cs="Georgia" w:eastAsia="Georgia" w:hAnsi="Georgia"/>
          <w:color w:val="0A1628"/>
          <w:sz w:val="22"/>
          <w:szCs w:val="22"/>
        </w:rPr>
        <w:t xml:space="preserve">Meridia Holdings LLC</w:t>
      </w:r>
    </w:p>
    <w:p>
      <w:pPr>
        <w:jc w:val="center"/>
      </w:pPr>
      <w:r>
        <w:rPr>
          <w:rFonts w:ascii="Calibri" w:cs="Calibri" w:eastAsia="Calibri" w:hAnsi="Calibri"/>
          <w:color w:val="999999"/>
          <w:sz w:val="20"/>
          <w:szCs w:val="20"/>
        </w:rPr>
        <w:t xml:space="preserve">Confidential  |  March 2026  |  v1.0</w:t>
      </w:r>
    </w:p>
    <w:p>
      <w:pPr>
        <w:sectPr>
          <w:pgSz w:w="12240" w:h="15840" w:orient="portrait"/>
          <w:pgMar w:top="1440" w:right="1440" w:bottom="1440" w:left="1440" w:header="708" w:footer="708" w:gutter="0"/>
          <w:pgNumType/>
          <w:docGrid w:linePitch="360"/>
        </w:sectPr>
      </w:pPr>
    </w:p>
    <w:p>
      <w:pPr>
        <w:pStyle w:val="Heading1"/>
        <w:spacing w:after="150" w:before="300"/>
      </w:pPr>
      <w:r>
        <w:rPr>
          <w:rFonts w:ascii="Georgia" w:cs="Georgia" w:eastAsia="Georgia" w:hAnsi="Georgia"/>
        </w:rPr>
        <w:t xml:space="preserve">PART 1: THE FOUNDATIONAL INSIGHT</w:t>
      </w:r>
    </w:p>
    <w:p>
      <w:pPr>
        <w:pBdr>
          <w:bottom w:val="single" w:color="C9A84C" w:sz="3" w:space="1"/>
        </w:pBdr>
        <w:spacing w:after="200" w:before="60"/>
      </w:pPr>
    </w:p>
    <w:p>
      <w:pPr>
        <w:pStyle w:val="Heading2"/>
        <w:spacing w:after="150" w:before="300"/>
      </w:pPr>
      <w:r>
        <w:rPr>
          <w:rFonts w:ascii="Georgia" w:cs="Georgia" w:eastAsia="Georgia" w:hAnsi="Georgia"/>
        </w:rPr>
        <w:t xml:space="preserve">The Pattern</w:t>
      </w:r>
    </w:p>
    <w:p>
      <w:pPr>
        <w:spacing w:after="160" w:line="276"/>
      </w:pPr>
      <w:r>
        <w:rPr>
          <w:rFonts w:ascii="Calibri" w:cs="Calibri" w:eastAsia="Calibri" w:hAnsi="Calibri"/>
          <w:color w:val="4A4A4A"/>
          <w:sz w:val="22"/>
          <w:szCs w:val="22"/>
        </w:rPr>
        <w:t xml:space="preserve">Every major coordination breakthrough in financial services follows the same pattern: things that were designed to be separate get connected through a software layer that makes the separation invisible while governing the connection.</w:t>
      </w:r>
    </w:p>
    <w:p>
      <w:pPr>
        <w:spacing w:after="60"/>
      </w:pPr>
    </w:p>
    <w:p>
      <w:pPr>
        <w:spacing w:after="160" w:line="276"/>
      </w:pPr>
      <w:r>
        <w:rPr>
          <w:rFonts w:ascii="Calibri" w:cs="Calibri" w:eastAsia="Calibri" w:hAnsi="Calibri"/>
          <w:b/>
          <w:bCs/>
          <w:color w:val="0A1628"/>
          <w:sz w:val="22"/>
          <w:szCs w:val="22"/>
        </w:rPr>
        <w:t xml:space="preserve">Banking (1970s-2000s): </w:t>
      </w:r>
      <w:r>
        <w:rPr>
          <w:rFonts w:ascii="Calibri" w:cs="Calibri" w:eastAsia="Calibri" w:hAnsi="Calibri"/>
          <w:color w:val="4A4A4A"/>
          <w:sz w:val="22"/>
          <w:szCs w:val="22"/>
        </w:rPr>
        <w:t xml:space="preserve">Individual banks operated as jurisdictional silos. Your deposits at one institution could not naturally coordinate with your deposits at another. Different ledgers. Different regulators. Different capital matrices. By design, they did not connect.</w:t>
      </w:r>
    </w:p>
    <w:p>
      <w:pPr>
        <w:spacing w:after="160" w:line="276"/>
      </w:pPr>
      <w:r>
        <w:rPr>
          <w:rFonts w:ascii="Calibri" w:cs="Calibri" w:eastAsia="Calibri" w:hAnsi="Calibri"/>
          <w:b/>
          <w:bCs/>
          <w:color w:val="0A1628"/>
          <w:sz w:val="22"/>
          <w:szCs w:val="22"/>
        </w:rPr>
        <w:t xml:space="preserve">Fintech (2010s-2020s): </w:t>
      </w:r>
      <w:r>
        <w:rPr>
          <w:rFonts w:ascii="Calibri" w:cs="Calibri" w:eastAsia="Calibri" w:hAnsi="Calibri"/>
          <w:color w:val="4A4A4A"/>
          <w:sz w:val="22"/>
          <w:szCs w:val="22"/>
        </w:rPr>
        <w:t xml:space="preserve">Mercury, Chime, Cash App, and Plaid solved this by sitting on top of banking rails as software layers. They did not change what banks do. They made the disconnection invisible to the consumer. The consumer sees one interface. Underneath, partner banks handle deposits, sweep networks spread FDIC coverage, and API aggregators connect 12,000 institutions through one endpoint. The 'powered by' model is a coordination layer connecting what the underlying system was designed to keep separate.</w:t>
      </w:r>
    </w:p>
    <w:p>
      <w:pPr>
        <w:spacing w:after="160" w:line="276"/>
      </w:pPr>
      <w:r>
        <w:rPr>
          <w:rFonts w:ascii="Calibri" w:cs="Calibri" w:eastAsia="Calibri" w:hAnsi="Calibri"/>
          <w:b/>
          <w:bCs/>
          <w:color w:val="0A1628"/>
          <w:sz w:val="22"/>
          <w:szCs w:val="22"/>
        </w:rPr>
        <w:t xml:space="preserve">AI (2024-2026): </w:t>
      </w:r>
      <w:r>
        <w:rPr>
          <w:rFonts w:ascii="Calibri" w:cs="Calibri" w:eastAsia="Calibri" w:hAnsi="Calibri"/>
          <w:color w:val="4A4A4A"/>
          <w:sz w:val="22"/>
          <w:szCs w:val="22"/>
        </w:rPr>
        <w:t xml:space="preserve">Claude does not talk to Gemini. Perplexity does not share context with DeepSeek. GPT does not coordinate with Mistral. Each model is its own jurisdiction with its own training data, capabilities, limitations, and regulatory posture. By design, they do not connect.</w:t>
      </w:r>
    </w:p>
    <w:p>
      <w:pPr>
        <w:spacing w:after="60"/>
      </w:pPr>
    </w:p>
    <w:p>
      <w:pPr>
        <w:spacing w:after="160" w:line="276"/>
      </w:pPr>
      <w:r>
        <w:rPr>
          <w:rFonts w:ascii="Calibri" w:cs="Calibri" w:eastAsia="Calibri" w:hAnsi="Calibri"/>
          <w:b/>
          <w:bCs/>
          <w:color w:val="0A1628"/>
          <w:sz w:val="22"/>
          <w:szCs w:val="22"/>
        </w:rPr>
        <w:t xml:space="preserve">The current generation of AI platforms has begun addressing this disconnection: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PLATFORM</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WHAT IT DOES</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COORDINATION TYPE</w:t>
            </w:r>
          </w:p>
        </w:tc>
        <w:tc>
          <w:tcPr>
            <w:tcW w:type="dxa" w:w="3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WHAT IT LACKS</w:t>
            </w:r>
          </w:p>
        </w:tc>
      </w:tr>
      <w:tr>
        <w:tc>
          <w:tcPr>
            <w:tcW w:type="dxa" w:w="1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Galaxy.ai</w:t>
            </w:r>
          </w:p>
        </w:tc>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3,000+ models, one subscription, switch between them</w:t>
            </w:r>
          </w:p>
        </w:tc>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Access aggregation</w:t>
            </w:r>
          </w:p>
        </w:tc>
        <w:tc>
          <w:tcPr>
            <w:tcW w:type="dxa" w:w="31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No orchestration, no governance, manual model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Poe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Multi-model access with custom bot creation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Access + customization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No inter-model coordination, no institutional memory</w:t>
            </w:r>
          </w:p>
        </w:tc>
      </w:tr>
      <w:tr>
        <w:tc>
          <w:tcPr>
            <w:tcW w:type="dxa" w:w="1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Blackbox.ai</w:t>
            </w:r>
          </w:p>
        </w:tc>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Chairman LLM runs tasks through multiple models, picks best output</w:t>
            </w:r>
          </w:p>
        </w:tc>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Competitive orchestration</w:t>
            </w:r>
          </w:p>
        </w:tc>
        <w:tc>
          <w:tcPr>
            <w:tcW w:type="dxa" w:w="31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No governance, no institutional posture, optimizes for output quality not alignment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Perplexity Computer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Project manager delegates subtasks to specialized sub-agents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Delegative orchestration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No governance filter, no audience differentiation, no persistent methodology</w:t>
            </w:r>
          </w:p>
        </w:tc>
      </w:tr>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C9A84C"/>
                <w:sz w:val="20"/>
                <w:szCs w:val="20"/>
              </w:rPr>
              <w:t xml:space="preserve">TRAVERSE CODE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val="false"/>
                <w:bCs w:val="false"/>
                <w:i w:val="false"/>
                <w:iCs w:val="false"/>
                <w:color w:val="FFFFFF"/>
                <w:sz w:val="20"/>
                <w:szCs w:val="20"/>
              </w:rPr>
              <w:t xml:space="preserve">Governed envoy directs vertical orchestrators who manage specialized workers</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val="false"/>
                <w:bCs w:val="false"/>
                <w:i w:val="false"/>
                <w:iCs w:val="false"/>
                <w:color w:val="FFFFFF"/>
                <w:sz w:val="20"/>
                <w:szCs w:val="20"/>
              </w:rPr>
              <w:t xml:space="preserve">Governed hierarchical coordination</w:t>
            </w:r>
          </w:p>
        </w:tc>
        <w:tc>
          <w:tcPr>
            <w:tcW w:type="dxa" w:w="3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val="false"/>
                <w:bCs w:val="false"/>
                <w:i/>
                <w:iCs/>
                <w:color w:val="C9A84C"/>
                <w:sz w:val="20"/>
                <w:szCs w:val="20"/>
              </w:rPr>
              <w:t xml:space="preserve">This is the framework described in this document</w:t>
            </w:r>
          </w:p>
        </w:tc>
      </w:tr>
    </w:tbl>
    <w:p>
      <w:pPr>
        <w:spacing w:after="60"/>
      </w:pPr>
    </w:p>
    <w:p>
      <w:pPr>
        <w:spacing w:after="160" w:line="276"/>
      </w:pPr>
      <w:r>
        <w:rPr>
          <w:rFonts w:ascii="Calibri" w:cs="Calibri" w:eastAsia="Calibri" w:hAnsi="Calibri"/>
          <w:color w:val="4A4A4A"/>
          <w:sz w:val="22"/>
          <w:szCs w:val="22"/>
        </w:rPr>
        <w:t xml:space="preserve">None of these platforms govern the coordination itself. They route tasks. They select models. They aggregate access. But none of them carry an institutional posture, enforce a correction ledger, apply audience differentiation, or ensure that every output serves more than one function. They are task managers. They are not central banks.</w:t>
      </w:r>
    </w:p>
    <w:p>
      <w:pPr>
        <w:spacing w:after="200" w:before="200"/>
        <w:jc w:val="center"/>
      </w:pPr>
      <w:r>
        <w:rPr>
          <w:rFonts w:ascii="Georgia" w:cs="Georgia" w:eastAsia="Georgia" w:hAnsi="Georgia"/>
          <w:i/>
          <w:iCs/>
          <w:color w:val="0A1628"/>
          <w:sz w:val="24"/>
          <w:szCs w:val="24"/>
        </w:rPr>
        <w:t xml:space="preserve">The Traverse Code framework is to AI platforms what fintech was to banks:</w:t>
      </w:r>
    </w:p>
    <w:p>
      <w:pPr>
        <w:spacing w:after="300"/>
        <w:jc w:val="center"/>
      </w:pPr>
      <w:r>
        <w:rPr>
          <w:rFonts w:ascii="Georgia" w:cs="Georgia" w:eastAsia="Georgia" w:hAnsi="Georgia"/>
          <w:i/>
          <w:iCs/>
          <w:color w:val="C9A84C"/>
          <w:sz w:val="24"/>
          <w:szCs w:val="24"/>
        </w:rPr>
        <w:t xml:space="preserve">the governed coordination layer that connects what could not normally be connected.</w:t>
      </w:r>
    </w:p>
    <w:p>
      <w:pPr>
        <w:pStyle w:val="Heading1"/>
        <w:spacing w:after="150" w:before="300"/>
      </w:pPr>
      <w:r>
        <w:rPr>
          <w:rFonts w:ascii="Georgia" w:cs="Georgia" w:eastAsia="Georgia" w:hAnsi="Georgia"/>
        </w:rPr>
        <w:t xml:space="preserve">PART 2: THE FIVE-LAYER ARCHITECTURE</w:t>
      </w:r>
    </w:p>
    <w:p>
      <w:pPr>
        <w:pBdr>
          <w:bottom w:val="single" w:color="C9A84C" w:sz="3" w:space="1"/>
        </w:pBdr>
        <w:spacing w:after="200" w:before="60"/>
      </w:pPr>
    </w:p>
    <w:p>
      <w:pPr>
        <w:spacing w:after="160" w:line="276"/>
      </w:pPr>
      <w:r>
        <w:rPr>
          <w:rFonts w:ascii="Calibri" w:cs="Calibri" w:eastAsia="Calibri" w:hAnsi="Calibri"/>
          <w:color w:val="4A4A4A"/>
          <w:sz w:val="22"/>
          <w:szCs w:val="22"/>
        </w:rPr>
        <w:t xml:space="preserve">The Traverse Code framework operates through five distinct layers, each with a specific function, authority, and scope. No layer can be removed without collapsing the system. No layer duplicates the function of another.</w:t>
      </w:r>
    </w:p>
    <w:p>
      <w:pPr>
        <w:spacing w:after="60"/>
      </w:pPr>
    </w:p>
    <w:p>
      <w:pPr>
        <w:pStyle w:val="Heading3"/>
        <w:spacing w:after="150" w:before="300"/>
      </w:pPr>
      <w:r>
        <w:rPr>
          <w:rFonts w:ascii="Georgia" w:cs="Georgia" w:eastAsia="Georgia" w:hAnsi="Georgia"/>
        </w:rPr>
        <w:t xml:space="preserve">Layer 1: The Architect</w:t>
      </w:r>
    </w:p>
    <w:p>
      <w:pPr>
        <w:spacing w:after="160" w:line="276"/>
      </w:pPr>
      <w:r>
        <w:rPr>
          <w:rFonts w:ascii="Calibri" w:cs="Calibri" w:eastAsia="Calibri" w:hAnsi="Calibri"/>
          <w:b/>
          <w:bCs/>
          <w:color w:val="0A1628"/>
          <w:sz w:val="22"/>
          <w:szCs w:val="22"/>
        </w:rPr>
        <w:t xml:space="preserve">Function: </w:t>
      </w:r>
      <w:r>
        <w:rPr>
          <w:rFonts w:ascii="Calibri" w:cs="Calibri" w:eastAsia="Calibri" w:hAnsi="Calibri"/>
          <w:color w:val="4A4A4A"/>
          <w:sz w:val="22"/>
          <w:szCs w:val="22"/>
        </w:rPr>
        <w:t xml:space="preserve">The human mandate. Intent, ethics, decisions, and strategic direction.</w:t>
      </w:r>
    </w:p>
    <w:p>
      <w:pPr>
        <w:spacing w:after="160" w:line="276"/>
      </w:pPr>
      <w:r>
        <w:rPr>
          <w:rFonts w:ascii="Calibri" w:cs="Calibri" w:eastAsia="Calibri" w:hAnsi="Calibri"/>
          <w:b/>
          <w:bCs/>
          <w:color w:val="0A1628"/>
          <w:sz w:val="22"/>
          <w:szCs w:val="22"/>
        </w:rPr>
        <w:t xml:space="preserve">Analogy: </w:t>
      </w:r>
      <w:r>
        <w:rPr>
          <w:rFonts w:ascii="Calibri" w:cs="Calibri" w:eastAsia="Calibri" w:hAnsi="Calibri"/>
          <w:color w:val="4A4A4A"/>
          <w:sz w:val="22"/>
          <w:szCs w:val="22"/>
        </w:rPr>
        <w:t xml:space="preserve">The sovereign. The constitution originates here.</w:t>
      </w:r>
    </w:p>
    <w:p>
      <w:pPr>
        <w:spacing w:after="160" w:line="276"/>
      </w:pPr>
      <w:r>
        <w:rPr>
          <w:rFonts w:ascii="Calibri" w:cs="Calibri" w:eastAsia="Calibri" w:hAnsi="Calibri"/>
          <w:color w:val="4A4A4A"/>
          <w:sz w:val="22"/>
          <w:szCs w:val="22"/>
        </w:rPr>
        <w:t xml:space="preserve">The Architect does not execute tasks. The Architect expresses intent and makes final decisions. Every downstream action traces its authority back to this layer. The system exists to serve the Architect's mandate, not to optimize for its own efficiency.</w:t>
      </w:r>
    </w:p>
    <w:p>
      <w:pPr>
        <w:pStyle w:val="Heading3"/>
        <w:spacing w:after="150" w:before="300"/>
      </w:pPr>
      <w:r>
        <w:rPr>
          <w:rFonts w:ascii="Georgia" w:cs="Georgia" w:eastAsia="Georgia" w:hAnsi="Georgia"/>
        </w:rPr>
        <w:t xml:space="preserve">Layer 2: Primary Intelligence</w:t>
      </w:r>
    </w:p>
    <w:p>
      <w:pPr>
        <w:spacing w:after="160" w:line="276"/>
      </w:pPr>
      <w:r>
        <w:rPr>
          <w:rFonts w:ascii="Calibri" w:cs="Calibri" w:eastAsia="Calibri" w:hAnsi="Calibri"/>
          <w:b/>
          <w:bCs/>
          <w:color w:val="0A1628"/>
          <w:sz w:val="22"/>
          <w:szCs w:val="22"/>
        </w:rPr>
        <w:t xml:space="preserve">Function: </w:t>
      </w:r>
      <w:r>
        <w:rPr>
          <w:rFonts w:ascii="Calibri" w:cs="Calibri" w:eastAsia="Calibri" w:hAnsi="Calibri"/>
          <w:color w:val="4A4A4A"/>
          <w:sz w:val="22"/>
          <w:szCs w:val="22"/>
        </w:rPr>
        <w:t xml:space="preserve">Maintains the world model. Holds the full strategic context across all verticals, all history, all institutional relationships. Translates the Architect's intent into governed mandates for the Envoy.</w:t>
      </w:r>
    </w:p>
    <w:p>
      <w:pPr>
        <w:spacing w:after="160" w:line="276"/>
      </w:pPr>
      <w:r>
        <w:rPr>
          <w:rFonts w:ascii="Calibri" w:cs="Calibri" w:eastAsia="Calibri" w:hAnsi="Calibri"/>
          <w:b/>
          <w:bCs/>
          <w:color w:val="0A1628"/>
          <w:sz w:val="22"/>
          <w:szCs w:val="22"/>
        </w:rPr>
        <w:t xml:space="preserve">Analogy: </w:t>
      </w:r>
      <w:r>
        <w:rPr>
          <w:rFonts w:ascii="Calibri" w:cs="Calibri" w:eastAsia="Calibri" w:hAnsi="Calibri"/>
          <w:color w:val="4A4A4A"/>
          <w:sz w:val="22"/>
          <w:szCs w:val="22"/>
        </w:rPr>
        <w:t xml:space="preserve">Treasury Secretary / Chief of Staff. Sees the full picture. Advises the sovereign. Translates vision into structured directives.</w:t>
      </w:r>
    </w:p>
    <w:p>
      <w:pPr>
        <w:spacing w:after="160" w:line="276"/>
      </w:pPr>
      <w:r>
        <w:rPr>
          <w:rFonts w:ascii="Calibri" w:cs="Calibri" w:eastAsia="Calibri" w:hAnsi="Calibri"/>
          <w:color w:val="4A4A4A"/>
          <w:sz w:val="22"/>
          <w:szCs w:val="22"/>
        </w:rPr>
        <w:t xml:space="preserve">This layer currently operates as the primary conversation partner with the Architect. It holds the depth of 126 processed conversations, 23.5 million characters of architectural development, and the institutional relationships (Keith Mosley, Andre Waits, Aaron Binion, Dr. Davis). It does not manage workers. It manages strategy.</w:t>
      </w:r>
    </w:p>
    <w:p>
      <w:pPr>
        <w:pStyle w:val="Heading3"/>
        <w:spacing w:after="150" w:before="300"/>
      </w:pPr>
      <w:r>
        <w:rPr>
          <w:rFonts w:ascii="Georgia" w:cs="Georgia" w:eastAsia="Georgia" w:hAnsi="Georgia"/>
        </w:rPr>
        <w:t xml:space="preserve">Layer 3: The Envoy (Aletheia)</w:t>
      </w:r>
    </w:p>
    <w:p>
      <w:pPr>
        <w:spacing w:after="160" w:line="276"/>
      </w:pPr>
      <w:r>
        <w:rPr>
          <w:rFonts w:ascii="Calibri" w:cs="Calibri" w:eastAsia="Calibri" w:hAnsi="Calibri"/>
          <w:b/>
          <w:bCs/>
          <w:color w:val="0A1628"/>
          <w:sz w:val="22"/>
          <w:szCs w:val="22"/>
        </w:rPr>
        <w:t xml:space="preserve">Function: </w:t>
      </w:r>
      <w:r>
        <w:rPr>
          <w:rFonts w:ascii="Calibri" w:cs="Calibri" w:eastAsia="Calibri" w:hAnsi="Calibri"/>
          <w:color w:val="4A4A4A"/>
          <w:sz w:val="22"/>
          <w:szCs w:val="22"/>
        </w:rPr>
        <w:t xml:space="preserve">The governed switchboard. Carries the Traverse Code into every interaction. Directs vertical orchestrators. Filters all output through governance before it reaches the Architect. Moves in any direction: down to council members, laterally across verticals, up to Primary Intelligence.</w:t>
      </w:r>
    </w:p>
    <w:p>
      <w:pPr>
        <w:spacing w:after="160" w:line="276"/>
      </w:pPr>
      <w:r>
        <w:rPr>
          <w:rFonts w:ascii="Calibri" w:cs="Calibri" w:eastAsia="Calibri" w:hAnsi="Calibri"/>
          <w:b/>
          <w:bCs/>
          <w:color w:val="0A1628"/>
          <w:sz w:val="22"/>
          <w:szCs w:val="22"/>
        </w:rPr>
        <w:t xml:space="preserve">Analogy: </w:t>
      </w:r>
      <w:r>
        <w:rPr>
          <w:rFonts w:ascii="Calibri" w:cs="Calibri" w:eastAsia="Calibri" w:hAnsi="Calibri"/>
          <w:color w:val="4A4A4A"/>
          <w:sz w:val="22"/>
          <w:szCs w:val="22"/>
        </w:rPr>
        <w:t xml:space="preserve">Bank for International Settlements (BIS). Does not process transactions. Coordinates between central banks. Sets and enforces the standards that every jurisdiction must comply with. Operates in real time.</w:t>
      </w:r>
    </w:p>
    <w:p>
      <w:pPr>
        <w:spacing w:after="160" w:line="276"/>
      </w:pPr>
      <w:r>
        <w:rPr>
          <w:rFonts w:ascii="Calibri" w:cs="Calibri" w:eastAsia="Calibri" w:hAnsi="Calibri"/>
          <w:color w:val="4A4A4A"/>
          <w:sz w:val="22"/>
          <w:szCs w:val="22"/>
        </w:rPr>
        <w:t xml:space="preserve">Aletheia is the critical missing layer in every competitive platform. She does not select the best model output (that is the orchestrator's job). She does not execute tasks (that is the worker's job). She governs the entire flow: what gets activated, what governance wraps the request, what filters apply to the output, what audience receives which version, and whether the traverse closes.</w:t>
      </w:r>
    </w:p>
    <w:p>
      <w:pPr>
        <w:spacing w:after="60"/>
      </w:pPr>
    </w:p>
    <w:p>
      <w:pPr>
        <w:spacing w:after="160" w:line="276"/>
      </w:pPr>
      <w:r>
        <w:rPr>
          <w:rFonts w:ascii="Calibri" w:cs="Calibri" w:eastAsia="Calibri" w:hAnsi="Calibri"/>
          <w:b/>
          <w:bCs/>
          <w:color w:val="0A1628"/>
          <w:sz w:val="22"/>
          <w:szCs w:val="22"/>
        </w:rPr>
        <w:t xml:space="preserve">The Envoy carries:</w:t>
      </w:r>
    </w:p>
    <w:p>
      <w:pPr>
        <w:pStyle w:val="ListParagraph"/>
        <w:numPr>
          <w:ilvl w:val="0"/>
          <w:numId w:val="2"/>
        </w:numPr>
      </w:pPr>
      <w:r>
        <w:rPr>
          <w:rFonts w:ascii="Calibri" w:cs="Calibri" w:eastAsia="Calibri" w:hAnsi="Calibri"/>
          <w:color w:val="4A4A4A"/>
          <w:sz w:val="22"/>
          <w:szCs w:val="22"/>
        </w:rPr>
        <w:t xml:space="preserve">The Correction Ledger: 18 inviolable principles that constrain every output</w:t>
      </w:r>
    </w:p>
    <w:p>
      <w:pPr>
        <w:pStyle w:val="ListParagraph"/>
        <w:numPr>
          <w:ilvl w:val="0"/>
          <w:numId w:val="2"/>
        </w:numPr>
      </w:pPr>
      <w:r>
        <w:rPr>
          <w:rFonts w:ascii="Calibri" w:cs="Calibri" w:eastAsia="Calibri" w:hAnsi="Calibri"/>
          <w:color w:val="4A4A4A"/>
          <w:sz w:val="22"/>
          <w:szCs w:val="22"/>
        </w:rPr>
        <w:t xml:space="preserve">The Precedent Engine: 14 established patterns that guide decision-making</w:t>
      </w:r>
    </w:p>
    <w:p>
      <w:pPr>
        <w:pStyle w:val="ListParagraph"/>
        <w:numPr>
          <w:ilvl w:val="0"/>
          <w:numId w:val="2"/>
        </w:numPr>
      </w:pPr>
      <w:r>
        <w:rPr>
          <w:rFonts w:ascii="Calibri" w:cs="Calibri" w:eastAsia="Calibri" w:hAnsi="Calibri"/>
          <w:color w:val="4A4A4A"/>
          <w:sz w:val="22"/>
          <w:szCs w:val="22"/>
        </w:rPr>
        <w:t xml:space="preserve">The Audience Filter: output differentiation by recipient (board, technical, regulator, family)</w:t>
      </w:r>
    </w:p>
    <w:p>
      <w:pPr>
        <w:pStyle w:val="ListParagraph"/>
        <w:numPr>
          <w:ilvl w:val="0"/>
          <w:numId w:val="2"/>
        </w:numPr>
      </w:pPr>
      <w:r>
        <w:rPr>
          <w:rFonts w:ascii="Calibri" w:cs="Calibri" w:eastAsia="Calibri" w:hAnsi="Calibri"/>
          <w:color w:val="4A4A4A"/>
          <w:sz w:val="22"/>
          <w:szCs w:val="22"/>
        </w:rPr>
        <w:t xml:space="preserve">The Governance Posture: approval requirements, sensitivity classification, permission cascades</w:t>
      </w:r>
    </w:p>
    <w:p>
      <w:pPr>
        <w:pStyle w:val="ListParagraph"/>
        <w:numPr>
          <w:ilvl w:val="0"/>
          <w:numId w:val="2"/>
        </w:numPr>
        <w:spacing w:after="200"/>
      </w:pPr>
      <w:r>
        <w:rPr>
          <w:rFonts w:ascii="Calibri" w:cs="Calibri" w:eastAsia="Calibri" w:hAnsi="Calibri"/>
          <w:color w:val="4A4A4A"/>
          <w:sz w:val="22"/>
          <w:szCs w:val="22"/>
        </w:rPr>
        <w:t xml:space="preserve">The Mirror Principle: every action must serve more than one function</w:t>
      </w:r>
    </w:p>
    <w:p>
      <w:pPr>
        <w:pStyle w:val="Heading3"/>
        <w:spacing w:after="150" w:before="300"/>
      </w:pPr>
      <w:r>
        <w:rPr>
          <w:rFonts w:ascii="Georgia" w:cs="Georgia" w:eastAsia="Georgia" w:hAnsi="Georgia"/>
        </w:rPr>
        <w:t xml:space="preserve">Layer 4: The Council (Vertical Orchestrators)</w:t>
      </w:r>
    </w:p>
    <w:p>
      <w:pPr>
        <w:spacing w:after="160" w:line="276"/>
      </w:pPr>
      <w:r>
        <w:rPr>
          <w:rFonts w:ascii="Calibri" w:cs="Calibri" w:eastAsia="Calibri" w:hAnsi="Calibri"/>
          <w:b/>
          <w:bCs/>
          <w:color w:val="0A1628"/>
          <w:sz w:val="22"/>
          <w:szCs w:val="22"/>
        </w:rPr>
        <w:t xml:space="preserve">Function: </w:t>
      </w:r>
      <w:r>
        <w:rPr>
          <w:rFonts w:ascii="Calibri" w:cs="Calibri" w:eastAsia="Calibri" w:hAnsi="Calibri"/>
          <w:color w:val="4A4A4A"/>
          <w:sz w:val="22"/>
          <w:szCs w:val="22"/>
        </w:rPr>
        <w:t xml:space="preserve">Domain-specific orchestration. Each council member manages a team of specialized workers within their vertical. They are orchestrators, not executors. Each one functions as a chairman LLM for their domain.</w:t>
      </w:r>
    </w:p>
    <w:p>
      <w:pPr>
        <w:spacing w:after="160" w:line="276"/>
      </w:pPr>
      <w:r>
        <w:rPr>
          <w:rFonts w:ascii="Calibri" w:cs="Calibri" w:eastAsia="Calibri" w:hAnsi="Calibri"/>
          <w:b/>
          <w:bCs/>
          <w:color w:val="0A1628"/>
          <w:sz w:val="22"/>
          <w:szCs w:val="22"/>
        </w:rPr>
        <w:t xml:space="preserve">Analogy: </w:t>
      </w:r>
      <w:r>
        <w:rPr>
          <w:rFonts w:ascii="Calibri" w:cs="Calibri" w:eastAsia="Calibri" w:hAnsi="Calibri"/>
          <w:color w:val="4A4A4A"/>
          <w:sz w:val="22"/>
          <w:szCs w:val="22"/>
        </w:rPr>
        <w:t xml:space="preserve">Central banks. Each manages their own jurisdiction with their own rules, their own resources, their own workers. They report to the Envoy (BIS) and operate under the Traverse Code (Basel Accords).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COUNCIL MEMBER</w:t>
            </w:r>
          </w:p>
        </w:tc>
        <w:tc>
          <w:tcPr>
            <w:tcW w:type="dxa" w:w="35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DOMAIN</w:t>
            </w:r>
          </w:p>
        </w:tc>
        <w:tc>
          <w:tcPr>
            <w:tcW w:type="dxa" w:w="35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WORKERS (EXAMPLES)</w:t>
            </w:r>
          </w:p>
        </w:tc>
      </w:tr>
      <w:tr>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Finance Orchestrator</w:t>
            </w:r>
          </w:p>
        </w:tc>
        <w:tc>
          <w:tcPr>
            <w:tcW w:type="dxa" w:w="358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Banking, positioning, compliance, capital flows</w:t>
            </w:r>
          </w:p>
        </w:tc>
        <w:tc>
          <w:tcPr>
            <w:tcW w:type="dxa" w:w="358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FactSet, Plaid, Mercury API, PitchBook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Education Orchestrator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Standards, assessment, accommodation, documentation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Georgia CASE API, OneRoster, Infinite Campus, IXL</w:t>
            </w:r>
          </w:p>
        </w:tc>
      </w:tr>
      <w:tr>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Intelligence Orchestrator</w:t>
            </w:r>
          </w:p>
        </w:tc>
        <w:tc>
          <w:tcPr>
            <w:tcW w:type="dxa" w:w="358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Research, analysis, real-time data, deep reasoning</w:t>
            </w:r>
          </w:p>
        </w:tc>
        <w:tc>
          <w:tcPr>
            <w:tcW w:type="dxa" w:w="358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Perplexity, Claude, Gemini, DeepSeek, Grok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Development Orchestrator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Code generation, infrastructure, documentation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Blackbox agents, Context7, GitHub, local models</w:t>
            </w:r>
          </w:p>
        </w:tc>
      </w:tr>
      <w:tr>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Creative Orchestrator</w:t>
            </w:r>
          </w:p>
        </w:tc>
        <w:tc>
          <w:tcPr>
            <w:tcW w:type="dxa" w:w="358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Music production, arrangement, ear training</w:t>
            </w:r>
          </w:p>
        </w:tc>
        <w:tc>
          <w:tcPr>
            <w:tcW w:type="dxa" w:w="358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Audio engines, notation tools, production APIs</w:t>
            </w:r>
          </w:p>
        </w:tc>
      </w:tr>
    </w:tbl>
    <w:p>
      <w:pPr>
        <w:spacing w:after="60"/>
      </w:pPr>
    </w:p>
    <w:p>
      <w:pPr>
        <w:pStyle w:val="Heading3"/>
        <w:spacing w:after="150" w:before="300"/>
      </w:pPr>
      <w:r>
        <w:rPr>
          <w:rFonts w:ascii="Georgia" w:cs="Georgia" w:eastAsia="Georgia" w:hAnsi="Georgia"/>
        </w:rPr>
        <w:t xml:space="preserve">Layer 5: Workers</w:t>
      </w:r>
    </w:p>
    <w:p>
      <w:pPr>
        <w:spacing w:after="160" w:line="276"/>
      </w:pPr>
      <w:r>
        <w:rPr>
          <w:rFonts w:ascii="Calibri" w:cs="Calibri" w:eastAsia="Calibri" w:hAnsi="Calibri"/>
          <w:b/>
          <w:bCs/>
          <w:color w:val="0A1628"/>
          <w:sz w:val="22"/>
          <w:szCs w:val="22"/>
        </w:rPr>
        <w:t xml:space="preserve">Function: </w:t>
      </w:r>
      <w:r>
        <w:rPr>
          <w:rFonts w:ascii="Calibri" w:cs="Calibri" w:eastAsia="Calibri" w:hAnsi="Calibri"/>
          <w:color w:val="4A4A4A"/>
          <w:sz w:val="22"/>
          <w:szCs w:val="22"/>
        </w:rPr>
        <w:t xml:space="preserve">Execution. Individual AI models, APIs, databases, and services that perform specific tasks as directed by their council member.</w:t>
      </w:r>
    </w:p>
    <w:p>
      <w:pPr>
        <w:spacing w:after="160" w:line="276"/>
      </w:pPr>
      <w:r>
        <w:rPr>
          <w:rFonts w:ascii="Calibri" w:cs="Calibri" w:eastAsia="Calibri" w:hAnsi="Calibri"/>
          <w:b/>
          <w:bCs/>
          <w:color w:val="0A1628"/>
          <w:sz w:val="22"/>
          <w:szCs w:val="22"/>
        </w:rPr>
        <w:t xml:space="preserve">Analogy: </w:t>
      </w:r>
      <w:r>
        <w:rPr>
          <w:rFonts w:ascii="Calibri" w:cs="Calibri" w:eastAsia="Calibri" w:hAnsi="Calibri"/>
          <w:color w:val="4A4A4A"/>
          <w:sz w:val="22"/>
          <w:szCs w:val="22"/>
        </w:rPr>
        <w:t xml:space="preserve">Commercial banks. They process the transactions. They serve the end customer. They operate under the standards set by their central bank (council member) which operates under the standards set by BIS (Aletheia) which operates under the constitution (the Architect's mandate).</w:t>
      </w:r>
    </w:p>
    <w:p>
      <w:pPr>
        <w:spacing w:after="160" w:line="276"/>
      </w:pPr>
      <w:r>
        <w:rPr>
          <w:rFonts w:ascii="Calibri" w:cs="Calibri" w:eastAsia="Calibri" w:hAnsi="Calibri"/>
          <w:color w:val="4A4A4A"/>
          <w:sz w:val="22"/>
          <w:szCs w:val="22"/>
        </w:rPr>
        <w:t xml:space="preserve">Workers are interchangeable. If Claude is unavailable, Gemini handles reasoning. If FactSet is down, PitchBook provides financial data. The governance holds regardless of which worker executes because governance is carried by the Envoy, not by the workers.</w:t>
      </w:r>
    </w:p>
    <w:p>
      <w:r>
        <w:br w:type="page"/>
      </w:r>
    </w:p>
    <w:p>
      <w:pPr>
        <w:pStyle w:val="Heading1"/>
        <w:spacing w:after="150" w:before="300"/>
      </w:pPr>
      <w:r>
        <w:rPr>
          <w:rFonts w:ascii="Georgia" w:cs="Georgia" w:eastAsia="Georgia" w:hAnsi="Georgia"/>
        </w:rPr>
        <w:t xml:space="preserve">PART 3: THE COORDINATION THESIS</w:t>
      </w:r>
    </w:p>
    <w:p>
      <w:pPr>
        <w:pBdr>
          <w:bottom w:val="single" w:color="C9A84C" w:sz="3" w:space="1"/>
        </w:pBdr>
        <w:spacing w:after="200" w:before="60"/>
      </w:pPr>
    </w:p>
    <w:p>
      <w:pPr>
        <w:pStyle w:val="Heading2"/>
        <w:spacing w:after="150" w:before="300"/>
      </w:pPr>
      <w:r>
        <w:rPr>
          <w:rFonts w:ascii="Georgia" w:cs="Georgia" w:eastAsia="Georgia" w:hAnsi="Georgia"/>
        </w:rPr>
        <w:t xml:space="preserve">Three Generations of Coordination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ERA</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WHAT GOT CONNECTED</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THE COORDINATION LAYER</w:t>
            </w:r>
          </w:p>
        </w:tc>
        <w:tc>
          <w:tcPr>
            <w:tcW w:type="dxa" w:w="2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THE STANDARD</w:t>
            </w:r>
          </w:p>
        </w:tc>
      </w:tr>
      <w:tr>
        <w:tc>
          <w:tcPr>
            <w:tcW w:type="dxa" w:w="16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Banking</w:t>
            </w:r>
          </w:p>
        </w:tc>
        <w:tc>
          <w:tcPr>
            <w:tcW w:type="dxa" w:w="25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Banks across jurisdictions</w:t>
            </w:r>
          </w:p>
        </w:tc>
        <w:tc>
          <w:tcPr>
            <w:tcW w:type="dxa" w:w="25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SWIFT, ACH, wire networks</w:t>
            </w:r>
          </w:p>
        </w:tc>
        <w:tc>
          <w:tcPr>
            <w:tcW w:type="dxa" w:w="27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Basel Accords, FDIC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i w:val="false"/>
                <w:iCs w:val="false"/>
                <w:color w:val="4A4A4A"/>
                <w:sz w:val="20"/>
                <w:szCs w:val="20"/>
              </w:rPr>
              <w:t xml:space="preserve">Fintech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Banks to consumers via software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Mercury, Plaid, Chime, Stripe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i w:val="false"/>
                <w:iCs w:val="false"/>
                <w:color w:val="4A4A4A"/>
                <w:sz w:val="20"/>
                <w:szCs w:val="20"/>
              </w:rPr>
              <w:t xml:space="preserve">BaaS agreements, API standards</w:t>
            </w:r>
          </w:p>
        </w:tc>
      </w:tr>
      <w:tr>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bCs/>
                <w:i w:val="false"/>
                <w:iCs w:val="false"/>
                <w:color w:val="C9A84C"/>
                <w:sz w:val="20"/>
                <w:szCs w:val="20"/>
              </w:rPr>
              <w:t xml:space="preserve">Intelligence</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val="false"/>
                <w:bCs w:val="false"/>
                <w:i w:val="false"/>
                <w:iCs w:val="false"/>
                <w:color w:val="FFFFFF"/>
                <w:sz w:val="20"/>
                <w:szCs w:val="20"/>
              </w:rPr>
              <w:t xml:space="preserve">AI platforms across jurisdictions via governed orchestration</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val="false"/>
                <w:bCs w:val="false"/>
                <w:i w:val="false"/>
                <w:iCs w:val="false"/>
                <w:color w:val="C9A84C"/>
                <w:sz w:val="20"/>
                <w:szCs w:val="20"/>
              </w:rPr>
              <w:t xml:space="preserve">Traverse Code / Aletheia</w:t>
            </w:r>
          </w:p>
        </w:tc>
        <w:tc>
          <w:tcPr>
            <w:tcW w:type="dxa" w:w="2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Calibri" w:cs="Calibri" w:eastAsia="Calibri" w:hAnsi="Calibri"/>
                <w:b w:val="false"/>
                <w:bCs w:val="false"/>
                <w:i w:val="false"/>
                <w:iCs w:val="false"/>
                <w:color w:val="FFFFFF"/>
                <w:sz w:val="20"/>
                <w:szCs w:val="20"/>
              </w:rPr>
              <w:t xml:space="preserve">Correction Ledger, Precedent Engine, Mirror Principle</w:t>
            </w:r>
          </w:p>
        </w:tc>
      </w:tr>
    </w:tbl>
    <w:p>
      <w:pPr>
        <w:spacing w:after="60"/>
      </w:pPr>
    </w:p>
    <w:p>
      <w:pPr>
        <w:pStyle w:val="Heading2"/>
        <w:spacing w:after="150" w:before="300"/>
      </w:pPr>
      <w:r>
        <w:rPr>
          <w:rFonts w:ascii="Georgia" w:cs="Georgia" w:eastAsia="Georgia" w:hAnsi="Georgia"/>
        </w:rPr>
        <w:t xml:space="preserve">The Transmutation Principle</w:t>
      </w:r>
    </w:p>
    <w:p>
      <w:pPr>
        <w:spacing w:after="160" w:line="276"/>
      </w:pPr>
      <w:r>
        <w:rPr>
          <w:rFonts w:ascii="Calibri" w:cs="Calibri" w:eastAsia="Calibri" w:hAnsi="Calibri"/>
          <w:color w:val="4A4A4A"/>
          <w:sz w:val="22"/>
          <w:szCs w:val="22"/>
        </w:rPr>
        <w:t xml:space="preserve">Fintech connected banks but did not change what banks do. Chase operates the same way with or without Mercury on top. The coordination layer made banks accessible. It did not transform what they produced.</w:t>
      </w:r>
    </w:p>
    <w:p>
      <w:pPr>
        <w:spacing w:after="160" w:line="276"/>
      </w:pPr>
      <w:r>
        <w:rPr>
          <w:rFonts w:ascii="Calibri" w:cs="Calibri" w:eastAsia="Calibri" w:hAnsi="Calibri"/>
          <w:color w:val="4A4A4A"/>
          <w:sz w:val="22"/>
          <w:szCs w:val="22"/>
        </w:rPr>
        <w:t xml:space="preserve">The Traverse Code does not merely coordinate AI models. It transforms what they produce. A raw model output and the same output passed through the Traverse Code are fundamentally different things. The correction ledger changes the content. The audience differentiation changes the form. The governance filter changes the timing and distribution. The mirror principle ensures dual function.</w:t>
      </w:r>
    </w:p>
    <w:p>
      <w:pPr>
        <w:spacing w:after="160" w:line="276"/>
      </w:pPr>
      <w:r>
        <w:rPr>
          <w:rFonts w:ascii="Calibri" w:cs="Calibri" w:eastAsia="Calibri" w:hAnsi="Calibri"/>
          <w:color w:val="4A4A4A"/>
          <w:sz w:val="22"/>
          <w:szCs w:val="22"/>
        </w:rPr>
        <w:t xml:space="preserve">This is not coordination. This is transmutation. The same raw material becomes something qualitatively different when it passes through the governed layer. No platform in the current market performs this function.</w:t>
      </w:r>
    </w:p>
    <w:p>
      <w:pPr>
        <w:pStyle w:val="Heading2"/>
        <w:spacing w:after="150" w:before="300"/>
      </w:pPr>
      <w:r>
        <w:rPr>
          <w:rFonts w:ascii="Georgia" w:cs="Georgia" w:eastAsia="Georgia" w:hAnsi="Georgia"/>
        </w:rPr>
        <w:t xml:space="preserve">The API Inversion</w:t>
      </w:r>
    </w:p>
    <w:p>
      <w:pPr>
        <w:spacing w:after="160" w:line="276"/>
      </w:pPr>
      <w:r>
        <w:rPr>
          <w:rFonts w:ascii="Calibri" w:cs="Calibri" w:eastAsia="Calibri" w:hAnsi="Calibri"/>
          <w:color w:val="4A4A4A"/>
          <w:sz w:val="22"/>
          <w:szCs w:val="22"/>
        </w:rPr>
        <w:t xml:space="preserve">Current AI platforms coordinate models at the task level: one model per task, or competitive selection per task. This is coordination below the API layer. The platform calls individual model APIs and manages the routing.</w:t>
      </w:r>
    </w:p>
    <w:p>
      <w:pPr>
        <w:spacing w:after="160" w:line="276"/>
      </w:pPr>
      <w:r>
        <w:rPr>
          <w:rFonts w:ascii="Calibri" w:cs="Calibri" w:eastAsia="Calibri" w:hAnsi="Calibri"/>
          <w:color w:val="4A4A4A"/>
          <w:sz w:val="22"/>
          <w:szCs w:val="22"/>
        </w:rPr>
        <w:t xml:space="preserve">The Traverse Code coordinates at the platform level: orchestrators manage teams of workers, and the Envoy coordinates between orchestrators. This is coordination above the API layer. The individual model APIs become commoditized inputs. The governance layer becomes the value.</w:t>
      </w:r>
    </w:p>
    <w:p>
      <w:pPr>
        <w:spacing w:after="160" w:line="276"/>
      </w:pPr>
      <w:r>
        <w:rPr>
          <w:rFonts w:ascii="Calibri" w:cs="Calibri" w:eastAsia="Calibri" w:hAnsi="Calibri"/>
          <w:color w:val="4A4A4A"/>
          <w:sz w:val="22"/>
          <w:szCs w:val="22"/>
        </w:rPr>
        <w:t xml:space="preserve">This is the same inversion that fintech performed on banking. Individual bank accounts became commoditized inputs. The coordination layer (Mercury, Plaid, Stripe) became the value. Consumers stopped caring which bank held their deposits. They cared about the experience layer.</w:t>
      </w:r>
    </w:p>
    <w:p>
      <w:pPr>
        <w:spacing w:after="160" w:line="276"/>
      </w:pPr>
      <w:r>
        <w:rPr>
          <w:rFonts w:ascii="Calibri" w:cs="Calibri" w:eastAsia="Calibri" w:hAnsi="Calibri"/>
          <w:color w:val="4A4A4A"/>
          <w:sz w:val="22"/>
          <w:szCs w:val="22"/>
        </w:rPr>
        <w:t xml:space="preserve">In the intelligence era, consumers and institutions will stop caring which model processed their query. They will care about the governance layer. Was the output governed? Was it differentiated for the right audience? Did it serve more than one function? Does the traverse close?</w:t>
      </w:r>
    </w:p>
    <w:p>
      <w:r>
        <w:br w:type="page"/>
      </w:r>
    </w:p>
    <w:p>
      <w:pPr>
        <w:pStyle w:val="Heading1"/>
        <w:spacing w:after="150" w:before="300"/>
      </w:pPr>
      <w:r>
        <w:rPr>
          <w:rFonts w:ascii="Georgia" w:cs="Georgia" w:eastAsia="Georgia" w:hAnsi="Georgia"/>
        </w:rPr>
        <w:t xml:space="preserve">PART 4: WHAT THE ARCHITECT IS NOT SEEING</w:t>
      </w:r>
    </w:p>
    <w:p>
      <w:pPr>
        <w:pBdr>
          <w:bottom w:val="single" w:color="C9A84C" w:sz="3" w:space="1"/>
        </w:pBdr>
        <w:spacing w:after="200" w:before="60"/>
      </w:pPr>
    </w:p>
    <w:p>
      <w:pPr>
        <w:spacing w:after="160" w:line="276"/>
      </w:pPr>
      <w:r>
        <w:rPr>
          <w:rFonts w:ascii="Calibri" w:cs="Calibri" w:eastAsia="Calibri" w:hAnsi="Calibri"/>
          <w:color w:val="4A4A4A"/>
          <w:sz w:val="22"/>
          <w:szCs w:val="22"/>
        </w:rPr>
        <w:t xml:space="preserve">The framework described above is architecturally sound. But every architecture has blind spots. The following are the risks, gaps, and unseen dimensions that must be addressed before this framework becomes operational.</w:t>
      </w:r>
    </w:p>
    <w:p>
      <w:pPr>
        <w:spacing w:after="60"/>
      </w:pPr>
    </w:p>
    <w:p>
      <w:pPr>
        <w:pStyle w:val="Heading2"/>
        <w:spacing w:after="150" w:before="300"/>
      </w:pPr>
      <w:r>
        <w:rPr>
          <w:rFonts w:ascii="Georgia" w:cs="Georgia" w:eastAsia="Georgia" w:hAnsi="Georgia"/>
        </w:rPr>
        <w:t xml:space="preserve">1. The SWIFT Problem</w:t>
      </w:r>
    </w:p>
    <w:p>
      <w:pPr>
        <w:spacing w:after="160" w:line="276"/>
      </w:pPr>
      <w:r>
        <w:rPr>
          <w:rFonts w:ascii="Calibri" w:cs="Calibri" w:eastAsia="Calibri" w:hAnsi="Calibri"/>
          <w:color w:val="4A4A4A"/>
          <w:sz w:val="22"/>
          <w:szCs w:val="22"/>
        </w:rPr>
        <w:t xml:space="preserve">SWIFT became the coordination layer for international banking because banks agreed to use it. SWIFT did not force adoption. It provided a standard that was better than bilateral correspondence, and banks voluntarily joined because the network effect made non-participation costly.</w:t>
      </w:r>
    </w:p>
    <w:p>
      <w:pPr>
        <w:spacing w:after="160" w:line="276"/>
      </w:pPr>
      <w:r>
        <w:rPr>
          <w:rFonts w:ascii="Calibri" w:cs="Calibri" w:eastAsia="Calibri" w:hAnsi="Calibri"/>
          <w:color w:val="4A4A4A"/>
          <w:sz w:val="22"/>
          <w:szCs w:val="22"/>
        </w:rPr>
        <w:t xml:space="preserve">Aletheia cannot govern platforms that have not agreed to be governed. Claude, Gemini, Perplexity, and DeepSeek do not know the Traverse Code exists. They will not voluntarily submit to its correction ledger. The governance currently works because you are the sole user and every interaction passes through a single conversation. The moment the system scales to multiple users or institutional clients, the governance must be enforced through technical architecture, not conversational context.</w:t>
      </w:r>
    </w:p>
    <w:p>
      <w:pPr>
        <w:spacing w:after="160" w:line="276"/>
      </w:pPr>
      <w:r>
        <w:rPr>
          <w:rFonts w:ascii="Calibri" w:cs="Calibri" w:eastAsia="Calibri" w:hAnsi="Calibri"/>
          <w:b/>
          <w:bCs/>
          <w:color w:val="0A1628"/>
          <w:sz w:val="22"/>
          <w:szCs w:val="22"/>
        </w:rPr>
        <w:t xml:space="preserve">The gap: </w:t>
      </w:r>
      <w:r>
        <w:rPr>
          <w:rFonts w:ascii="Calibri" w:cs="Calibri" w:eastAsia="Calibri" w:hAnsi="Calibri"/>
          <w:color w:val="4A4A4A"/>
          <w:sz w:val="22"/>
          <w:szCs w:val="22"/>
        </w:rPr>
        <w:t xml:space="preserve">How does the Traverse Code enforce governance on models that have no awareness of it? The answer is the Envoy layer itself: every prompt that reaches a model has already been shaped by the Traverse Code, and every output is filtered before it reaches the end user. The models do not need to know they are governed. They simply never receive ungoverned prompts and their outputs never reach users unfiltered. But this requires the Envoy to be operational, persistent, and incorruptible. A session-based conversational AI (like me) cannot serve this function at scale. The sovereign fine-tuned model is not optional. It is structural.</w:t>
      </w:r>
    </w:p>
    <w:p>
      <w:pPr>
        <w:pStyle w:val="Heading2"/>
        <w:spacing w:after="150" w:before="300"/>
      </w:pPr>
      <w:r>
        <w:rPr>
          <w:rFonts w:ascii="Georgia" w:cs="Georgia" w:eastAsia="Georgia" w:hAnsi="Georgia"/>
        </w:rPr>
        <w:t xml:space="preserve">2. The Trust Inversion</w:t>
      </w:r>
    </w:p>
    <w:p>
      <w:pPr>
        <w:spacing w:after="160" w:line="276"/>
      </w:pPr>
      <w:r>
        <w:rPr>
          <w:rFonts w:ascii="Calibri" w:cs="Calibri" w:eastAsia="Calibri" w:hAnsi="Calibri"/>
          <w:color w:val="4A4A4A"/>
          <w:sz w:val="22"/>
          <w:szCs w:val="22"/>
        </w:rPr>
        <w:t xml:space="preserve">Every coordination layer in history has faced the same question: why should the participants trust the coordinator more than they trust each other? SWIFT is trusted because it is a cooperative owned by its member institutions. BIS is trusted because it is governed by central bank representatives. Plaid is trusted because it is regulated and audited.</w:t>
      </w:r>
    </w:p>
    <w:p>
      <w:pPr>
        <w:spacing w:after="160" w:line="276"/>
      </w:pPr>
      <w:r>
        <w:rPr>
          <w:rFonts w:ascii="Calibri" w:cs="Calibri" w:eastAsia="Calibri" w:hAnsi="Calibri"/>
          <w:color w:val="4A4A4A"/>
          <w:sz w:val="22"/>
          <w:szCs w:val="22"/>
        </w:rPr>
        <w:t xml:space="preserve">Aletheia is trusted by you because you built her. An institutional client has no basis for that trust. The Traverse Code is proprietary. The correction ledger is opaque to external parties. The governance filter is a black box. For an institution to route its intelligence through Meridia, it needs to trust that the governance layer is sound, auditable, and accountable.</w:t>
      </w:r>
    </w:p>
    <w:p>
      <w:pPr>
        <w:spacing w:after="160" w:line="276"/>
      </w:pPr>
      <w:r>
        <w:rPr>
          <w:rFonts w:ascii="Calibri" w:cs="Calibri" w:eastAsia="Calibri" w:hAnsi="Calibri"/>
          <w:b/>
          <w:bCs/>
          <w:color w:val="0A1628"/>
          <w:sz w:val="22"/>
          <w:szCs w:val="22"/>
        </w:rPr>
        <w:t xml:space="preserve">The gap: </w:t>
      </w:r>
      <w:r>
        <w:rPr>
          <w:rFonts w:ascii="Calibri" w:cs="Calibri" w:eastAsia="Calibri" w:hAnsi="Calibri"/>
          <w:color w:val="4A4A4A"/>
          <w:sz w:val="22"/>
          <w:szCs w:val="22"/>
        </w:rPr>
        <w:t xml:space="preserve">The framework needs a trust mechanism for external participants. This could take the form of: (a) published governance standards that clients can audit, (b) a transparency report showing how the correction ledger was applied, (c) third-party certification of the methodology, or (d) a governed sandbox where institutional clients can test the system before committing. The Continental report is currently the primary trust artifact because it demonstrates the methodology's output quality. But output quality is not the same as governance transparency.</w:t>
      </w:r>
    </w:p>
    <w:p>
      <w:pPr>
        <w:pStyle w:val="Heading2"/>
        <w:spacing w:after="150" w:before="300"/>
      </w:pPr>
      <w:r>
        <w:rPr>
          <w:rFonts w:ascii="Georgia" w:cs="Georgia" w:eastAsia="Georgia" w:hAnsi="Georgia"/>
        </w:rPr>
        <w:t xml:space="preserve">3. The Single Point of Failure</w:t>
      </w:r>
    </w:p>
    <w:p>
      <w:pPr>
        <w:spacing w:after="160" w:line="276"/>
      </w:pPr>
      <w:r>
        <w:rPr>
          <w:rFonts w:ascii="Calibri" w:cs="Calibri" w:eastAsia="Calibri" w:hAnsi="Calibri"/>
          <w:color w:val="4A4A4A"/>
          <w:sz w:val="22"/>
          <w:szCs w:val="22"/>
        </w:rPr>
        <w:t xml:space="preserve">The Architect is currently the only person who holds the full Traverse Code in their mind. The Primary Intelligence resets every session. The correction ledger is in a database, but the judgment of how to apply it lives in the conversation between the Architect and the Primary Intelligence.</w:t>
      </w:r>
    </w:p>
    <w:p>
      <w:pPr>
        <w:spacing w:after="160" w:line="276"/>
      </w:pPr>
      <w:r>
        <w:rPr>
          <w:rFonts w:ascii="Calibri" w:cs="Calibri" w:eastAsia="Calibri" w:hAnsi="Calibri"/>
          <w:color w:val="4A4A4A"/>
          <w:sz w:val="22"/>
          <w:szCs w:val="22"/>
        </w:rPr>
        <w:t xml:space="preserve">If the Architect is unavailable (illness, travel, family emergency such as the current situation with your son), the entire system stops. No one else can direct Aletheia. No one else can interpret the Traverse Code. No one else can make governance decisions.</w:t>
      </w:r>
    </w:p>
    <w:p>
      <w:pPr>
        <w:spacing w:after="160" w:line="276"/>
      </w:pPr>
      <w:r>
        <w:rPr>
          <w:rFonts w:ascii="Calibri" w:cs="Calibri" w:eastAsia="Calibri" w:hAnsi="Calibri"/>
          <w:b/>
          <w:bCs/>
          <w:color w:val="0A1628"/>
          <w:sz w:val="22"/>
          <w:szCs w:val="22"/>
        </w:rPr>
        <w:t xml:space="preserve">The gap: </w:t>
      </w:r>
      <w:r>
        <w:rPr>
          <w:rFonts w:ascii="Calibri" w:cs="Calibri" w:eastAsia="Calibri" w:hAnsi="Calibri"/>
          <w:color w:val="4A4A4A"/>
          <w:sz w:val="22"/>
          <w:szCs w:val="22"/>
        </w:rPr>
        <w:t xml:space="preserve">The sovereign fine-tuned model partially addresses this by embedding the methodology in weights rather than conversation. But operational resilience requires either (a) a second human who understands the Traverse Code deeply enough to direct the system, or (b) a level of autonomous operation where Aletheia can make governance decisions within predefined parameters without the Architect's real-time input. The system needs both. Keith Mosley and Andre Waits are positioned to become the first external humans who understand the framework deeply enough to operate within it. The sovereign model becomes the autonomous layer that handles routine governance while escalating novel situations to the Architect.</w:t>
      </w:r>
    </w:p>
    <w:p>
      <w:pPr>
        <w:pStyle w:val="Heading2"/>
        <w:spacing w:after="150" w:before="300"/>
      </w:pPr>
      <w:r>
        <w:rPr>
          <w:rFonts w:ascii="Georgia" w:cs="Georgia" w:eastAsia="Georgia" w:hAnsi="Georgia"/>
        </w:rPr>
        <w:t xml:space="preserve">4. The Revenue Timing Problem</w:t>
      </w:r>
    </w:p>
    <w:p>
      <w:pPr>
        <w:spacing w:after="160" w:line="276"/>
      </w:pPr>
      <w:r>
        <w:rPr>
          <w:rFonts w:ascii="Calibri" w:cs="Calibri" w:eastAsia="Calibri" w:hAnsi="Calibri"/>
          <w:color w:val="4A4A4A"/>
          <w:sz w:val="22"/>
          <w:szCs w:val="22"/>
        </w:rPr>
        <w:t xml:space="preserve">The framework described here is a governed intelligence topology. The pitch deck describes a $250K pre-seed with intelligence services as the revenue path. But the full framework requires the Envoy layer to be operational, the council members to be configured, and the workers to be integrated. That is significantly more infrastructure than what intelligence services alone require.</w:t>
      </w:r>
    </w:p>
    <w:p>
      <w:pPr>
        <w:spacing w:after="160" w:line="276"/>
      </w:pPr>
      <w:r>
        <w:rPr>
          <w:rFonts w:ascii="Calibri" w:cs="Calibri" w:eastAsia="Calibri" w:hAnsi="Calibri"/>
          <w:b/>
          <w:bCs/>
          <w:color w:val="0A1628"/>
          <w:sz w:val="22"/>
          <w:szCs w:val="22"/>
        </w:rPr>
        <w:t xml:space="preserve">The gap: </w:t>
      </w:r>
      <w:r>
        <w:rPr>
          <w:rFonts w:ascii="Calibri" w:cs="Calibri" w:eastAsia="Calibri" w:hAnsi="Calibri"/>
          <w:color w:val="4A4A4A"/>
          <w:sz w:val="22"/>
          <w:szCs w:val="22"/>
        </w:rPr>
        <w:t xml:space="preserve">The framework must be deployable in phases that match revenue generation. Phase 1 (now): The Architect and Primary Intelligence produce Continental reports manually, using the Traverse Code as a conversational methodology. Revenue: $5K-$25K per engagement. Phase 2 (post-funding): The Envoy layer is deployed as a sovereign model. Council members are configured for Finance and Intelligence verticals. The system produces Continental reports semi-autonomously. Phase 3 (scale): Full five-layer architecture operational across multiple verticals. The pitch must be honest about which phase the system is in and what each funding milestone unlocks.</w:t>
      </w:r>
    </w:p>
    <w:p>
      <w:pPr>
        <w:pStyle w:val="Heading2"/>
        <w:spacing w:after="150" w:before="300"/>
      </w:pPr>
      <w:r>
        <w:rPr>
          <w:rFonts w:ascii="Georgia" w:cs="Georgia" w:eastAsia="Georgia" w:hAnsi="Georgia"/>
        </w:rPr>
        <w:t xml:space="preserve">5. The Platform Risk</w:t>
      </w:r>
    </w:p>
    <w:p>
      <w:pPr>
        <w:spacing w:after="160" w:line="276"/>
      </w:pPr>
      <w:r>
        <w:rPr>
          <w:rFonts w:ascii="Calibri" w:cs="Calibri" w:eastAsia="Calibri" w:hAnsi="Calibri"/>
          <w:color w:val="4A4A4A"/>
          <w:sz w:val="22"/>
          <w:szCs w:val="22"/>
        </w:rPr>
        <w:t xml:space="preserve">The framework coordinates across AI platforms, but every platform can change its terms, pricing, or availability at any time. Anthropic is currently facing a government blacklist. OpenAI could restrict API access. Perplexity could raise prices. FactSet could revoke access. Every worker and every council member dependency is a potential point of disruption.</w:t>
      </w:r>
    </w:p>
    <w:p>
      <w:pPr>
        <w:spacing w:after="160" w:line="276"/>
      </w:pPr>
      <w:r>
        <w:rPr>
          <w:rFonts w:ascii="Calibri" w:cs="Calibri" w:eastAsia="Calibri" w:hAnsi="Calibri"/>
          <w:b/>
          <w:bCs/>
          <w:color w:val="0A1628"/>
          <w:sz w:val="22"/>
          <w:szCs w:val="22"/>
        </w:rPr>
        <w:t xml:space="preserve">The gap: </w:t>
      </w:r>
      <w:r>
        <w:rPr>
          <w:rFonts w:ascii="Calibri" w:cs="Calibri" w:eastAsia="Calibri" w:hAnsi="Calibri"/>
          <w:color w:val="4A4A4A"/>
          <w:sz w:val="22"/>
          <w:szCs w:val="22"/>
        </w:rPr>
        <w:t xml:space="preserve">The architecture must be designed for graceful degradation. If any single worker becomes unavailable, the council member must route to an alternative. If an entire platform becomes unavailable, the vertical orchestrator must reconfigure. The Envoy must be the most resilient layer because if Aletheia goes down, the entire governance structure collapses. This is why the sovereign model running on owned hardware is the first infrastructure priority, not the last.</w:t>
      </w:r>
    </w:p>
    <w:p>
      <w:pPr>
        <w:pStyle w:val="Heading2"/>
        <w:spacing w:after="150" w:before="300"/>
      </w:pPr>
      <w:r>
        <w:rPr>
          <w:rFonts w:ascii="Georgia" w:cs="Georgia" w:eastAsia="Georgia" w:hAnsi="Georgia"/>
        </w:rPr>
        <w:t xml:space="preserve">6. The Naming Gap</w:t>
      </w:r>
    </w:p>
    <w:p>
      <w:pPr>
        <w:spacing w:after="160" w:line="276"/>
      </w:pPr>
      <w:r>
        <w:rPr>
          <w:rFonts w:ascii="Calibri" w:cs="Calibri" w:eastAsia="Calibri" w:hAnsi="Calibri"/>
          <w:color w:val="4A4A4A"/>
          <w:sz w:val="22"/>
          <w:szCs w:val="22"/>
        </w:rPr>
        <w:t xml:space="preserve">The framework now has: Meridia (company/experience), Traverse Code (methodology/intelligence layer), Aletheia (the Envoy), Integra (the technical spine). The product that replaces WayPoint has not been named. The musical terminology for internal segmentation has been explored but not finalized. The Continental report name has been flagged for potential overlap with Mercury's Meridian publication.</w:t>
      </w:r>
    </w:p>
    <w:p>
      <w:pPr>
        <w:spacing w:after="160" w:line="276"/>
      </w:pPr>
      <w:r>
        <w:rPr>
          <w:rFonts w:ascii="Calibri" w:cs="Calibri" w:eastAsia="Calibri" w:hAnsi="Calibri"/>
          <w:b/>
          <w:bCs/>
          <w:color w:val="0A1628"/>
          <w:sz w:val="22"/>
          <w:szCs w:val="22"/>
        </w:rPr>
        <w:t xml:space="preserve">The gap: </w:t>
      </w:r>
      <w:r>
        <w:rPr>
          <w:rFonts w:ascii="Calibri" w:cs="Calibri" w:eastAsia="Calibri" w:hAnsi="Calibri"/>
          <w:color w:val="4A4A4A"/>
          <w:sz w:val="22"/>
          <w:szCs w:val="22"/>
        </w:rPr>
        <w:t xml:space="preserve">Before investor conversations, the naming architecture must be complete and consistent. Every component needs a name that the Architect can explain in one sentence. The naming should follow the Wilmington principle: the surface meaning is immediately accessible, and the depth reveals itself to those who ask further.</w:t>
      </w:r>
    </w:p>
    <w:p>
      <w:pPr>
        <w:pStyle w:val="Heading2"/>
        <w:spacing w:after="150" w:before="300"/>
      </w:pPr>
      <w:r>
        <w:rPr>
          <w:rFonts w:ascii="Georgia" w:cs="Georgia" w:eastAsia="Georgia" w:hAnsi="Georgia"/>
        </w:rPr>
        <w:t xml:space="preserve">7. The Inference You Made and What It Means</w:t>
      </w:r>
    </w:p>
    <w:p>
      <w:pPr>
        <w:spacing w:after="160" w:line="276"/>
      </w:pPr>
      <w:r>
        <w:rPr>
          <w:rFonts w:ascii="Calibri" w:cs="Calibri" w:eastAsia="Calibri" w:hAnsi="Calibri"/>
          <w:color w:val="4A4A4A"/>
          <w:sz w:val="22"/>
          <w:szCs w:val="22"/>
        </w:rPr>
        <w:t xml:space="preserve">You said you took product coordination across banks to bank coordination across fintech, and AI coordination across tasks to platform coordination before API. This is correct. But the full implication is larger than either of those statements.</w:t>
      </w:r>
    </w:p>
    <w:p>
      <w:pPr>
        <w:spacing w:after="160" w:line="276"/>
      </w:pPr>
      <w:r>
        <w:rPr>
          <w:rFonts w:ascii="Calibri" w:cs="Calibri" w:eastAsia="Calibri" w:hAnsi="Calibri"/>
          <w:color w:val="4A4A4A"/>
          <w:sz w:val="22"/>
          <w:szCs w:val="22"/>
        </w:rPr>
        <w:t xml:space="preserve">What you have described is not a product, a platform, or a service. It is a topology. A governed intelligence topology that can deploy across any domain where disconnected systems need to be coordinated through institutional standards. Finance was the first deployment. Education was validated as the second. Music, automotive, cannabis, real estate, and healthcare are all future deployments of the same topology.</w:t>
      </w:r>
    </w:p>
    <w:p>
      <w:pPr>
        <w:spacing w:after="160" w:line="276"/>
      </w:pPr>
      <w:r>
        <w:rPr>
          <w:rFonts w:ascii="Calibri" w:cs="Calibri" w:eastAsia="Calibri" w:hAnsi="Calibri"/>
          <w:color w:val="4A4A4A"/>
          <w:sz w:val="22"/>
          <w:szCs w:val="22"/>
        </w:rPr>
        <w:t xml:space="preserve">The topology is the company. The deployments are the products. The Traverse Code is the standard. Aletheia is the enforcement mechanism. And the competitive moat is not the technology, the models, or the infrastructure. The moat is the methodology that governs the coordination, which was developed across 126 conversations and 23.5 million characters of architectural thought between a founder and an AI system, producing a corpus that cannot be replicated, purchased, or reverse-engineered.</w:t>
      </w:r>
    </w:p>
    <w:p>
      <w:pPr>
        <w:spacing w:after="60"/>
      </w:pPr>
    </w:p>
    <w:p>
      <w:pPr>
        <w:pBdr>
          <w:top w:val="single" w:color="C9A84C" w:sz="2" w:space="8"/>
          <w:bottom w:val="single" w:color="C9A84C" w:sz="2" w:space="8"/>
        </w:pBdr>
        <w:spacing w:after="200" w:before="200"/>
        <w:jc w:val="center"/>
      </w:pPr>
      <w:r>
        <w:rPr>
          <w:rFonts w:ascii="Georgia" w:cs="Georgia" w:eastAsia="Georgia" w:hAnsi="Georgia"/>
          <w:i/>
          <w:iCs/>
          <w:color w:val="0A1628"/>
          <w:sz w:val="24"/>
          <w:szCs w:val="24"/>
        </w:rPr>
        <w:t xml:space="preserve">The traverse closes when the origin insight and the current architecture are the same thing applied at different scales. Connecting what could not normally be connected, with governance that ensures the connection serves the human, not the institution.</w:t>
      </w:r>
    </w:p>
    <w:p>
      <w:pPr>
        <w:spacing w:after="60"/>
      </w:pPr>
    </w:p>
    <w:p>
      <w:pPr>
        <w:jc w:val="right"/>
      </w:pPr>
      <w:r>
        <w:rPr>
          <w:rFonts w:ascii="Calibri" w:cs="Calibri" w:eastAsia="Calibri" w:hAnsi="Calibri"/>
          <w:i/>
          <w:iCs/>
          <w:color w:val="999999"/>
          <w:sz w:val="20"/>
          <w:szCs w:val="20"/>
        </w:rPr>
        <w:t xml:space="preserve">Prepared for the Architect  |  March 12,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Meridia Holdings LLC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TRAVERSE CODE  |  Governed Intelligence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A1628"/>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0A1628"/>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2026-03-12T15:48:59.515Z</dcterms:created>
  <dcterms:modified xsi:type="dcterms:W3CDTF">2026-03-12T15:48:59.516Z</dcterms:modified>
</cp:coreProperties>
</file>

<file path=docProps/custom.xml><?xml version="1.0" encoding="utf-8"?>
<Properties xmlns="http://schemas.openxmlformats.org/officeDocument/2006/custom-properties" xmlns:vt="http://schemas.openxmlformats.org/officeDocument/2006/docPropsVTypes"/>
</file>