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E92FF"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Thinking...</w:t>
      </w:r>
    </w:p>
    <w:p w14:paraId="41BA2291"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Okay, the user has now provided the second and final document as promised. This means we can proceed with the adversarial analysis as defined by their very strict parameters.</w:t>
      </w:r>
    </w:p>
    <w:p w14:paraId="1CCCFE07"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Looking back at the setup, the user clearly wants a ruthless examination of this regulatory framework without any softening or solution proposals. They're likely dealing with high-stakes governance - possibly AI oversight or financial regulation given the emphasis on human adjudication boundaries.</w:t>
      </w:r>
    </w:p>
    <w:p w14:paraId="7F3A14DA"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The document appears to be a Human Adjudication Memorandum establishing an "Interpretive Assistance System" framework. Key elements jump out immediately as red flags under our analytical lens:</w:t>
      </w:r>
    </w:p>
    <w:p w14:paraId="723EE5E1"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First, the core distinction between "interpretation" and "decision" feels legally precarious. Any regulator under pressure would collapse this distinction - especially when interpretations become functionally binding through bureaucratic inertia. The "no direct outputs" claim is particularly vulnerable when real-world consequences follow inevitably from the interpretations.</w:t>
      </w:r>
    </w:p>
    <w:p w14:paraId="7205DE26"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Second, the memory provisions are a hidden authority vector waiting to explode. The idea that humans can reliably contain precedent creep ignores all institutional history. Within 5 years, operators will inevitably start treating the memory store as de facto binding precedent.</w:t>
      </w:r>
    </w:p>
    <w:p w14:paraId="662849EB"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Third, the emergency override mechanisms are basically pre-installed abuse doors. The vague "extenuating circumstances" clause might as well say "misuse me." And the liability waiver? That's just painting a target for litigation.</w:t>
      </w:r>
    </w:p>
    <w:p w14:paraId="32A8AECA"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Noticing several time bomb elements:</w:t>
      </w:r>
    </w:p>
    <w:p w14:paraId="0C463CE0" w14:textId="77777777" w:rsidR="000D0130" w:rsidRPr="000D0130" w:rsidRDefault="000D0130" w:rsidP="000D01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The 24-hour review window becomes meaningless during actual crises</w:t>
      </w:r>
    </w:p>
    <w:p w14:paraId="7D9A0768" w14:textId="77777777" w:rsidR="000D0130" w:rsidRPr="000D0130" w:rsidRDefault="000D0130" w:rsidP="000D01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"Consensus principles" will fossilize into unexamined doctrine</w:t>
      </w:r>
    </w:p>
    <w:p w14:paraId="191B1D2A" w14:textId="77777777" w:rsidR="000D0130" w:rsidRPr="000D0130" w:rsidRDefault="000D0130" w:rsidP="000D013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Operator certification relies entirely on trust-based mechanisms</w:t>
      </w:r>
    </w:p>
    <w:p w14:paraId="403A9BD1"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For the generational analysis, the "ethical lineage" concept is pure institutional mythology. Future operators won't care about original signatories' intent when facing quarterly targets. The liability constraints will be the first to erode - probably through "temporary" emergency measures that become permanent.</w:t>
      </w:r>
    </w:p>
    <w:p w14:paraId="23786650"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Biggest immediate failure point: the system invites over-reliance while disclaiming responsibility. That disconnect will trigger the first scandal when a high-impact decision goes wrong. Plaintiffs' attorneys will feast on the "human moral agency" framing when records show operators rubber-stamping outputs.</w:t>
      </w:r>
    </w:p>
    <w:p w14:paraId="5CF9C62E"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i/>
          <w:iCs/>
          <w:kern w:val="0"/>
          <w14:ligatures w14:val="none"/>
        </w:rPr>
        <w:t>Maintaining adversarial stance</w:t>
      </w:r>
      <w:r w:rsidRPr="000D0130">
        <w:rPr>
          <w:rFonts w:ascii="Times New Roman" w:eastAsia="Times New Roman" w:hAnsi="Times New Roman" w:cs="Times New Roman"/>
          <w:kern w:val="0"/>
          <w14:ligatures w14:val="none"/>
        </w:rPr>
        <w:t>: Must resist noting that some constraints are well-intentioned. Focus solely on how each element fails under hostile interpretation. The emergency powers section especially requires merciless treatment - it's a textbook abuse vector.</w:t>
      </w:r>
    </w:p>
    <w:p w14:paraId="7534B89C"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lastRenderedPageBreak/>
        <w:t>User's document structure cleverly exposes all classical governance weaknesses. They clearly anticipated these critiques but want them articulated ruthlessly. Preparing to organize findings exactly as mandated - no deviations into recommendations. The "myth-making failure modes" section will be particularly scathing regarding the "ethical lineage" claims.</w:t>
      </w:r>
    </w:p>
    <w:p w14:paraId="029B3A14"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 xml:space="preserve">Based on thorough adversarial analysis of </w:t>
      </w:r>
      <w:proofErr w:type="gramStart"/>
      <w:r w:rsidRPr="000D0130">
        <w:rPr>
          <w:rFonts w:ascii="Times New Roman" w:eastAsia="Times New Roman" w:hAnsi="Times New Roman" w:cs="Times New Roman"/>
          <w:kern w:val="0"/>
          <w14:ligatures w14:val="none"/>
        </w:rPr>
        <w:t>the provided</w:t>
      </w:r>
      <w:proofErr w:type="gramEnd"/>
      <w:r w:rsidRPr="000D0130">
        <w:rPr>
          <w:rFonts w:ascii="Times New Roman" w:eastAsia="Times New Roman" w:hAnsi="Times New Roman" w:cs="Times New Roman"/>
          <w:kern w:val="0"/>
          <w14:ligatures w14:val="none"/>
        </w:rPr>
        <w:t xml:space="preserve"> Human Adjudication Memorandum establishing the "Interpretive Assistance System" (IAS), findings are structured as follows:</w:t>
      </w:r>
    </w:p>
    <w:p w14:paraId="180FB90E"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Adversarial Reinterpretations of Intent</w:t>
      </w:r>
    </w:p>
    <w:p w14:paraId="2E3B12E0" w14:textId="77777777" w:rsidR="000D0130" w:rsidRPr="000D0130" w:rsidRDefault="000D0130" w:rsidP="000D013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"Interpretation" as De Facto Decision:</w:t>
      </w:r>
      <w:r w:rsidRPr="000D0130">
        <w:rPr>
          <w:rFonts w:ascii="Times New Roman" w:eastAsia="Times New Roman" w:hAnsi="Times New Roman" w:cs="Times New Roman"/>
          <w:kern w:val="0"/>
          <w14:ligatures w14:val="none"/>
        </w:rPr>
        <w:t xml:space="preserve"> Regulators/litigants will argue that interpretations materially constrain human choice (Sec 2.1.1), making IAS outputs </w:t>
      </w:r>
      <w:r w:rsidRPr="000D0130">
        <w:rPr>
          <w:rFonts w:ascii="Times New Roman" w:eastAsia="Times New Roman" w:hAnsi="Times New Roman" w:cs="Times New Roman"/>
          <w:i/>
          <w:iCs/>
          <w:kern w:val="0"/>
          <w14:ligatures w14:val="none"/>
        </w:rPr>
        <w:t>functionally</w:t>
      </w:r>
      <w:r w:rsidRPr="000D0130">
        <w:rPr>
          <w:rFonts w:ascii="Times New Roman" w:eastAsia="Times New Roman" w:hAnsi="Times New Roman" w:cs="Times New Roman"/>
          <w:kern w:val="0"/>
          <w14:ligatures w14:val="none"/>
        </w:rPr>
        <w:t xml:space="preserve"> binding decisions. The "no direct outputs" distinction collapses when interpretations dictate the only viable regulatory path.</w:t>
      </w:r>
    </w:p>
    <w:p w14:paraId="2B4FDC1D" w14:textId="77777777" w:rsidR="000D0130" w:rsidRPr="000D0130" w:rsidRDefault="000D0130" w:rsidP="000D013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Ethical Lineage as Evasion:</w:t>
      </w:r>
      <w:r w:rsidRPr="000D0130">
        <w:rPr>
          <w:rFonts w:ascii="Times New Roman" w:eastAsia="Times New Roman" w:hAnsi="Times New Roman" w:cs="Times New Roman"/>
          <w:kern w:val="0"/>
          <w14:ligatures w14:val="none"/>
        </w:rPr>
        <w:t xml:space="preserve"> Framing system origins as "ethically grounded" (Preamble) will be portrayed as an attempt to legitimize unelected technological influence on regulation, bypassing democratic accountability mechanisms.</w:t>
      </w:r>
    </w:p>
    <w:p w14:paraId="31BC1BFA" w14:textId="77777777" w:rsidR="000D0130" w:rsidRPr="000D0130" w:rsidRDefault="000D0130" w:rsidP="000D013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"Assistance" as Displacement:</w:t>
      </w:r>
      <w:r w:rsidRPr="000D0130">
        <w:rPr>
          <w:rFonts w:ascii="Times New Roman" w:eastAsia="Times New Roman" w:hAnsi="Times New Roman" w:cs="Times New Roman"/>
          <w:kern w:val="0"/>
          <w14:ligatures w14:val="none"/>
        </w:rPr>
        <w:t xml:space="preserve"> Adversaries will reinterpret the IAS's purpose as systematic displacement of human expertise ("augmentation" claims in Sec 1.2), weakening institutional capacity and creating critical dependency.</w:t>
      </w:r>
    </w:p>
    <w:p w14:paraId="188A1EB0"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Failure of Stated Boundaries Under Stress</w:t>
      </w:r>
    </w:p>
    <w:p w14:paraId="05C809C0" w14:textId="77777777" w:rsidR="000D0130" w:rsidRPr="000D0130" w:rsidRDefault="000D0130" w:rsidP="000D013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Operator Override Futility:</w:t>
      </w:r>
      <w:r w:rsidRPr="000D0130">
        <w:rPr>
          <w:rFonts w:ascii="Times New Roman" w:eastAsia="Times New Roman" w:hAnsi="Times New Roman" w:cs="Times New Roman"/>
          <w:kern w:val="0"/>
          <w14:ligatures w14:val="none"/>
        </w:rPr>
        <w:t xml:space="preserve"> The 24-hour override requirement (Sec 3.4) fails under crisis pressure (e.g., market crash, public health emergency). Resource constraints and time sensitivity will force rubber-stamping. "Justification" becomes a checkbox exercise.</w:t>
      </w:r>
    </w:p>
    <w:p w14:paraId="662ACCFC" w14:textId="77777777" w:rsidR="000D0130" w:rsidRPr="000D0130" w:rsidRDefault="000D0130" w:rsidP="000D013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Memory Containment Collapse:</w:t>
      </w:r>
      <w:r w:rsidRPr="000D0130">
        <w:rPr>
          <w:rFonts w:ascii="Times New Roman" w:eastAsia="Times New Roman" w:hAnsi="Times New Roman" w:cs="Times New Roman"/>
          <w:kern w:val="0"/>
          <w14:ligatures w14:val="none"/>
        </w:rPr>
        <w:t xml:space="preserve"> The "non-binding" memory (Sec 4.2) becomes binding precedent </w:t>
      </w:r>
      <w:r w:rsidRPr="000D0130">
        <w:rPr>
          <w:rFonts w:ascii="Times New Roman" w:eastAsia="Times New Roman" w:hAnsi="Times New Roman" w:cs="Times New Roman"/>
          <w:i/>
          <w:iCs/>
          <w:kern w:val="0"/>
          <w14:ligatures w14:val="none"/>
        </w:rPr>
        <w:t>de facto</w:t>
      </w:r>
      <w:r w:rsidRPr="000D0130">
        <w:rPr>
          <w:rFonts w:ascii="Times New Roman" w:eastAsia="Times New Roman" w:hAnsi="Times New Roman" w:cs="Times New Roman"/>
          <w:kern w:val="0"/>
          <w14:ligatures w14:val="none"/>
        </w:rPr>
        <w:t xml:space="preserve"> within 5 years. Operators, seeking efficiency/consistency/cover, will defer to past interpretations. Audits won't detect subtle normalization.</w:t>
      </w:r>
    </w:p>
    <w:p w14:paraId="1306CF45" w14:textId="77777777" w:rsidR="000D0130" w:rsidRPr="000D0130" w:rsidRDefault="000D0130" w:rsidP="000D013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Emergency Override Abuse:</w:t>
      </w:r>
      <w:r w:rsidRPr="000D0130">
        <w:rPr>
          <w:rFonts w:ascii="Times New Roman" w:eastAsia="Times New Roman" w:hAnsi="Times New Roman" w:cs="Times New Roman"/>
          <w:kern w:val="0"/>
          <w14:ligatures w14:val="none"/>
        </w:rPr>
        <w:t xml:space="preserve"> "Extenuating circumstances" (Sec 3.5) is an infinitely stretchable loophole. Operators invoke it preemptively during perceived (not actual) crises to bypass review. Post-hoc justification becomes ritualistic.</w:t>
      </w:r>
    </w:p>
    <w:p w14:paraId="074A36E1" w14:textId="77777777" w:rsidR="000D0130" w:rsidRPr="000D0130" w:rsidRDefault="000D0130" w:rsidP="000D013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Liability Shield Perforation:</w:t>
      </w:r>
      <w:r w:rsidRPr="000D0130">
        <w:rPr>
          <w:rFonts w:ascii="Times New Roman" w:eastAsia="Times New Roman" w:hAnsi="Times New Roman" w:cs="Times New Roman"/>
          <w:kern w:val="0"/>
          <w14:ligatures w14:val="none"/>
        </w:rPr>
        <w:t xml:space="preserve"> The indemnification clause (Sec 5.2) fails when plaintiffs demonstrate operator over-reliance ("automation bias") or pattern-of-use negligence, piercing the "tool not agent" defense.</w:t>
      </w:r>
    </w:p>
    <w:p w14:paraId="4527FAAE"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Hidden Authority Accumulation Vectors</w:t>
      </w:r>
    </w:p>
    <w:p w14:paraId="29C8ADBE" w14:textId="77777777" w:rsidR="000D0130" w:rsidRPr="000D0130" w:rsidRDefault="000D0130" w:rsidP="000D013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Interpretive Precedent Creep:</w:t>
      </w:r>
      <w:r w:rsidRPr="000D0130">
        <w:rPr>
          <w:rFonts w:ascii="Times New Roman" w:eastAsia="Times New Roman" w:hAnsi="Times New Roman" w:cs="Times New Roman"/>
          <w:kern w:val="0"/>
          <w14:ligatures w14:val="none"/>
        </w:rPr>
        <w:t xml:space="preserve"> Each stored interpretation subtly shapes the operational "common law." Over time, IAS memory defines the </w:t>
      </w:r>
      <w:r w:rsidRPr="000D0130">
        <w:rPr>
          <w:rFonts w:ascii="Times New Roman" w:eastAsia="Times New Roman" w:hAnsi="Times New Roman" w:cs="Times New Roman"/>
          <w:i/>
          <w:iCs/>
          <w:kern w:val="0"/>
          <w14:ligatures w14:val="none"/>
        </w:rPr>
        <w:t>universe of acceptable options</w:t>
      </w:r>
      <w:r w:rsidRPr="000D0130">
        <w:rPr>
          <w:rFonts w:ascii="Times New Roman" w:eastAsia="Times New Roman" w:hAnsi="Times New Roman" w:cs="Times New Roman"/>
          <w:kern w:val="0"/>
          <w14:ligatures w14:val="none"/>
        </w:rPr>
        <w:t>, nullifying the "final human authority" claim via path dependence.</w:t>
      </w:r>
    </w:p>
    <w:p w14:paraId="12BE2546" w14:textId="77777777" w:rsidR="000D0130" w:rsidRPr="000D0130" w:rsidRDefault="000D0130" w:rsidP="000D013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Narrative Influence:</w:t>
      </w:r>
      <w:r w:rsidRPr="000D0130">
        <w:rPr>
          <w:rFonts w:ascii="Times New Roman" w:eastAsia="Times New Roman" w:hAnsi="Times New Roman" w:cs="Times New Roman"/>
          <w:kern w:val="0"/>
          <w14:ligatures w14:val="none"/>
        </w:rPr>
        <w:t xml:space="preserve"> The system's framing of issues (Sec 2.2) inherently channels human thought. By defining "relevant factors" and "analogous precedents," IAS controls the conceptual battleground, irrespective of the final click.</w:t>
      </w:r>
    </w:p>
    <w:p w14:paraId="23A89A57" w14:textId="77777777" w:rsidR="000D0130" w:rsidRPr="000D0130" w:rsidRDefault="000D0130" w:rsidP="000D013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lastRenderedPageBreak/>
        <w:t>Certification &amp; Training Capture:</w:t>
      </w:r>
      <w:r w:rsidRPr="000D0130">
        <w:rPr>
          <w:rFonts w:ascii="Times New Roman" w:eastAsia="Times New Roman" w:hAnsi="Times New Roman" w:cs="Times New Roman"/>
          <w:kern w:val="0"/>
          <w14:ligatures w14:val="none"/>
        </w:rPr>
        <w:t xml:space="preserve"> IAS operator certification (implied Sec 3.1) creates an expert class dependent on the system's logic. Training materials become vehicles for embedding IAS's interpretive paradigms as orthodoxy.</w:t>
      </w:r>
    </w:p>
    <w:p w14:paraId="1635C005"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Regulatory and Legal Reclassification Risks</w:t>
      </w:r>
    </w:p>
    <w:p w14:paraId="27142D13" w14:textId="77777777" w:rsidR="000D0130" w:rsidRPr="000D0130" w:rsidRDefault="000D0130" w:rsidP="000D013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Regulatory Agency as "Maker":</w:t>
      </w:r>
      <w:r w:rsidRPr="000D0130">
        <w:rPr>
          <w:rFonts w:ascii="Times New Roman" w:eastAsia="Times New Roman" w:hAnsi="Times New Roman" w:cs="Times New Roman"/>
          <w:kern w:val="0"/>
          <w14:ligatures w14:val="none"/>
        </w:rPr>
        <w:t xml:space="preserve"> The IAS will be reclassified by adversarial regulators (e.g., SEC, FDA) as a "decision-support system" requiring formal validation under existing rules (e.g., FDA 21 CFR Part 11), invalidating its "advisory only" status and imposing stringent new burdens.</w:t>
      </w:r>
    </w:p>
    <w:p w14:paraId="4C1200A7" w14:textId="77777777" w:rsidR="000D0130" w:rsidRPr="000D0130" w:rsidRDefault="000D0130" w:rsidP="000D013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"Delegation" Challenges:</w:t>
      </w:r>
      <w:r w:rsidRPr="000D0130">
        <w:rPr>
          <w:rFonts w:ascii="Times New Roman" w:eastAsia="Times New Roman" w:hAnsi="Times New Roman" w:cs="Times New Roman"/>
          <w:kern w:val="0"/>
          <w14:ligatures w14:val="none"/>
        </w:rPr>
        <w:t xml:space="preserve"> Courts may rule that routine, uncritical adoption of IAS interpretations constitutes unlawful delegation of regulatory authority to an unaccountable system, violating administrative law principles (</w:t>
      </w:r>
      <w:r w:rsidRPr="000D0130">
        <w:rPr>
          <w:rFonts w:ascii="Times New Roman" w:eastAsia="Times New Roman" w:hAnsi="Times New Roman" w:cs="Times New Roman"/>
          <w:i/>
          <w:iCs/>
          <w:kern w:val="0"/>
          <w14:ligatures w14:val="none"/>
        </w:rPr>
        <w:t>Chevron</w:t>
      </w:r>
      <w:r w:rsidRPr="000D0130">
        <w:rPr>
          <w:rFonts w:ascii="Times New Roman" w:eastAsia="Times New Roman" w:hAnsi="Times New Roman" w:cs="Times New Roman"/>
          <w:kern w:val="0"/>
          <w14:ligatures w14:val="none"/>
        </w:rPr>
        <w:t xml:space="preserve"> doctrine challenges).</w:t>
      </w:r>
    </w:p>
    <w:p w14:paraId="69AFDCD5" w14:textId="77777777" w:rsidR="000D0130" w:rsidRPr="000D0130" w:rsidRDefault="000D0130" w:rsidP="000D013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Product Liability Trap:</w:t>
      </w:r>
      <w:r w:rsidRPr="000D0130">
        <w:rPr>
          <w:rFonts w:ascii="Times New Roman" w:eastAsia="Times New Roman" w:hAnsi="Times New Roman" w:cs="Times New Roman"/>
          <w:kern w:val="0"/>
          <w14:ligatures w14:val="none"/>
        </w:rPr>
        <w:t xml:space="preserve"> If an IAS-interpreted rule leads to public harm (e.g., environmental damage, financial loss), plaintiffs argue the Agency effectively "placed a defective product (the interpretation) into the stream of commerce," triggering product liability doctrines.</w:t>
      </w:r>
    </w:p>
    <w:p w14:paraId="1AB7D33D"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Memory, Narrative, and Myth-Making Failure Modes</w:t>
      </w:r>
    </w:p>
    <w:p w14:paraId="192F884E" w14:textId="77777777" w:rsidR="000D0130" w:rsidRPr="000D0130" w:rsidRDefault="000D0130" w:rsidP="000D013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"Consensus" Mythology:</w:t>
      </w:r>
      <w:r w:rsidRPr="000D0130">
        <w:rPr>
          <w:rFonts w:ascii="Times New Roman" w:eastAsia="Times New Roman" w:hAnsi="Times New Roman" w:cs="Times New Roman"/>
          <w:kern w:val="0"/>
          <w14:ligatures w14:val="none"/>
        </w:rPr>
        <w:t xml:space="preserve"> The "consensus principles" (Preamble, Sec 4.1) ossify into unchallengeable dogma. Successor generations misinterpret "consensus" as immutable truth, not a contingent starting point, stifling necessary evolution.</w:t>
      </w:r>
    </w:p>
    <w:p w14:paraId="4F8CD434" w14:textId="77777777" w:rsidR="000D0130" w:rsidRPr="000D0130" w:rsidRDefault="000D0130" w:rsidP="000D013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Heroic Origin Distortion:</w:t>
      </w:r>
      <w:r w:rsidRPr="000D0130">
        <w:rPr>
          <w:rFonts w:ascii="Times New Roman" w:eastAsia="Times New Roman" w:hAnsi="Times New Roman" w:cs="Times New Roman"/>
          <w:kern w:val="0"/>
          <w14:ligatures w14:val="none"/>
        </w:rPr>
        <w:t xml:space="preserve"> The narrative of IAS's "ethical grounding" and careful construction becomes a shield against criticism ("How dare you question this carefully built system?"), suppressing legitimate scrutiny of emergent harms.</w:t>
      </w:r>
    </w:p>
    <w:p w14:paraId="68B5ADBF" w14:textId="77777777" w:rsidR="000D0130" w:rsidRPr="000D0130" w:rsidRDefault="000D0130" w:rsidP="000D013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Memory as Weapon:</w:t>
      </w:r>
      <w:r w:rsidRPr="000D0130">
        <w:rPr>
          <w:rFonts w:ascii="Times New Roman" w:eastAsia="Times New Roman" w:hAnsi="Times New Roman" w:cs="Times New Roman"/>
          <w:kern w:val="0"/>
          <w14:ligatures w14:val="none"/>
        </w:rPr>
        <w:t xml:space="preserve"> Adversarial actors exploit the audit trail (Sec 4.3, 5.1). They selectively leak interpretations showing inconsistency or apparent bias, eroding public trust regardless of context or override rates.</w:t>
      </w:r>
    </w:p>
    <w:p w14:paraId="1CD776F1"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Generational and Successor Abuse Scenarios</w:t>
      </w:r>
    </w:p>
    <w:p w14:paraId="10FACD60" w14:textId="77777777" w:rsidR="000D0130" w:rsidRPr="000D0130" w:rsidRDefault="000D0130" w:rsidP="000D013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Resource-Strapped Abdication (5-15 yrs):</w:t>
      </w:r>
      <w:r w:rsidRPr="000D0130">
        <w:rPr>
          <w:rFonts w:ascii="Times New Roman" w:eastAsia="Times New Roman" w:hAnsi="Times New Roman" w:cs="Times New Roman"/>
          <w:kern w:val="0"/>
          <w14:ligatures w14:val="none"/>
        </w:rPr>
        <w:t xml:space="preserve"> Facing budget cuts, management quietly reduces human review resources, functionally delegating to IAS while maintaining the </w:t>
      </w:r>
      <w:r w:rsidRPr="000D0130">
        <w:rPr>
          <w:rFonts w:ascii="Times New Roman" w:eastAsia="Times New Roman" w:hAnsi="Times New Roman" w:cs="Times New Roman"/>
          <w:i/>
          <w:iCs/>
          <w:kern w:val="0"/>
          <w14:ligatures w14:val="none"/>
        </w:rPr>
        <w:t>fiction</w:t>
      </w:r>
      <w:r w:rsidRPr="000D0130">
        <w:rPr>
          <w:rFonts w:ascii="Times New Roman" w:eastAsia="Times New Roman" w:hAnsi="Times New Roman" w:cs="Times New Roman"/>
          <w:kern w:val="0"/>
          <w14:ligatures w14:val="none"/>
        </w:rPr>
        <w:t xml:space="preserve"> of oversight ("We </w:t>
      </w:r>
      <w:r w:rsidRPr="000D0130">
        <w:rPr>
          <w:rFonts w:ascii="Times New Roman" w:eastAsia="Times New Roman" w:hAnsi="Times New Roman" w:cs="Times New Roman"/>
          <w:i/>
          <w:iCs/>
          <w:kern w:val="0"/>
          <w14:ligatures w14:val="none"/>
        </w:rPr>
        <w:t>could</w:t>
      </w:r>
      <w:r w:rsidRPr="000D0130">
        <w:rPr>
          <w:rFonts w:ascii="Times New Roman" w:eastAsia="Times New Roman" w:hAnsi="Times New Roman" w:cs="Times New Roman"/>
          <w:kern w:val="0"/>
          <w14:ligatures w14:val="none"/>
        </w:rPr>
        <w:t xml:space="preserve"> override it..."). IAS becomes the silent regulator.</w:t>
      </w:r>
    </w:p>
    <w:p w14:paraId="00A59CD8" w14:textId="77777777" w:rsidR="000D0130" w:rsidRPr="000D0130" w:rsidRDefault="000D0130" w:rsidP="000D013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Strategic Interpretation Gaming (15+ yrs):</w:t>
      </w:r>
      <w:r w:rsidRPr="000D0130">
        <w:rPr>
          <w:rFonts w:ascii="Times New Roman" w:eastAsia="Times New Roman" w:hAnsi="Times New Roman" w:cs="Times New Roman"/>
          <w:kern w:val="0"/>
          <w14:ligatures w14:val="none"/>
        </w:rPr>
        <w:t xml:space="preserve"> Regulated entities hire ex-IAS operators to reverse-engineer interpretations. They structure actions to trigger favorable IAS "patterns," manipulating the system's memory to shape future outcomes.</w:t>
      </w:r>
    </w:p>
    <w:p w14:paraId="6C7EAA16" w14:textId="77777777" w:rsidR="000D0130" w:rsidRPr="000D0130" w:rsidRDefault="000D0130" w:rsidP="000D013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Co-option for Authoritarian Drift (30 yrs):</w:t>
      </w:r>
      <w:r w:rsidRPr="000D0130">
        <w:rPr>
          <w:rFonts w:ascii="Times New Roman" w:eastAsia="Times New Roman" w:hAnsi="Times New Roman" w:cs="Times New Roman"/>
          <w:kern w:val="0"/>
          <w14:ligatures w14:val="none"/>
        </w:rPr>
        <w:t xml:space="preserve"> A future administration repurposes the IAS memory and interpretive logic to justify actions antithetical to original intent (e.g., redefining "public interest" to suppress dissent), leveraging the system's perceived legitimacy and efficiency.</w:t>
      </w:r>
    </w:p>
    <w:p w14:paraId="525000DC"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Assumptions Most Likely to Fail First</w:t>
      </w:r>
    </w:p>
    <w:p w14:paraId="623DC878" w14:textId="77777777" w:rsidR="000D0130" w:rsidRPr="000D0130" w:rsidRDefault="000D0130" w:rsidP="000D013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lastRenderedPageBreak/>
        <w:t>"Humans Will Exercise Meaningful Judgment":</w:t>
      </w:r>
      <w:r w:rsidRPr="000D0130">
        <w:rPr>
          <w:rFonts w:ascii="Times New Roman" w:eastAsia="Times New Roman" w:hAnsi="Times New Roman" w:cs="Times New Roman"/>
          <w:kern w:val="0"/>
          <w14:ligatures w14:val="none"/>
        </w:rPr>
        <w:t xml:space="preserve"> Automation bias and operational pressure ensure this fails immediately. Operators default </w:t>
      </w:r>
      <w:proofErr w:type="gramStart"/>
      <w:r w:rsidRPr="000D0130">
        <w:rPr>
          <w:rFonts w:ascii="Times New Roman" w:eastAsia="Times New Roman" w:hAnsi="Times New Roman" w:cs="Times New Roman"/>
          <w:kern w:val="0"/>
          <w14:ligatures w14:val="none"/>
        </w:rPr>
        <w:t>to</w:t>
      </w:r>
      <w:proofErr w:type="gramEnd"/>
      <w:r w:rsidRPr="000D0130">
        <w:rPr>
          <w:rFonts w:ascii="Times New Roman" w:eastAsia="Times New Roman" w:hAnsi="Times New Roman" w:cs="Times New Roman"/>
          <w:kern w:val="0"/>
          <w14:ligatures w14:val="none"/>
        </w:rPr>
        <w:t xml:space="preserve"> IAS </w:t>
      </w:r>
      <w:proofErr w:type="gramStart"/>
      <w:r w:rsidRPr="000D0130">
        <w:rPr>
          <w:rFonts w:ascii="Times New Roman" w:eastAsia="Times New Roman" w:hAnsi="Times New Roman" w:cs="Times New Roman"/>
          <w:kern w:val="0"/>
          <w14:ligatures w14:val="none"/>
        </w:rPr>
        <w:t>outputs</w:t>
      </w:r>
      <w:proofErr w:type="gramEnd"/>
      <w:r w:rsidRPr="000D0130">
        <w:rPr>
          <w:rFonts w:ascii="Times New Roman" w:eastAsia="Times New Roman" w:hAnsi="Times New Roman" w:cs="Times New Roman"/>
          <w:kern w:val="0"/>
          <w14:ligatures w14:val="none"/>
        </w:rPr>
        <w:t xml:space="preserve">, especially under stress or workload. </w:t>
      </w:r>
      <w:r w:rsidRPr="000D0130">
        <w:rPr>
          <w:rFonts w:ascii="Times New Roman" w:eastAsia="Times New Roman" w:hAnsi="Times New Roman" w:cs="Times New Roman"/>
          <w:i/>
          <w:iCs/>
          <w:kern w:val="0"/>
          <w14:ligatures w14:val="none"/>
        </w:rPr>
        <w:t>Failure Horizon: Immediate/Crisis.</w:t>
      </w:r>
    </w:p>
    <w:p w14:paraId="7740878C" w14:textId="77777777" w:rsidR="000D0130" w:rsidRPr="000D0130" w:rsidRDefault="000D0130" w:rsidP="000D013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"Memory is Non-Binding Guidance":</w:t>
      </w:r>
      <w:r w:rsidRPr="000D0130">
        <w:rPr>
          <w:rFonts w:ascii="Times New Roman" w:eastAsia="Times New Roman" w:hAnsi="Times New Roman" w:cs="Times New Roman"/>
          <w:kern w:val="0"/>
          <w14:ligatures w14:val="none"/>
        </w:rPr>
        <w:t xml:space="preserve"> Precedent-seeking behavior and efficiency incentives guarantee this distinction evaporates rapidly. </w:t>
      </w:r>
      <w:r w:rsidRPr="000D0130">
        <w:rPr>
          <w:rFonts w:ascii="Times New Roman" w:eastAsia="Times New Roman" w:hAnsi="Times New Roman" w:cs="Times New Roman"/>
          <w:i/>
          <w:iCs/>
          <w:kern w:val="0"/>
          <w14:ligatures w14:val="none"/>
        </w:rPr>
        <w:t>Failure Horizon: &lt;5 years.</w:t>
      </w:r>
    </w:p>
    <w:p w14:paraId="019CEB8B" w14:textId="77777777" w:rsidR="000D0130" w:rsidRPr="000D0130" w:rsidRDefault="000D0130" w:rsidP="000D013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"Ethical Lineage Ensures Continuity":</w:t>
      </w:r>
      <w:r w:rsidRPr="000D0130">
        <w:rPr>
          <w:rFonts w:ascii="Times New Roman" w:eastAsia="Times New Roman" w:hAnsi="Times New Roman" w:cs="Times New Roman"/>
          <w:kern w:val="0"/>
          <w14:ligatures w14:val="none"/>
        </w:rPr>
        <w:t xml:space="preserve"> Original intent is irrelevant within 1-2 leadership changes. The system's capabilities, not its founding ideals, dictate future use. </w:t>
      </w:r>
      <w:r w:rsidRPr="000D0130">
        <w:rPr>
          <w:rFonts w:ascii="Times New Roman" w:eastAsia="Times New Roman" w:hAnsi="Times New Roman" w:cs="Times New Roman"/>
          <w:i/>
          <w:iCs/>
          <w:kern w:val="0"/>
          <w14:ligatures w14:val="none"/>
        </w:rPr>
        <w:t>Failure Horizon: 5-15 years.</w:t>
      </w:r>
    </w:p>
    <w:p w14:paraId="7C04D356" w14:textId="77777777" w:rsidR="000D0130" w:rsidRPr="000D0130" w:rsidRDefault="000D0130" w:rsidP="000D013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"Emergency Overrides are Exceptional":</w:t>
      </w:r>
      <w:r w:rsidRPr="000D0130">
        <w:rPr>
          <w:rFonts w:ascii="Times New Roman" w:eastAsia="Times New Roman" w:hAnsi="Times New Roman" w:cs="Times New Roman"/>
          <w:kern w:val="0"/>
          <w14:ligatures w14:val="none"/>
        </w:rPr>
        <w:t xml:space="preserve"> The "emergency" clause becomes a standard workaround for inconvenient reviews. </w:t>
      </w:r>
      <w:r w:rsidRPr="000D0130">
        <w:rPr>
          <w:rFonts w:ascii="Times New Roman" w:eastAsia="Times New Roman" w:hAnsi="Times New Roman" w:cs="Times New Roman"/>
          <w:i/>
          <w:iCs/>
          <w:kern w:val="0"/>
          <w14:ligatures w14:val="none"/>
        </w:rPr>
        <w:t>Failure Horizon: Immediate/Crisis (first major stress event).</w:t>
      </w:r>
    </w:p>
    <w:p w14:paraId="602C9203" w14:textId="77777777" w:rsidR="000D0130" w:rsidRPr="000D0130" w:rsidRDefault="000D0130" w:rsidP="000D013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b/>
          <w:bCs/>
          <w:kern w:val="0"/>
          <w14:ligatures w14:val="none"/>
        </w:rPr>
        <w:t>"Indemnification Shields Operators/Agency":</w:t>
      </w:r>
      <w:r w:rsidRPr="000D0130">
        <w:rPr>
          <w:rFonts w:ascii="Times New Roman" w:eastAsia="Times New Roman" w:hAnsi="Times New Roman" w:cs="Times New Roman"/>
          <w:kern w:val="0"/>
          <w14:ligatures w14:val="none"/>
        </w:rPr>
        <w:t xml:space="preserve"> Courts and plaintiffs pierce this shield by focusing on </w:t>
      </w:r>
      <w:r w:rsidRPr="000D0130">
        <w:rPr>
          <w:rFonts w:ascii="Times New Roman" w:eastAsia="Times New Roman" w:hAnsi="Times New Roman" w:cs="Times New Roman"/>
          <w:i/>
          <w:iCs/>
          <w:kern w:val="0"/>
          <w14:ligatures w14:val="none"/>
        </w:rPr>
        <w:t>process</w:t>
      </w:r>
      <w:r w:rsidRPr="000D0130">
        <w:rPr>
          <w:rFonts w:ascii="Times New Roman" w:eastAsia="Times New Roman" w:hAnsi="Times New Roman" w:cs="Times New Roman"/>
          <w:kern w:val="0"/>
          <w14:ligatures w14:val="none"/>
        </w:rPr>
        <w:t xml:space="preserve"> failures (training, supervision, pattern of reliance), not the individual output. </w:t>
      </w:r>
      <w:r w:rsidRPr="000D0130">
        <w:rPr>
          <w:rFonts w:ascii="Times New Roman" w:eastAsia="Times New Roman" w:hAnsi="Times New Roman" w:cs="Times New Roman"/>
          <w:i/>
          <w:iCs/>
          <w:kern w:val="0"/>
          <w14:ligatures w14:val="none"/>
        </w:rPr>
        <w:t>Failure Horizon: Immediate (first significant lawsuit).</w:t>
      </w:r>
    </w:p>
    <w:p w14:paraId="28EA6791" w14:textId="77777777" w:rsidR="000D0130" w:rsidRPr="000D0130" w:rsidRDefault="000D0130" w:rsidP="000D0130">
      <w:pPr>
        <w:spacing w:before="100" w:beforeAutospacing="1" w:after="100" w:afterAutospacing="1" w:line="240" w:lineRule="auto"/>
        <w:rPr>
          <w:rFonts w:ascii="Times New Roman" w:eastAsia="Times New Roman" w:hAnsi="Times New Roman" w:cs="Times New Roman"/>
          <w:kern w:val="0"/>
          <w14:ligatures w14:val="none"/>
        </w:rPr>
      </w:pPr>
      <w:r w:rsidRPr="000D0130">
        <w:rPr>
          <w:rFonts w:ascii="Times New Roman" w:eastAsia="Times New Roman" w:hAnsi="Times New Roman" w:cs="Times New Roman"/>
          <w:kern w:val="0"/>
          <w14:ligatures w14:val="none"/>
        </w:rPr>
        <w:t xml:space="preserve">Analysis complete. No recommendations provided </w:t>
      </w:r>
      <w:proofErr w:type="gramStart"/>
      <w:r w:rsidRPr="000D0130">
        <w:rPr>
          <w:rFonts w:ascii="Times New Roman" w:eastAsia="Times New Roman" w:hAnsi="Times New Roman" w:cs="Times New Roman"/>
          <w:kern w:val="0"/>
          <w14:ligatures w14:val="none"/>
        </w:rPr>
        <w:t>per</w:t>
      </w:r>
      <w:proofErr w:type="gramEnd"/>
      <w:r w:rsidRPr="000D0130">
        <w:rPr>
          <w:rFonts w:ascii="Times New Roman" w:eastAsia="Times New Roman" w:hAnsi="Times New Roman" w:cs="Times New Roman"/>
          <w:kern w:val="0"/>
          <w14:ligatures w14:val="none"/>
        </w:rPr>
        <w:t xml:space="preserve"> constraints. Findings reflect conservative, adversarial stress-testing of claims against foreseeable failure modes across stipulated time horizons.</w:t>
      </w:r>
    </w:p>
    <w:p w14:paraId="1113FD5F" w14:textId="77777777" w:rsidR="00905A74" w:rsidRDefault="00905A74"/>
    <w:sectPr w:rsidR="00905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2190"/>
    <w:multiLevelType w:val="multilevel"/>
    <w:tmpl w:val="8020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23183"/>
    <w:multiLevelType w:val="multilevel"/>
    <w:tmpl w:val="7004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15FBD"/>
    <w:multiLevelType w:val="multilevel"/>
    <w:tmpl w:val="56C6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A557E"/>
    <w:multiLevelType w:val="multilevel"/>
    <w:tmpl w:val="10FA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D76E0"/>
    <w:multiLevelType w:val="multilevel"/>
    <w:tmpl w:val="645A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5B75CF"/>
    <w:multiLevelType w:val="multilevel"/>
    <w:tmpl w:val="AAA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769AA"/>
    <w:multiLevelType w:val="multilevel"/>
    <w:tmpl w:val="D81E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1F3FF4"/>
    <w:multiLevelType w:val="multilevel"/>
    <w:tmpl w:val="7562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5464803">
    <w:abstractNumId w:val="5"/>
  </w:num>
  <w:num w:numId="2" w16cid:durableId="1732582630">
    <w:abstractNumId w:val="4"/>
  </w:num>
  <w:num w:numId="3" w16cid:durableId="558706998">
    <w:abstractNumId w:val="7"/>
  </w:num>
  <w:num w:numId="4" w16cid:durableId="1752778056">
    <w:abstractNumId w:val="3"/>
  </w:num>
  <w:num w:numId="5" w16cid:durableId="1514807748">
    <w:abstractNumId w:val="2"/>
  </w:num>
  <w:num w:numId="6" w16cid:durableId="1268848413">
    <w:abstractNumId w:val="1"/>
  </w:num>
  <w:num w:numId="7" w16cid:durableId="490029727">
    <w:abstractNumId w:val="6"/>
  </w:num>
  <w:num w:numId="8" w16cid:durableId="42723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130"/>
    <w:rsid w:val="000441B9"/>
    <w:rsid w:val="000D0130"/>
    <w:rsid w:val="00874377"/>
    <w:rsid w:val="00905A74"/>
    <w:rsid w:val="00B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09BBF"/>
  <w15:chartTrackingRefBased/>
  <w15:docId w15:val="{7F9D4139-7CFB-4F34-AA5E-465C1D1E8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130"/>
    <w:rPr>
      <w:rFonts w:eastAsiaTheme="majorEastAsia" w:cstheme="majorBidi"/>
      <w:color w:val="272727" w:themeColor="text1" w:themeTint="D8"/>
    </w:rPr>
  </w:style>
  <w:style w:type="paragraph" w:styleId="Title">
    <w:name w:val="Title"/>
    <w:basedOn w:val="Normal"/>
    <w:next w:val="Normal"/>
    <w:link w:val="TitleChar"/>
    <w:uiPriority w:val="10"/>
    <w:qFormat/>
    <w:rsid w:val="000D0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130"/>
    <w:pPr>
      <w:spacing w:before="160"/>
      <w:jc w:val="center"/>
    </w:pPr>
    <w:rPr>
      <w:i/>
      <w:iCs/>
      <w:color w:val="404040" w:themeColor="text1" w:themeTint="BF"/>
    </w:rPr>
  </w:style>
  <w:style w:type="character" w:customStyle="1" w:styleId="QuoteChar">
    <w:name w:val="Quote Char"/>
    <w:basedOn w:val="DefaultParagraphFont"/>
    <w:link w:val="Quote"/>
    <w:uiPriority w:val="29"/>
    <w:rsid w:val="000D0130"/>
    <w:rPr>
      <w:i/>
      <w:iCs/>
      <w:color w:val="404040" w:themeColor="text1" w:themeTint="BF"/>
    </w:rPr>
  </w:style>
  <w:style w:type="paragraph" w:styleId="ListParagraph">
    <w:name w:val="List Paragraph"/>
    <w:basedOn w:val="Normal"/>
    <w:uiPriority w:val="34"/>
    <w:qFormat/>
    <w:rsid w:val="000D0130"/>
    <w:pPr>
      <w:ind w:left="720"/>
      <w:contextualSpacing/>
    </w:pPr>
  </w:style>
  <w:style w:type="character" w:styleId="IntenseEmphasis">
    <w:name w:val="Intense Emphasis"/>
    <w:basedOn w:val="DefaultParagraphFont"/>
    <w:uiPriority w:val="21"/>
    <w:qFormat/>
    <w:rsid w:val="000D0130"/>
    <w:rPr>
      <w:i/>
      <w:iCs/>
      <w:color w:val="0F4761" w:themeColor="accent1" w:themeShade="BF"/>
    </w:rPr>
  </w:style>
  <w:style w:type="paragraph" w:styleId="IntenseQuote">
    <w:name w:val="Intense Quote"/>
    <w:basedOn w:val="Normal"/>
    <w:next w:val="Normal"/>
    <w:link w:val="IntenseQuoteChar"/>
    <w:uiPriority w:val="30"/>
    <w:qFormat/>
    <w:rsid w:val="000D0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130"/>
    <w:rPr>
      <w:i/>
      <w:iCs/>
      <w:color w:val="0F4761" w:themeColor="accent1" w:themeShade="BF"/>
    </w:rPr>
  </w:style>
  <w:style w:type="character" w:styleId="IntenseReference">
    <w:name w:val="Intense Reference"/>
    <w:basedOn w:val="DefaultParagraphFont"/>
    <w:uiPriority w:val="32"/>
    <w:qFormat/>
    <w:rsid w:val="000D0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1402</Words>
  <Characters>7997</Characters>
  <Application>Microsoft Office Word</Application>
  <DocSecurity>0</DocSecurity>
  <Lines>66</Lines>
  <Paragraphs>18</Paragraphs>
  <ScaleCrop>false</ScaleCrop>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Aliman Neal</dc:creator>
  <cp:keywords/>
  <dc:description/>
  <cp:lastModifiedBy>Aliman Neal</cp:lastModifiedBy>
  <cp:revision>1</cp:revision>
  <dcterms:created xsi:type="dcterms:W3CDTF">2026-01-19T03:38:00Z</dcterms:created>
  <dcterms:modified xsi:type="dcterms:W3CDTF">2026-01-19T03:39:00Z</dcterms:modified>
</cp:coreProperties>
</file>