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200"/>
        <w:jc w:val="center"/>
      </w:pPr>
      <w:r>
        <w:rPr>
          <w:rFonts w:ascii="Cormorant Garamond" w:cs="Cormorant Garamond" w:eastAsia="Cormorant Garamond" w:hAnsi="Cormorant Garamond"/>
          <w:b/>
          <w:bCs/>
          <w:color w:val="0A1628"/>
          <w:sz w:val="72"/>
          <w:szCs w:val="72"/>
        </w:rPr>
        <w:t xml:space="preserve">THE MERIDIAN CONTINENTAL</w:t>
      </w:r>
    </w:p>
    <w:p>
      <w:pPr>
        <w:spacing w:after="400"/>
        <w:jc w:val="center"/>
      </w:pPr>
      <w:r>
        <w:rPr>
          <w:rFonts w:ascii="Cormorant Garamond" w:cs="Cormorant Garamond" w:eastAsia="Cormorant Garamond" w:hAnsi="Cormorant Garamond"/>
          <w:i/>
          <w:iCs/>
          <w:color w:val="C9A962"/>
          <w:sz w:val="32"/>
          <w:szCs w:val="32"/>
        </w:rPr>
        <w:t xml:space="preserve">Financial Atlas and Positioning Report</w:t>
      </w:r>
    </w:p>
    <w:p>
      <w:pPr>
        <w:spacing w:after="100"/>
        <w:jc w:val="center"/>
      </w:pPr>
      <w:r>
        <w:rPr>
          <w:rFonts w:ascii="Georgia" w:cs="Georgia" w:eastAsia="Georgia" w:hAnsi="Georgia"/>
          <w:color w:val="C9A962"/>
          <w:sz w:val="24"/>
          <w:szCs w:val="24"/>
        </w:rPr>
        <w:t xml:space="preserve">─────────────────────────────</w:t>
      </w:r>
    </w:p>
    <w:p>
      <w:pPr>
        <w:spacing w:after="600"/>
        <w:jc w:val="center"/>
      </w:pPr>
      <w:r>
        <w:rPr>
          <w:rFonts w:ascii="Cormorant Garamond" w:cs="Cormorant Garamond" w:eastAsia="Cormorant Garamond" w:hAnsi="Cormorant Garamond"/>
          <w:b/>
          <w:bCs/>
          <w:color w:val="0A1628"/>
          <w:sz w:val="48"/>
          <w:szCs w:val="48"/>
        </w:rPr>
        <w:t xml:space="preserve">THE GLOBAL FINANCIAL ARCHITECTURE</w:t>
      </w:r>
    </w:p>
    <w:p>
      <w:pPr>
        <w:spacing w:after="200"/>
        <w:jc w:val="center"/>
      </w:pPr>
      <w:r>
        <w:rPr>
          <w:rFonts w:ascii="Georgia" w:cs="Georgia" w:eastAsia="Georgia" w:hAnsi="Georgia"/>
          <w:i/>
          <w:iCs/>
          <w:color w:val="2D3748"/>
          <w:sz w:val="28"/>
          <w:szCs w:val="28"/>
        </w:rPr>
        <w:t xml:space="preserve">A Comprehensive Primer for the Strategic Architect</w:t>
      </w:r>
    </w:p>
    <w:p>
      <w:pPr>
        <w:spacing w:after="800"/>
      </w:pPr>
    </w:p>
    <w:p>
      <w:pPr>
        <w:spacing w:after="100"/>
        <w:jc w:val="center"/>
      </w:pPr>
      <w:r>
        <w:rPr>
          <w:rFonts w:ascii="Georgia" w:cs="Georgia" w:eastAsia="Georgia" w:hAnsi="Georgia"/>
          <w:color w:val="2D3748"/>
          <w:sz w:val="24"/>
          <w:szCs w:val="24"/>
        </w:rPr>
        <w:t xml:space="preserve">Understanding the Machinery of Money:</w:t>
      </w:r>
    </w:p>
    <w:p>
      <w:pPr>
        <w:spacing w:after="100"/>
        <w:jc w:val="center"/>
      </w:pPr>
      <w:r>
        <w:rPr>
          <w:rFonts w:ascii="Georgia" w:cs="Georgia" w:eastAsia="Georgia" w:hAnsi="Georgia"/>
          <w:i/>
          <w:iCs/>
          <w:color w:val="C9A962"/>
          <w:sz w:val="22"/>
          <w:szCs w:val="22"/>
        </w:rPr>
        <w:t xml:space="preserve">Banking • Insurance • Investment • Liquidity • Business Finance</w:t>
      </w:r>
    </w:p>
    <w:p>
      <w:pPr>
        <w:spacing w:after="1200"/>
      </w:pPr>
    </w:p>
    <w:p>
      <w:pPr>
        <w:jc w:val="center"/>
      </w:pPr>
      <w:r>
        <w:rPr>
          <w:rFonts w:ascii="Cormorant Garamond" w:cs="Cormorant Garamond" w:eastAsia="Cormorant Garamond" w:hAnsi="Cormorant Garamond"/>
          <w:i/>
          <w:iCs/>
          <w:color w:val="2D3748"/>
          <w:sz w:val="22"/>
          <w:szCs w:val="22"/>
        </w:rPr>
        <w:t xml:space="preserve">Prepared for the Discerning Reader</w:t>
      </w:r>
    </w:p>
    <w:p>
      <w:pPr>
        <w:jc w:val="center"/>
      </w:pPr>
      <w:r>
        <w:rPr>
          <w:rFonts w:ascii="Georgia" w:cs="Georgia" w:eastAsia="Georgia" w:hAnsi="Georgia"/>
          <w:color w:val="2D3748"/>
          <w:sz w:val="20"/>
          <w:szCs w:val="20"/>
        </w:rPr>
        <w:t xml:space="preserve">Q1 2026 Edition</w:t>
      </w:r>
    </w:p>
    <w:p>
      <w:r>
        <w:br w:type="page"/>
      </w:r>
    </w:p>
    <w:p>
      <w:pPr>
        <w:pStyle w:val="Heading1"/>
      </w:pPr>
      <w:r>
        <w:t xml:space="preserve">Introduction: Why This Matters</w:t>
      </w:r>
    </w:p>
    <w:p>
      <w:pPr>
        <w:spacing w:after="200"/>
      </w:pPr>
      <w:r>
        <w:rPr>
          <w:sz w:val="24"/>
          <w:szCs w:val="24"/>
        </w:rPr>
        <w:t xml:space="preserve">You cannot architect a system you do not understand. The global financial system is not mysterious—it is deliberately opaque. This opacity serves those who benefit from information asymmetry. This primer exists to remove that asymmetry.</w:t>
      </w:r>
    </w:p>
    <w:p>
      <w:pPr>
        <w:spacing w:after="200"/>
      </w:pPr>
      <w:r>
        <w:rPr>
          <w:sz w:val="24"/>
          <w:szCs w:val="24"/>
        </w:rPr>
        <w:t xml:space="preserve">What follows is the architecture of money itself: how it moves, where it rests, who controls it, and the mechanisms that govern its behavior. This is the knowledge base from which private banks serve their clients, family offices protect generational wealth, and institutional players make strategic decisions.</w:t>
      </w:r>
    </w:p>
    <w:p>
      <w:pPr>
        <w:spacing w:after="400"/>
      </w:pPr>
      <w:r>
        <w:rPr>
          <w:i/>
          <w:iCs/>
          <w:sz w:val="24"/>
          <w:szCs w:val="24"/>
        </w:rPr>
        <w:t xml:space="preserve">Consider this your map of the territory.</w:t>
      </w:r>
    </w:p>
    <w:p>
      <w:r>
        <w:br w:type="page"/>
      </w:r>
    </w:p>
    <w:p>
      <w:pPr>
        <w:pStyle w:val="Heading1"/>
      </w:pPr>
      <w:r>
        <w:t xml:space="preserve">Part I: The Banking Landscape</w:t>
      </w:r>
    </w:p>
    <w:p>
      <w:pPr>
        <w:spacing w:after="300"/>
      </w:pPr>
      <w:r>
        <w:rPr>
          <w:sz w:val="24"/>
          <w:szCs w:val="24"/>
        </w:rPr>
        <w:t xml:space="preserve">Banks are not monolithic. The word "bank" obscures a constellation of distinct institutions serving fundamentally different purposes. Understanding these distinctions is foundational.</w:t>
      </w:r>
    </w:p>
    <w:p>
      <w:pPr>
        <w:pStyle w:val="Heading2"/>
      </w:pPr>
      <w:r>
        <w:t xml:space="preserve">1.1 Retail Banking</w:t>
      </w:r>
    </w:p>
    <w:p>
      <w:pPr>
        <w:spacing w:after="200"/>
      </w:pPr>
      <w:r>
        <w:rPr>
          <w:b/>
          <w:bCs/>
          <w:sz w:val="24"/>
          <w:szCs w:val="24"/>
        </w:rPr>
        <w:t xml:space="preserve">What it is: </w:t>
      </w:r>
      <w:r>
        <w:rPr>
          <w:sz w:val="24"/>
          <w:szCs w:val="24"/>
        </w:rPr>
        <w:t xml:space="preserve">Services to individuals and small entities. The branch you walk into. Chase, Bank of America, Wells Fargo at the consumer level.</w:t>
      </w:r>
    </w:p>
    <w:p>
      <w:pPr>
        <w:spacing w:after="200"/>
      </w:pPr>
      <w:r>
        <w:rPr>
          <w:b/>
          <w:bCs/>
          <w:sz w:val="24"/>
          <w:szCs w:val="24"/>
        </w:rPr>
        <w:t xml:space="preserve">Core services: </w:t>
      </w:r>
      <w:r>
        <w:rPr>
          <w:sz w:val="24"/>
          <w:szCs w:val="24"/>
        </w:rPr>
        <w:t xml:space="preserve">Checking and savings accounts, personal loans, mortgages, credit cards, certificates of deposit (CDs), basic investment products.</w:t>
      </w:r>
    </w:p>
    <w:p>
      <w:pPr>
        <w:spacing w:after="200"/>
      </w:pPr>
      <w:r>
        <w:rPr>
          <w:b/>
          <w:bCs/>
          <w:sz w:val="24"/>
          <w:szCs w:val="24"/>
        </w:rPr>
        <w:t xml:space="preserve">Business model: </w:t>
      </w:r>
      <w:r>
        <w:rPr>
          <w:sz w:val="24"/>
          <w:szCs w:val="24"/>
        </w:rPr>
        <w:t xml:space="preserve">High volume, low margin. They make money on the spread between what they pay depositors and what they charge borrowers, plus fees. The deposits fund the loans.</w:t>
      </w:r>
    </w:p>
    <w:p>
      <w:pPr>
        <w:spacing w:after="200"/>
      </w:pPr>
      <w:r>
        <w:rPr>
          <w:b/>
          <w:bCs/>
          <w:sz w:val="24"/>
          <w:szCs w:val="24"/>
        </w:rPr>
        <w:t xml:space="preserve">Regulation: </w:t>
      </w:r>
      <w:r>
        <w:rPr>
          <w:sz w:val="24"/>
          <w:szCs w:val="24"/>
        </w:rPr>
        <w:t xml:space="preserve">FDIC-insured (up to $250,000 per depositor, per institution). Regulated by the Office of the Comptroller of the Currency (OCC), Federal Reserve, and state banking regulators.</w:t>
      </w:r>
    </w:p>
    <w:p>
      <w:pPr>
        <w:spacing w:after="400"/>
      </w:pPr>
      <w:r>
        <w:rPr>
          <w:b/>
          <w:bCs/>
          <w:i/>
          <w:iCs/>
          <w:sz w:val="24"/>
          <w:szCs w:val="24"/>
        </w:rPr>
        <w:t xml:space="preserve">Strategic note: </w:t>
      </w:r>
      <w:r>
        <w:rPr>
          <w:i/>
          <w:iCs/>
          <w:sz w:val="24"/>
          <w:szCs w:val="24"/>
        </w:rPr>
        <w:t xml:space="preserve">Retail banks are where most Americans interact with the financial system. They are the visible layer. But they are not where sophisticated financial work happens.</w:t>
      </w:r>
    </w:p>
    <w:p>
      <w:pPr>
        <w:pStyle w:val="Heading2"/>
      </w:pPr>
      <w:r>
        <w:t xml:space="preserve">1.2 Commercial Banking</w:t>
      </w:r>
    </w:p>
    <w:p>
      <w:pPr>
        <w:spacing w:after="200"/>
      </w:pPr>
      <w:r>
        <w:rPr>
          <w:b/>
          <w:bCs/>
          <w:sz w:val="24"/>
          <w:szCs w:val="24"/>
        </w:rPr>
        <w:t xml:space="preserve">What it is: </w:t>
      </w:r>
      <w:r>
        <w:rPr>
          <w:sz w:val="24"/>
          <w:szCs w:val="24"/>
        </w:rPr>
        <w:t xml:space="preserve">Services to small and medium-sized businesses. Often the same institutions that do retail banking, but a separate division.</w:t>
      </w:r>
    </w:p>
    <w:p>
      <w:pPr>
        <w:spacing w:after="200"/>
      </w:pPr>
      <w:r>
        <w:rPr>
          <w:b/>
          <w:bCs/>
          <w:sz w:val="24"/>
          <w:szCs w:val="24"/>
        </w:rPr>
        <w:t xml:space="preserve">Core services: </w:t>
      </w:r>
      <w:r>
        <w:rPr>
          <w:sz w:val="24"/>
          <w:szCs w:val="24"/>
        </w:rPr>
        <w:t xml:space="preserve">Business checking and savings, commercial loans, lines of credit, merchant services (credit card processing), payroll processing, basic treasury management.</w:t>
      </w:r>
    </w:p>
    <w:p>
      <w:pPr>
        <w:spacing w:after="200"/>
      </w:pPr>
      <w:r>
        <w:rPr>
          <w:b/>
          <w:bCs/>
          <w:sz w:val="24"/>
          <w:szCs w:val="24"/>
        </w:rPr>
        <w:t xml:space="preserve">Business model: </w:t>
      </w:r>
      <w:r>
        <w:rPr>
          <w:sz w:val="24"/>
          <w:szCs w:val="24"/>
        </w:rPr>
        <w:t xml:space="preserve">Higher margin than retail, lower volume. More customized products. Relationship-driven.</w:t>
      </w:r>
    </w:p>
    <w:p>
      <w:pPr>
        <w:spacing w:after="400"/>
      </w:pPr>
      <w:r>
        <w:rPr>
          <w:b/>
          <w:bCs/>
          <w:i/>
          <w:iCs/>
          <w:sz w:val="24"/>
          <w:szCs w:val="24"/>
        </w:rPr>
        <w:t xml:space="preserve">Key distinction: </w:t>
      </w:r>
      <w:r>
        <w:rPr>
          <w:i/>
          <w:iCs/>
          <w:sz w:val="24"/>
          <w:szCs w:val="24"/>
        </w:rPr>
        <w:t xml:space="preserve">Commercial banks still deal in standardized products. For truly customized solutions, you move to corporate or private banking.</w:t>
      </w:r>
    </w:p>
    <w:p>
      <w:pPr>
        <w:pStyle w:val="Heading2"/>
      </w:pPr>
      <w:r>
        <w:t xml:space="preserve">1.3 Corporate Banking</w:t>
      </w:r>
    </w:p>
    <w:p>
      <w:pPr>
        <w:spacing w:after="200"/>
      </w:pPr>
      <w:r>
        <w:rPr>
          <w:b/>
          <w:bCs/>
          <w:sz w:val="24"/>
          <w:szCs w:val="24"/>
        </w:rPr>
        <w:t xml:space="preserve">What it is: </w:t>
      </w:r>
      <w:r>
        <w:rPr>
          <w:sz w:val="24"/>
          <w:szCs w:val="24"/>
        </w:rPr>
        <w:t xml:space="preserve">Services to large corporations and institutions. Think Fortune 500 companies, large non-profits, government entities.</w:t>
      </w:r>
    </w:p>
    <w:p>
      <w:pPr>
        <w:spacing w:after="200"/>
      </w:pPr>
      <w:r>
        <w:rPr>
          <w:b/>
          <w:bCs/>
          <w:sz w:val="24"/>
          <w:szCs w:val="24"/>
        </w:rPr>
        <w:t xml:space="preserve">Core services: </w:t>
      </w:r>
      <w:r>
        <w:rPr>
          <w:sz w:val="24"/>
          <w:szCs w:val="24"/>
        </w:rPr>
        <w:t xml:space="preserve">Large-scale lending (syndicated loans), treasury management, cash management, foreign exchange services, trade finance (letters of credit, documentary collections), sophisticated liquidity management.</w:t>
      </w:r>
    </w:p>
    <w:p>
      <w:pPr>
        <w:spacing w:after="200"/>
      </w:pPr>
      <w:r>
        <w:rPr>
          <w:b/>
          <w:bCs/>
          <w:sz w:val="24"/>
          <w:szCs w:val="24"/>
        </w:rPr>
        <w:t xml:space="preserve">Business model: </w:t>
      </w:r>
      <w:r>
        <w:rPr>
          <w:sz w:val="24"/>
          <w:szCs w:val="24"/>
        </w:rPr>
        <w:t xml:space="preserve">Large transactions, customized structures, relationship fees. A single corporate banking relationship might be worth more than thousands of retail accounts.</w:t>
      </w:r>
    </w:p>
    <w:p>
      <w:pPr>
        <w:spacing w:after="400"/>
      </w:pPr>
      <w:r>
        <w:rPr>
          <w:b/>
          <w:bCs/>
          <w:i/>
          <w:iCs/>
          <w:sz w:val="24"/>
          <w:szCs w:val="24"/>
        </w:rPr>
        <w:t xml:space="preserve">Strategic note: </w:t>
      </w:r>
      <w:r>
        <w:rPr>
          <w:i/>
          <w:iCs/>
          <w:sz w:val="24"/>
          <w:szCs w:val="24"/>
        </w:rPr>
        <w:t xml:space="preserve">Corporate banking is where the serious money moves. Understanding treasury management and trade finance is essential for anyone building institutional-grade financial infrastructure.</w:t>
      </w:r>
    </w:p>
    <w:p>
      <w:pPr>
        <w:pStyle w:val="Heading2"/>
      </w:pPr>
      <w:r>
        <w:t xml:space="preserve">1.4 Investment Banking</w:t>
      </w:r>
    </w:p>
    <w:p>
      <w:pPr>
        <w:spacing w:after="200"/>
      </w:pPr>
      <w:r>
        <w:rPr>
          <w:b/>
          <w:bCs/>
          <w:sz w:val="24"/>
          <w:szCs w:val="24"/>
        </w:rPr>
        <w:t xml:space="preserve">What it is: </w:t>
      </w:r>
      <w:r>
        <w:rPr>
          <w:sz w:val="24"/>
          <w:szCs w:val="24"/>
        </w:rPr>
        <w:t xml:space="preserve">Capital markets intermediation. Investment banks help companies and governments raise money by issuing securities (stocks and bonds), and advise on major transactions.</w:t>
      </w:r>
    </w:p>
    <w:p>
      <w:pPr>
        <w:spacing w:after="200"/>
      </w:pPr>
      <w:r>
        <w:rPr>
          <w:b/>
          <w:bCs/>
          <w:sz w:val="24"/>
          <w:szCs w:val="24"/>
        </w:rPr>
        <w:t xml:space="preserve">Core services: </w:t>
      </w:r>
      <w:r>
        <w:rPr>
          <w:sz w:val="24"/>
          <w:szCs w:val="24"/>
        </w:rPr>
        <w:t xml:space="preserve">Underwriting (IPOs, bond issuances), mergers and acquisitions advisory, restructuring, securities trading, research.</w:t>
      </w:r>
    </w:p>
    <w:p>
      <w:pPr>
        <w:spacing w:after="200"/>
      </w:pPr>
      <w:r>
        <w:rPr>
          <w:b/>
          <w:bCs/>
          <w:sz w:val="24"/>
          <w:szCs w:val="24"/>
        </w:rPr>
        <w:t xml:space="preserve">The players: </w:t>
      </w:r>
      <w:r>
        <w:rPr>
          <w:sz w:val="24"/>
          <w:szCs w:val="24"/>
        </w:rPr>
        <w:t xml:space="preserve">"Bulge bracket" banks (Goldman Sachs, Morgan Stanley, JPMorgan) handle the largest deals. "Middle market" banks handle smaller transactions. Boutique banks specialize in specific industries or transaction types.</w:t>
      </w:r>
    </w:p>
    <w:p>
      <w:pPr>
        <w:spacing w:after="200"/>
      </w:pPr>
      <w:r>
        <w:rPr>
          <w:b/>
          <w:bCs/>
          <w:sz w:val="24"/>
          <w:szCs w:val="24"/>
        </w:rPr>
        <w:t xml:space="preserve">Business model: </w:t>
      </w:r>
      <w:r>
        <w:rPr>
          <w:sz w:val="24"/>
          <w:szCs w:val="24"/>
        </w:rPr>
        <w:t xml:space="preserve">Fee-based. Large upfront fees for underwriting and advisory. Performance fees on some transactions. Trading profits from market-making activities.</w:t>
      </w:r>
    </w:p>
    <w:p>
      <w:pPr>
        <w:spacing w:after="200"/>
      </w:pPr>
      <w:r>
        <w:rPr>
          <w:b/>
          <w:bCs/>
          <w:sz w:val="24"/>
          <w:szCs w:val="24"/>
        </w:rPr>
        <w:t xml:space="preserve">Regulation: </w:t>
      </w:r>
      <w:r>
        <w:rPr>
          <w:sz w:val="24"/>
          <w:szCs w:val="24"/>
        </w:rPr>
        <w:t xml:space="preserve">Securities and Exchange Commission (SEC) for securities activities. Historically separated from commercial banking by the Glass-Steagall Act (1933), but that separation was repealed in 1999.</w:t>
      </w:r>
    </w:p>
    <w:p>
      <w:pPr>
        <w:spacing w:after="400"/>
      </w:pPr>
      <w:r>
        <w:rPr>
          <w:b/>
          <w:bCs/>
          <w:i/>
          <w:iCs/>
          <w:sz w:val="24"/>
          <w:szCs w:val="24"/>
        </w:rPr>
        <w:t xml:space="preserve">Historical note: </w:t>
      </w:r>
      <w:r>
        <w:rPr>
          <w:i/>
          <w:iCs/>
          <w:sz w:val="24"/>
          <w:szCs w:val="24"/>
        </w:rPr>
        <w:t xml:space="preserve">The 2008 financial crisis originated in part from the blurring of lines between commercial and investment banking. Goldman Sachs and Morgan Stanley converted to bank holding companies during the crisis to access Federal Reserve emergency lending.</w:t>
      </w:r>
    </w:p>
    <w:p>
      <w:pPr>
        <w:pStyle w:val="Heading2"/>
      </w:pPr>
      <w:r>
        <w:t xml:space="preserve">1.5 Merchant Banking: The Historical Model</w:t>
      </w:r>
    </w:p>
    <w:p>
      <w:pPr>
        <w:spacing w:after="200"/>
      </w:pPr>
      <w:r>
        <w:rPr>
          <w:b/>
          <w:bCs/>
          <w:sz w:val="24"/>
          <w:szCs w:val="24"/>
        </w:rPr>
        <w:t xml:space="preserve">What it is: </w:t>
      </w:r>
      <w:r>
        <w:rPr>
          <w:sz w:val="24"/>
          <w:szCs w:val="24"/>
        </w:rPr>
        <w:t xml:space="preserve">The original model of sophisticated banking. Merchant banks provide capital and advisory services to businesses, but unlike investment banks, they often invest their own capital alongside clients.</w:t>
      </w:r>
    </w:p>
    <w:p>
      <w:pPr>
        <w:spacing w:after="200"/>
      </w:pPr>
      <w:r>
        <w:rPr>
          <w:b/>
          <w:bCs/>
          <w:sz w:val="24"/>
          <w:szCs w:val="24"/>
        </w:rPr>
        <w:t xml:space="preserve">Historical context: </w:t>
      </w:r>
      <w:r>
        <w:rPr>
          <w:sz w:val="24"/>
          <w:szCs w:val="24"/>
        </w:rPr>
        <w:t xml:space="preserve">The great merchant banking houses—Rothschild, Barings, Warburg, Hambros—financed international trade, governments, and major industrial projects from the 18th century onward. They operated on relationships, discretion, and generational trust.</w:t>
      </w:r>
    </w:p>
    <w:p>
      <w:pPr>
        <w:spacing w:after="200"/>
      </w:pPr>
      <w:r>
        <w:rPr>
          <w:b/>
          <w:bCs/>
          <w:sz w:val="24"/>
          <w:szCs w:val="24"/>
        </w:rPr>
        <w:t xml:space="preserve">Core services: </w:t>
      </w:r>
      <w:r>
        <w:rPr>
          <w:sz w:val="24"/>
          <w:szCs w:val="24"/>
        </w:rPr>
        <w:t xml:space="preserve">Trade finance, project financing, private equity investment, M&amp;A advisory, portfolio management for wealthy families. Often provided these services without offering retail banking.</w:t>
      </w:r>
    </w:p>
    <w:p>
      <w:pPr>
        <w:spacing w:after="200"/>
      </w:pPr>
      <w:r>
        <w:rPr>
          <w:b/>
          <w:bCs/>
          <w:sz w:val="24"/>
          <w:szCs w:val="24"/>
        </w:rPr>
        <w:t xml:space="preserve">Key distinction: </w:t>
      </w:r>
      <w:r>
        <w:rPr>
          <w:sz w:val="24"/>
          <w:szCs w:val="24"/>
        </w:rPr>
        <w:t xml:space="preserve">Merchant banks had "skin in the game." They invested their own capital, which aligned their interests with clients and created accountability. Modern investment banks operate more as intermediaries.</w:t>
      </w:r>
    </w:p>
    <w:p>
      <w:pPr>
        <w:spacing w:after="400"/>
      </w:pPr>
      <w:r>
        <w:rPr>
          <w:b/>
          <w:bCs/>
          <w:i/>
          <w:iCs/>
          <w:sz w:val="24"/>
          <w:szCs w:val="24"/>
        </w:rPr>
        <w:t xml:space="preserve">Strategic insight: </w:t>
      </w:r>
      <w:r>
        <w:rPr>
          <w:i/>
          <w:iCs/>
          <w:sz w:val="24"/>
          <w:szCs w:val="24"/>
        </w:rPr>
        <w:t xml:space="preserve">The merchant banking model—relationship-based, principal-invested, multi-generational—is the philosophical ancestor of the private banking and family office approach. This is the heritage Meridia draws from.</w:t>
      </w:r>
    </w:p>
    <w:p>
      <w:pPr>
        <w:pStyle w:val="Heading2"/>
      </w:pPr>
      <w:r>
        <w:t xml:space="preserve">1.6 Private Banking</w:t>
      </w:r>
    </w:p>
    <w:p>
      <w:pPr>
        <w:spacing w:after="200"/>
      </w:pPr>
      <w:r>
        <w:rPr>
          <w:b/>
          <w:bCs/>
          <w:sz w:val="24"/>
          <w:szCs w:val="24"/>
        </w:rPr>
        <w:t xml:space="preserve">What it is: </w:t>
      </w:r>
      <w:r>
        <w:rPr>
          <w:sz w:val="24"/>
          <w:szCs w:val="24"/>
        </w:rPr>
        <w:t xml:space="preserve">Personalized financial services for high-net-worth individuals (HNWIs) and families. Typically requires minimum assets of $1M-$25M or more, depending on the institution.</w:t>
      </w:r>
    </w:p>
    <w:p>
      <w:pPr>
        <w:spacing w:after="200"/>
      </w:pPr>
      <w:r>
        <w:rPr>
          <w:b/>
          <w:bCs/>
          <w:sz w:val="24"/>
          <w:szCs w:val="24"/>
        </w:rPr>
        <w:t xml:space="preserve">Core services: </w:t>
      </w:r>
      <w:r>
        <w:rPr>
          <w:sz w:val="24"/>
          <w:szCs w:val="24"/>
        </w:rPr>
        <w:t xml:space="preserve">Investment management, estate planning, tax optimization, trust services, philanthropy advisory, lending (including specialized lending like art-backed loans or yacht financing), concierge services.</w:t>
      </w:r>
    </w:p>
    <w:p>
      <w:pPr>
        <w:spacing w:after="200"/>
      </w:pPr>
      <w:r>
        <w:rPr>
          <w:b/>
          <w:bCs/>
          <w:sz w:val="24"/>
          <w:szCs w:val="24"/>
        </w:rPr>
        <w:t xml:space="preserve">The players: </w:t>
      </w:r>
      <w:r>
        <w:rPr>
          <w:sz w:val="24"/>
          <w:szCs w:val="24"/>
        </w:rPr>
        <w:t xml:space="preserve">Swiss banks (UBS, Credit Suisse/UBS, Julius Baer, Pictet), US wealth managers (JPMorgan Private Bank, Goldman Sachs Private Wealth), British merchant banks (C. Hoare &amp; Co., Coutts). The Swiss have historically dominated due to banking secrecy and political neutrality.</w:t>
      </w:r>
    </w:p>
    <w:p>
      <w:pPr>
        <w:spacing w:after="200"/>
      </w:pPr>
      <w:r>
        <w:rPr>
          <w:b/>
          <w:bCs/>
          <w:sz w:val="24"/>
          <w:szCs w:val="24"/>
        </w:rPr>
        <w:t xml:space="preserve">Business model: </w:t>
      </w:r>
      <w:r>
        <w:rPr>
          <w:sz w:val="24"/>
          <w:szCs w:val="24"/>
        </w:rPr>
        <w:t xml:space="preserve">Fee-based: asset-based fees (typically 0.5-1.5% of AUM), transaction fees, lending spreads. The relationship is long-term; many private banks serve families for generations.</w:t>
      </w:r>
    </w:p>
    <w:p>
      <w:pPr>
        <w:spacing w:after="400"/>
      </w:pPr>
      <w:r>
        <w:rPr>
          <w:b/>
          <w:bCs/>
          <w:i/>
          <w:iCs/>
          <w:sz w:val="24"/>
          <w:szCs w:val="24"/>
        </w:rPr>
        <w:t xml:space="preserve">What private banks actually provide: </w:t>
      </w:r>
      <w:r>
        <w:rPr>
          <w:i/>
          <w:iCs/>
          <w:sz w:val="24"/>
          <w:szCs w:val="24"/>
        </w:rPr>
        <w:t xml:space="preserve">Beyond products, private banks provide access—to investment opportunities not available to the public, to expertise across complex situations, to a network of professionals (attorneys, accountants, insurance specialists), and to institutional knowledge about preserving wealth across generations.</w:t>
      </w:r>
    </w:p>
    <w:p>
      <w:pPr>
        <w:pStyle w:val="Heading2"/>
      </w:pPr>
      <w:r>
        <w:t xml:space="preserve">1.7 Money Center Banks</w:t>
      </w:r>
    </w:p>
    <w:p>
      <w:pPr>
        <w:spacing w:after="200"/>
      </w:pPr>
      <w:r>
        <w:rPr>
          <w:b/>
          <w:bCs/>
          <w:sz w:val="24"/>
          <w:szCs w:val="24"/>
        </w:rPr>
        <w:t xml:space="preserve">What they are: </w:t>
      </w:r>
      <w:r>
        <w:rPr>
          <w:sz w:val="24"/>
          <w:szCs w:val="24"/>
        </w:rPr>
        <w:t xml:space="preserve">The giants that do everything. These are the systemically important banks that operate across all categories—retail, commercial, corporate, investment, and private banking.</w:t>
      </w:r>
    </w:p>
    <w:p>
      <w:pPr>
        <w:spacing w:after="200"/>
      </w:pPr>
      <w:r>
        <w:rPr>
          <w:b/>
          <w:bCs/>
          <w:sz w:val="24"/>
          <w:szCs w:val="24"/>
        </w:rPr>
        <w:t xml:space="preserve">The players: </w:t>
      </w:r>
      <w:r>
        <w:rPr>
          <w:sz w:val="24"/>
          <w:szCs w:val="24"/>
        </w:rPr>
        <w:t xml:space="preserve">In the US: JPMorgan Chase, Bank of America, Citibank, Wells Fargo. In Europe: HSBC, Barclays, Deutsche Bank, BNP Paribas. In Asia: The "Big Four" Chinese state banks (ICBC, CCB, ABC, BOC), Mitsubishi UFJ, Mizuho.</w:t>
      </w:r>
    </w:p>
    <w:p>
      <w:pPr>
        <w:spacing w:after="200"/>
      </w:pPr>
      <w:r>
        <w:rPr>
          <w:b/>
          <w:bCs/>
          <w:sz w:val="24"/>
          <w:szCs w:val="24"/>
        </w:rPr>
        <w:t xml:space="preserve">Why they matter: </w:t>
      </w:r>
      <w:r>
        <w:rPr>
          <w:sz w:val="24"/>
          <w:szCs w:val="24"/>
        </w:rPr>
        <w:t xml:space="preserve">Money center banks are the hubs of the global financial network. They have correspondent relationships with smaller banks worldwide. They are "too big to fail"—their collapse would cascade through the entire system.</w:t>
      </w:r>
    </w:p>
    <w:p>
      <w:pPr>
        <w:spacing w:after="400"/>
      </w:pPr>
      <w:r>
        <w:rPr>
          <w:b/>
          <w:bCs/>
          <w:i/>
          <w:iCs/>
          <w:sz w:val="24"/>
          <w:szCs w:val="24"/>
        </w:rPr>
        <w:t xml:space="preserve">Strategic consideration: </w:t>
      </w:r>
      <w:r>
        <w:rPr>
          <w:i/>
          <w:iCs/>
          <w:sz w:val="24"/>
          <w:szCs w:val="24"/>
        </w:rPr>
        <w:t xml:space="preserve">Money center banks are partners of necessity. They provide infrastructure (clearing, settlement, correspondent services) that smaller institutions cannot replicate. Understanding how to work with them—and their limitations—is essential.</w:t>
      </w:r>
    </w:p>
    <w:p>
      <w:r>
        <w:br w:type="page"/>
      </w:r>
    </w:p>
    <w:p>
      <w:pPr>
        <w:pStyle w:val="Heading2"/>
      </w:pPr>
      <w:r>
        <w:t xml:space="preserve">1.8 Central Banks and the BIS</w:t>
      </w:r>
    </w:p>
    <w:p>
      <w:pPr>
        <w:spacing w:after="200"/>
      </w:pPr>
      <w:r>
        <w:rPr>
          <w:sz w:val="24"/>
          <w:szCs w:val="24"/>
        </w:rPr>
        <w:t xml:space="preserve">At the apex of the banking system sit central banks—the Federal Reserve, the European Central Bank, the Bank of England, the Bank of Japan, and their counterparts in every nation with a functioning monetary system.</w:t>
      </w:r>
    </w:p>
    <w:p>
      <w:pPr>
        <w:spacing w:after="200"/>
      </w:pPr>
      <w:r>
        <w:rPr>
          <w:b/>
          <w:bCs/>
          <w:sz w:val="24"/>
          <w:szCs w:val="24"/>
        </w:rPr>
        <w:t xml:space="preserve">What central banks do: </w:t>
      </w:r>
    </w:p>
    <w:p>
      <w:pPr>
        <w:pStyle w:val="ListParagraph"/>
        <w:numPr>
          <w:ilvl w:val="0"/>
          <w:numId w:val="2"/>
        </w:numPr>
        <w:spacing w:after="100"/>
      </w:pPr>
      <w:r>
        <w:rPr>
          <w:sz w:val="24"/>
          <w:szCs w:val="24"/>
        </w:rPr>
        <w:t xml:space="preserve">Issue currency (the legal tender of their jurisdiction)</w:t>
      </w:r>
    </w:p>
    <w:p>
      <w:pPr>
        <w:pStyle w:val="ListParagraph"/>
        <w:numPr>
          <w:ilvl w:val="0"/>
          <w:numId w:val="2"/>
        </w:numPr>
        <w:spacing w:after="100"/>
      </w:pPr>
      <w:r>
        <w:rPr>
          <w:sz w:val="24"/>
          <w:szCs w:val="24"/>
        </w:rPr>
        <w:t xml:space="preserve">Set monetary policy (interest rates, money supply)</w:t>
      </w:r>
    </w:p>
    <w:p>
      <w:pPr>
        <w:pStyle w:val="ListParagraph"/>
        <w:numPr>
          <w:ilvl w:val="0"/>
          <w:numId w:val="2"/>
        </w:numPr>
        <w:spacing w:after="100"/>
      </w:pPr>
      <w:r>
        <w:rPr>
          <w:sz w:val="24"/>
          <w:szCs w:val="24"/>
        </w:rPr>
        <w:t xml:space="preserve">Supervise and regulate banks</w:t>
      </w:r>
    </w:p>
    <w:p>
      <w:pPr>
        <w:pStyle w:val="ListParagraph"/>
        <w:numPr>
          <w:ilvl w:val="0"/>
          <w:numId w:val="2"/>
        </w:numPr>
        <w:spacing w:after="100"/>
      </w:pPr>
      <w:r>
        <w:rPr>
          <w:sz w:val="24"/>
          <w:szCs w:val="24"/>
        </w:rPr>
        <w:t xml:space="preserve">Serve as lender of last resort (emergency lending to prevent bank failures)</w:t>
      </w:r>
    </w:p>
    <w:p>
      <w:pPr>
        <w:pStyle w:val="ListParagraph"/>
        <w:numPr>
          <w:ilvl w:val="0"/>
          <w:numId w:val="2"/>
        </w:numPr>
        <w:spacing w:after="200"/>
      </w:pPr>
      <w:r>
        <w:rPr>
          <w:sz w:val="24"/>
          <w:szCs w:val="24"/>
        </w:rPr>
        <w:t xml:space="preserve">Manage foreign exchange reserves</w:t>
      </w:r>
    </w:p>
    <w:p>
      <w:pPr>
        <w:spacing w:after="200"/>
      </w:pPr>
      <w:r>
        <w:rPr>
          <w:b/>
          <w:bCs/>
          <w:sz w:val="24"/>
          <w:szCs w:val="24"/>
        </w:rPr>
        <w:t xml:space="preserve">The Bank for International Settlements (BIS): </w:t>
      </w:r>
      <w:r>
        <w:rPr>
          <w:sz w:val="24"/>
          <w:szCs w:val="24"/>
        </w:rPr>
        <w:t xml:space="preserve">The "central bank of central banks," headquartered in Basel, Switzerland. Founded in 1930, it is the oldest international financial institution. The BIS provides banking services to central banks, hosts committees that set global banking standards (like Basel capital requirements), and serves as a forum for central bank cooperation.</w:t>
      </w:r>
    </w:p>
    <w:p>
      <w:pPr>
        <w:spacing w:after="400"/>
      </w:pPr>
      <w:r>
        <w:rPr>
          <w:b/>
          <w:bCs/>
          <w:i/>
          <w:iCs/>
          <w:sz w:val="24"/>
          <w:szCs w:val="24"/>
        </w:rPr>
        <w:t xml:space="preserve">Why this matters: </w:t>
      </w:r>
      <w:r>
        <w:rPr>
          <w:i/>
          <w:iCs/>
          <w:sz w:val="24"/>
          <w:szCs w:val="24"/>
        </w:rPr>
        <w:t xml:space="preserve">Central banks are not neutral. Their policies—interest rates, quantitative easing, regulatory decisions—directly affect every financial position. Understanding the central banking framework is understanding the rules of the game.</w:t>
      </w:r>
    </w:p>
    <w:p>
      <w:r>
        <w:br w:type="page"/>
      </w:r>
    </w:p>
    <w:p>
      <w:pPr>
        <w:pStyle w:val="Heading1"/>
      </w:pPr>
      <w:r>
        <w:t xml:space="preserve">Part II: The Plumbing—How Money Actually Moves</w:t>
      </w:r>
    </w:p>
    <w:p>
      <w:pPr>
        <w:spacing w:after="300"/>
      </w:pPr>
      <w:r>
        <w:rPr>
          <w:sz w:val="24"/>
          <w:szCs w:val="24"/>
        </w:rPr>
        <w:t xml:space="preserve">When you send $100 to someone, what actually happens? The answer reveals the hidden infrastructure of the financial system.</w:t>
      </w:r>
    </w:p>
    <w:p>
      <w:pPr>
        <w:pStyle w:val="Heading2"/>
      </w:pPr>
      <w:r>
        <w:t xml:space="preserve">2.1 Clearing and Settlement</w:t>
      </w:r>
    </w:p>
    <w:p>
      <w:pPr>
        <w:spacing w:after="200"/>
      </w:pPr>
      <w:r>
        <w:rPr>
          <w:b/>
          <w:bCs/>
          <w:sz w:val="24"/>
          <w:szCs w:val="24"/>
        </w:rPr>
        <w:t xml:space="preserve">Clearing: </w:t>
      </w:r>
      <w:r>
        <w:rPr>
          <w:sz w:val="24"/>
          <w:szCs w:val="24"/>
        </w:rPr>
        <w:t xml:space="preserve">The process of matching and verifying transactions. When you buy stock, clearing confirms that the buyer has the money and the seller has the shares, calculates obligations, and prepares for settlement.</w:t>
      </w:r>
    </w:p>
    <w:p>
      <w:pPr>
        <w:spacing w:after="200"/>
      </w:pPr>
      <w:r>
        <w:rPr>
          <w:b/>
          <w:bCs/>
          <w:sz w:val="24"/>
          <w:szCs w:val="24"/>
        </w:rPr>
        <w:t xml:space="preserve">Settlement: </w:t>
      </w:r>
      <w:r>
        <w:rPr>
          <w:sz w:val="24"/>
          <w:szCs w:val="24"/>
        </w:rPr>
        <w:t xml:space="preserve">The final, irrevocable transfer of money and assets. Until settlement occurs, a transaction can theoretically fail. Settlement is when money actually moves from one account to another.</w:t>
      </w:r>
    </w:p>
    <w:p>
      <w:pPr>
        <w:spacing w:after="200"/>
      </w:pPr>
      <w:r>
        <w:rPr>
          <w:b/>
          <w:bCs/>
          <w:sz w:val="24"/>
          <w:szCs w:val="24"/>
        </w:rPr>
        <w:t xml:space="preserve">Key systems: </w:t>
      </w:r>
    </w:p>
    <w:p>
      <w:pPr>
        <w:pStyle w:val="ListParagraph"/>
        <w:numPr>
          <w:ilvl w:val="0"/>
          <w:numId w:val="2"/>
        </w:numPr>
        <w:spacing w:after="100"/>
      </w:pPr>
      <w:r>
        <w:rPr>
          <w:b/>
          <w:bCs/>
          <w:sz w:val="24"/>
          <w:szCs w:val="24"/>
        </w:rPr>
        <w:t xml:space="preserve">Fedwire: </w:t>
      </w:r>
      <w:r>
        <w:rPr>
          <w:sz w:val="24"/>
          <w:szCs w:val="24"/>
        </w:rPr>
        <w:t xml:space="preserve">The Federal Reserve's real-time gross settlement (RTGS) system for high-value transfers between US banks. Processes over $4 trillion daily.</w:t>
      </w:r>
    </w:p>
    <w:p>
      <w:pPr>
        <w:pStyle w:val="ListParagraph"/>
        <w:numPr>
          <w:ilvl w:val="0"/>
          <w:numId w:val="2"/>
        </w:numPr>
        <w:spacing w:after="100"/>
      </w:pPr>
      <w:r>
        <w:rPr>
          <w:b/>
          <w:bCs/>
          <w:sz w:val="24"/>
          <w:szCs w:val="24"/>
        </w:rPr>
        <w:t xml:space="preserve">CHIPS: </w:t>
      </w:r>
      <w:r>
        <w:rPr>
          <w:sz w:val="24"/>
          <w:szCs w:val="24"/>
        </w:rPr>
        <w:t xml:space="preserve">The Clearing House Interbank Payments System. A private sector system for large-value payments, particularly international dollar payments.</w:t>
      </w:r>
    </w:p>
    <w:p>
      <w:pPr>
        <w:pStyle w:val="ListParagraph"/>
        <w:numPr>
          <w:ilvl w:val="0"/>
          <w:numId w:val="2"/>
        </w:numPr>
        <w:spacing w:after="100"/>
      </w:pPr>
      <w:r>
        <w:rPr>
          <w:b/>
          <w:bCs/>
          <w:sz w:val="24"/>
          <w:szCs w:val="24"/>
        </w:rPr>
        <w:t xml:space="preserve">ACH: </w:t>
      </w:r>
      <w:r>
        <w:rPr>
          <w:sz w:val="24"/>
          <w:szCs w:val="24"/>
        </w:rPr>
        <w:t xml:space="preserve">Automated Clearing House. Batch processing for lower-value transactions like payroll, bill payments, direct deposits. Slower but cheaper.</w:t>
      </w:r>
    </w:p>
    <w:p>
      <w:pPr>
        <w:pStyle w:val="ListParagraph"/>
        <w:numPr>
          <w:ilvl w:val="0"/>
          <w:numId w:val="2"/>
        </w:numPr>
        <w:spacing w:after="200"/>
      </w:pPr>
      <w:r>
        <w:rPr>
          <w:b/>
          <w:bCs/>
          <w:sz w:val="24"/>
          <w:szCs w:val="24"/>
        </w:rPr>
        <w:t xml:space="preserve">SWIFT: </w:t>
      </w:r>
      <w:r>
        <w:rPr>
          <w:sz w:val="24"/>
          <w:szCs w:val="24"/>
        </w:rPr>
        <w:t xml:space="preserve">Critical distinction—SWIFT is a messaging network, not a settlement system. It tells banks what to do, but doesn't move the money itself.</w:t>
      </w:r>
    </w:p>
    <w:p>
      <w:pPr>
        <w:spacing w:after="400"/>
      </w:pPr>
      <w:r>
        <w:rPr>
          <w:b/>
          <w:bCs/>
          <w:i/>
          <w:iCs/>
          <w:sz w:val="24"/>
          <w:szCs w:val="24"/>
        </w:rPr>
        <w:t xml:space="preserve">Strategic insight: </w:t>
      </w:r>
      <w:r>
        <w:rPr>
          <w:i/>
          <w:iCs/>
          <w:sz w:val="24"/>
          <w:szCs w:val="24"/>
        </w:rPr>
        <w:t xml:space="preserve">Settlement risk—the risk that a counterparty fails between trade and settlement—is real. Understanding when money truly changes hands versus when it's merely promised is fundamental to financial architecture.</w:t>
      </w:r>
    </w:p>
    <w:p>
      <w:pPr>
        <w:pStyle w:val="Heading2"/>
      </w:pPr>
      <w:r>
        <w:t xml:space="preserve">2.2 Correspondent Banking</w:t>
      </w:r>
    </w:p>
    <w:p>
      <w:pPr>
        <w:spacing w:after="200"/>
      </w:pPr>
      <w:r>
        <w:rPr>
          <w:sz w:val="24"/>
          <w:szCs w:val="24"/>
        </w:rPr>
        <w:t xml:space="preserve">Not every bank has accounts at every other bank. Correspondent banking is the network that connects them.</w:t>
      </w:r>
    </w:p>
    <w:p>
      <w:pPr>
        <w:spacing w:after="200"/>
      </w:pPr>
      <w:r>
        <w:rPr>
          <w:b/>
          <w:bCs/>
          <w:sz w:val="24"/>
          <w:szCs w:val="24"/>
        </w:rPr>
        <w:t xml:space="preserve">How it works: </w:t>
      </w:r>
      <w:r>
        <w:rPr>
          <w:sz w:val="24"/>
          <w:szCs w:val="24"/>
        </w:rPr>
        <w:t xml:space="preserve">A small bank in Kansas wants to send dollars to a small bank in Germany. Neither has a direct relationship with the other. Instead, the Kansas bank has a correspondent account with JPMorgan, which has a correspondent account with Deutsche Bank, which has a relationship with the German bank. The payment "hops" through the network.</w:t>
      </w:r>
    </w:p>
    <w:p>
      <w:pPr>
        <w:spacing w:after="200"/>
      </w:pPr>
      <w:r>
        <w:rPr>
          <w:b/>
          <w:bCs/>
          <w:sz w:val="24"/>
          <w:szCs w:val="24"/>
        </w:rPr>
        <w:t xml:space="preserve">Key terms: </w:t>
      </w:r>
    </w:p>
    <w:p>
      <w:pPr>
        <w:pStyle w:val="ListParagraph"/>
        <w:numPr>
          <w:ilvl w:val="0"/>
          <w:numId w:val="2"/>
        </w:numPr>
        <w:spacing w:after="100"/>
      </w:pPr>
      <w:r>
        <w:rPr>
          <w:b/>
          <w:bCs/>
          <w:sz w:val="24"/>
          <w:szCs w:val="24"/>
        </w:rPr>
        <w:t xml:space="preserve">Nostro account: </w:t>
      </w:r>
      <w:r>
        <w:rPr>
          <w:sz w:val="24"/>
          <w:szCs w:val="24"/>
        </w:rPr>
        <w:t xml:space="preserve">"Our money held by you"—an account a bank holds at another bank.</w:t>
      </w:r>
    </w:p>
    <w:p>
      <w:pPr>
        <w:pStyle w:val="ListParagraph"/>
        <w:numPr>
          <w:ilvl w:val="0"/>
          <w:numId w:val="2"/>
        </w:numPr>
        <w:spacing w:after="100"/>
      </w:pPr>
      <w:r>
        <w:rPr>
          <w:b/>
          <w:bCs/>
          <w:sz w:val="24"/>
          <w:szCs w:val="24"/>
        </w:rPr>
        <w:t xml:space="preserve">Vostro account: </w:t>
      </w:r>
      <w:r>
        <w:rPr>
          <w:sz w:val="24"/>
          <w:szCs w:val="24"/>
        </w:rPr>
        <w:t xml:space="preserve">"Your money held by us"—the same account from the other bank's perspective.</w:t>
      </w:r>
    </w:p>
    <w:p>
      <w:pPr>
        <w:pStyle w:val="ListParagraph"/>
        <w:numPr>
          <w:ilvl w:val="0"/>
          <w:numId w:val="2"/>
        </w:numPr>
        <w:spacing w:after="200"/>
      </w:pPr>
      <w:r>
        <w:rPr>
          <w:b/>
          <w:bCs/>
          <w:sz w:val="24"/>
          <w:szCs w:val="24"/>
        </w:rPr>
        <w:t xml:space="preserve">Correspondent fees: </w:t>
      </w:r>
      <w:r>
        <w:rPr>
          <w:sz w:val="24"/>
          <w:szCs w:val="24"/>
        </w:rPr>
        <w:t xml:space="preserve">Each hop costs money. This is why international wire transfers are expensive.</w:t>
      </w:r>
    </w:p>
    <w:p>
      <w:pPr>
        <w:spacing w:after="400"/>
      </w:pPr>
      <w:r>
        <w:rPr>
          <w:b/>
          <w:bCs/>
          <w:i/>
          <w:iCs/>
          <w:sz w:val="24"/>
          <w:szCs w:val="24"/>
        </w:rPr>
        <w:t xml:space="preserve">Current challenge: </w:t>
      </w:r>
      <w:r>
        <w:rPr>
          <w:i/>
          <w:iCs/>
          <w:sz w:val="24"/>
          <w:szCs w:val="24"/>
        </w:rPr>
        <w:t xml:space="preserve">Correspondent banking networks are shrinking. Post-2008 regulations (KYC, AML, CFT) have made maintaining correspondent relationships expensive. Major banks are "de-risking"—cutting off relationships with smaller banks, particularly in developing countries. This creates financial exclusion at scale.</w:t>
      </w:r>
    </w:p>
    <w:p>
      <w:r>
        <w:br w:type="page"/>
      </w:r>
    </w:p>
    <w:p>
      <w:pPr>
        <w:pStyle w:val="Heading1"/>
      </w:pPr>
      <w:r>
        <w:t xml:space="preserve">Part III: The Insurance and Assurance Layer</w:t>
      </w:r>
    </w:p>
    <w:p>
      <w:pPr>
        <w:spacing w:after="300"/>
      </w:pPr>
      <w:r>
        <w:rPr>
          <w:sz w:val="24"/>
          <w:szCs w:val="24"/>
        </w:rPr>
        <w:t xml:space="preserve">Insurance companies are among the largest institutional investors in the world. Understanding insurance is understanding a parallel financial system.</w:t>
      </w:r>
    </w:p>
    <w:p>
      <w:pPr>
        <w:pStyle w:val="Heading2"/>
      </w:pPr>
      <w:r>
        <w:t xml:space="preserve">3.1 Insurance vs. Assurance</w:t>
      </w:r>
    </w:p>
    <w:p>
      <w:pPr>
        <w:spacing w:after="200"/>
      </w:pPr>
      <w:r>
        <w:rPr>
          <w:sz w:val="24"/>
          <w:szCs w:val="24"/>
        </w:rPr>
        <w:t xml:space="preserve">A distinction preserved in British financial terminology:</w:t>
      </w:r>
    </w:p>
    <w:p>
      <w:pPr>
        <w:spacing w:after="200"/>
      </w:pPr>
      <w:r>
        <w:rPr>
          <w:b/>
          <w:bCs/>
          <w:sz w:val="24"/>
          <w:szCs w:val="24"/>
        </w:rPr>
        <w:t xml:space="preserve">Insurance: </w:t>
      </w:r>
      <w:r>
        <w:rPr>
          <w:sz w:val="24"/>
          <w:szCs w:val="24"/>
        </w:rPr>
        <w:t xml:space="preserve">Coverage against events that may or may not happen—property damage, liability claims, auto accidents. The event is uncertain.</w:t>
      </w:r>
    </w:p>
    <w:p>
      <w:pPr>
        <w:spacing w:after="200"/>
      </w:pPr>
      <w:r>
        <w:rPr>
          <w:b/>
          <w:bCs/>
          <w:sz w:val="24"/>
          <w:szCs w:val="24"/>
        </w:rPr>
        <w:t xml:space="preserve">Assurance: </w:t>
      </w:r>
      <w:r>
        <w:rPr>
          <w:sz w:val="24"/>
          <w:szCs w:val="24"/>
        </w:rPr>
        <w:t xml:space="preserve">Coverage against events that will definitely happen—death (life assurance) or the passage of time (endowment policies). The event is certain; only the timing is unknown.</w:t>
      </w:r>
    </w:p>
    <w:p>
      <w:pPr>
        <w:spacing w:after="400"/>
      </w:pPr>
      <w:r>
        <w:rPr>
          <w:i/>
          <w:iCs/>
          <w:sz w:val="24"/>
          <w:szCs w:val="24"/>
        </w:rPr>
        <w:t xml:space="preserve">American usage collapses this distinction, calling everything "insurance." The British preserve it.</w:t>
      </w:r>
    </w:p>
    <w:p>
      <w:pPr>
        <w:pStyle w:val="Heading2"/>
      </w:pPr>
      <w:r>
        <w:t xml:space="preserve">3.2 Life Insurance</w:t>
      </w:r>
    </w:p>
    <w:p>
      <w:pPr>
        <w:spacing w:after="200"/>
      </w:pPr>
      <w:r>
        <w:rPr>
          <w:b/>
          <w:bCs/>
          <w:sz w:val="24"/>
          <w:szCs w:val="24"/>
        </w:rPr>
        <w:t xml:space="preserve">Life insurance protects against </w:t>
      </w:r>
      <w:r>
        <w:rPr>
          <w:i/>
          <w:iCs/>
          <w:sz w:val="24"/>
          <w:szCs w:val="24"/>
        </w:rPr>
        <w:t xml:space="preserve">mortality risk</w:t>
      </w:r>
      <w:r>
        <w:rPr>
          <w:sz w:val="24"/>
          <w:szCs w:val="24"/>
        </w:rPr>
        <w:t xml:space="preserve">—dying too soon, before you've provided for dependents or completed wealth transfer.</w:t>
      </w:r>
    </w:p>
    <w:p>
      <w:pPr>
        <w:spacing w:after="200"/>
      </w:pPr>
      <w:r>
        <w:rPr>
          <w:b/>
          <w:bCs/>
          <w:sz w:val="24"/>
          <w:szCs w:val="24"/>
        </w:rPr>
        <w:t xml:space="preserve">Types:</w:t>
      </w:r>
    </w:p>
    <w:p>
      <w:pPr>
        <w:pStyle w:val="ListParagraph"/>
        <w:numPr>
          <w:ilvl w:val="0"/>
          <w:numId w:val="2"/>
        </w:numPr>
        <w:spacing w:after="100"/>
      </w:pPr>
      <w:r>
        <w:rPr>
          <w:b/>
          <w:bCs/>
          <w:sz w:val="24"/>
          <w:szCs w:val="24"/>
        </w:rPr>
        <w:t xml:space="preserve">Term life: </w:t>
      </w:r>
      <w:r>
        <w:rPr>
          <w:sz w:val="24"/>
          <w:szCs w:val="24"/>
        </w:rPr>
        <w:t xml:space="preserve">Pure protection for a fixed period. Cheap. No cash value. You're renting protection.</w:t>
      </w:r>
    </w:p>
    <w:p>
      <w:pPr>
        <w:pStyle w:val="ListParagraph"/>
        <w:numPr>
          <w:ilvl w:val="0"/>
          <w:numId w:val="2"/>
        </w:numPr>
        <w:spacing w:after="100"/>
      </w:pPr>
      <w:r>
        <w:rPr>
          <w:b/>
          <w:bCs/>
          <w:sz w:val="24"/>
          <w:szCs w:val="24"/>
        </w:rPr>
        <w:t xml:space="preserve">Whole life: </w:t>
      </w:r>
      <w:r>
        <w:rPr>
          <w:sz w:val="24"/>
          <w:szCs w:val="24"/>
        </w:rPr>
        <w:t xml:space="preserve">Permanent coverage with cash value accumulation. More expensive. Builds equity. Tax-advantaged growth.</w:t>
      </w:r>
    </w:p>
    <w:p>
      <w:pPr>
        <w:pStyle w:val="ListParagraph"/>
        <w:numPr>
          <w:ilvl w:val="0"/>
          <w:numId w:val="2"/>
        </w:numPr>
        <w:spacing w:after="200"/>
      </w:pPr>
      <w:r>
        <w:rPr>
          <w:b/>
          <w:bCs/>
          <w:sz w:val="24"/>
          <w:szCs w:val="24"/>
        </w:rPr>
        <w:t xml:space="preserve">Universal life: </w:t>
      </w:r>
      <w:r>
        <w:rPr>
          <w:sz w:val="24"/>
          <w:szCs w:val="24"/>
        </w:rPr>
        <w:t xml:space="preserve">Flexible permanent coverage. Variable premiums and death benefits. Cash value tied to market performance or interest rates.</w:t>
      </w:r>
    </w:p>
    <w:p>
      <w:pPr>
        <w:spacing w:after="200"/>
      </w:pPr>
      <w:r>
        <w:rPr>
          <w:b/>
          <w:bCs/>
          <w:sz w:val="24"/>
          <w:szCs w:val="24"/>
        </w:rPr>
        <w:t xml:space="preserve">Underwriting: </w:t>
      </w:r>
      <w:r>
        <w:rPr>
          <w:sz w:val="24"/>
          <w:szCs w:val="24"/>
        </w:rPr>
        <w:t xml:space="preserve">Life insurance requires health underwriting—the insurer evaluates your health, lifestyle, and mortality risk to determine if they'll cover you and at what price. This is gatekeeping based on risk assessment.</w:t>
      </w:r>
    </w:p>
    <w:p>
      <w:pPr>
        <w:spacing w:after="400"/>
      </w:pPr>
      <w:r>
        <w:rPr>
          <w:b/>
          <w:bCs/>
          <w:i/>
          <w:iCs/>
          <w:sz w:val="24"/>
          <w:szCs w:val="24"/>
        </w:rPr>
        <w:t xml:space="preserve">Strategic use: </w:t>
      </w:r>
      <w:r>
        <w:rPr>
          <w:i/>
          <w:iCs/>
          <w:sz w:val="24"/>
          <w:szCs w:val="24"/>
        </w:rPr>
        <w:t xml:space="preserve">Life insurance is a wealth transfer tool. It can fund trusts, equalize inheritances, pay estate taxes, and create instant liquidity at death. For families with significant assets, life insurance is infrastructure, not just protection.</w:t>
      </w:r>
    </w:p>
    <w:p>
      <w:pPr>
        <w:pStyle w:val="Heading2"/>
      </w:pPr>
      <w:r>
        <w:t xml:space="preserve">3.3 Annuities</w:t>
      </w:r>
    </w:p>
    <w:p>
      <w:pPr>
        <w:spacing w:after="200"/>
      </w:pPr>
      <w:r>
        <w:rPr>
          <w:b/>
          <w:bCs/>
          <w:sz w:val="24"/>
          <w:szCs w:val="24"/>
        </w:rPr>
        <w:t xml:space="preserve">Annuities protect against </w:t>
      </w:r>
      <w:r>
        <w:rPr>
          <w:i/>
          <w:iCs/>
          <w:sz w:val="24"/>
          <w:szCs w:val="24"/>
        </w:rPr>
        <w:t xml:space="preserve">longevity risk</w:t>
      </w:r>
      <w:r>
        <w:rPr>
          <w:sz w:val="24"/>
          <w:szCs w:val="24"/>
        </w:rPr>
        <w:t xml:space="preserve">—living too long and outliving your money. They are the mirror image of life insurance.</w:t>
      </w:r>
    </w:p>
    <w:p>
      <w:pPr>
        <w:spacing w:after="200"/>
      </w:pPr>
      <w:r>
        <w:rPr>
          <w:b/>
          <w:bCs/>
          <w:sz w:val="24"/>
          <w:szCs w:val="24"/>
        </w:rPr>
        <w:t xml:space="preserve">How they work: </w:t>
      </w:r>
      <w:r>
        <w:rPr>
          <w:sz w:val="24"/>
          <w:szCs w:val="24"/>
        </w:rPr>
        <w:t xml:space="preserve">You give an insurance company a lump sum (or series of payments). In return, they guarantee income payments for a fixed period or for life, regardless of how long you live.</w:t>
      </w:r>
    </w:p>
    <w:p>
      <w:pPr>
        <w:spacing w:after="200"/>
      </w:pPr>
      <w:r>
        <w:rPr>
          <w:b/>
          <w:bCs/>
          <w:sz w:val="24"/>
          <w:szCs w:val="24"/>
        </w:rPr>
        <w:t xml:space="preserve">Types:</w:t>
      </w:r>
    </w:p>
    <w:p>
      <w:pPr>
        <w:pStyle w:val="ListParagraph"/>
        <w:numPr>
          <w:ilvl w:val="0"/>
          <w:numId w:val="2"/>
        </w:numPr>
        <w:spacing w:after="100"/>
      </w:pPr>
      <w:r>
        <w:rPr>
          <w:b/>
          <w:bCs/>
          <w:sz w:val="24"/>
          <w:szCs w:val="24"/>
        </w:rPr>
        <w:t xml:space="preserve">Immediate annuities: </w:t>
      </w:r>
      <w:r>
        <w:rPr>
          <w:sz w:val="24"/>
          <w:szCs w:val="24"/>
        </w:rPr>
        <w:t xml:space="preserve">Payments start immediately after purchase.</w:t>
      </w:r>
    </w:p>
    <w:p>
      <w:pPr>
        <w:pStyle w:val="ListParagraph"/>
        <w:numPr>
          <w:ilvl w:val="0"/>
          <w:numId w:val="2"/>
        </w:numPr>
        <w:spacing w:after="100"/>
      </w:pPr>
      <w:r>
        <w:rPr>
          <w:b/>
          <w:bCs/>
          <w:sz w:val="24"/>
          <w:szCs w:val="24"/>
        </w:rPr>
        <w:t xml:space="preserve">Deferred annuities: </w:t>
      </w:r>
      <w:r>
        <w:rPr>
          <w:sz w:val="24"/>
          <w:szCs w:val="24"/>
        </w:rPr>
        <w:t xml:space="preserve">Payments start at a future date, allowing the principal to grow.</w:t>
      </w:r>
    </w:p>
    <w:p>
      <w:pPr>
        <w:pStyle w:val="ListParagraph"/>
        <w:numPr>
          <w:ilvl w:val="0"/>
          <w:numId w:val="2"/>
        </w:numPr>
        <w:spacing w:after="100"/>
      </w:pPr>
      <w:r>
        <w:rPr>
          <w:b/>
          <w:bCs/>
          <w:sz w:val="24"/>
          <w:szCs w:val="24"/>
        </w:rPr>
        <w:t xml:space="preserve">Fixed annuities: </w:t>
      </w:r>
      <w:r>
        <w:rPr>
          <w:sz w:val="24"/>
          <w:szCs w:val="24"/>
        </w:rPr>
        <w:t xml:space="preserve">Guaranteed interest rate, predictable payments.</w:t>
      </w:r>
    </w:p>
    <w:p>
      <w:pPr>
        <w:pStyle w:val="ListParagraph"/>
        <w:numPr>
          <w:ilvl w:val="0"/>
          <w:numId w:val="2"/>
        </w:numPr>
        <w:spacing w:after="200"/>
      </w:pPr>
      <w:r>
        <w:rPr>
          <w:b/>
          <w:bCs/>
          <w:sz w:val="24"/>
          <w:szCs w:val="24"/>
        </w:rPr>
        <w:t xml:space="preserve">Variable annuities: </w:t>
      </w:r>
      <w:r>
        <w:rPr>
          <w:sz w:val="24"/>
          <w:szCs w:val="24"/>
        </w:rPr>
        <w:t xml:space="preserve">Payments tied to investment performance. Higher potential returns, more risk.</w:t>
      </w:r>
    </w:p>
    <w:p>
      <w:pPr>
        <w:spacing w:after="200"/>
      </w:pPr>
      <w:r>
        <w:rPr>
          <w:b/>
          <w:bCs/>
          <w:sz w:val="24"/>
          <w:szCs w:val="24"/>
        </w:rPr>
        <w:t xml:space="preserve">Key distinction from life insurance: </w:t>
      </w:r>
      <w:r>
        <w:rPr>
          <w:sz w:val="24"/>
          <w:szCs w:val="24"/>
        </w:rPr>
        <w:t xml:space="preserve">Annuities typically don't require health underwriting. Anyone can buy one. This is because the insurer benefits if you die early (they keep remaining principal), unlike life insurance.</w:t>
      </w:r>
    </w:p>
    <w:p>
      <w:pPr>
        <w:spacing w:after="400"/>
      </w:pPr>
      <w:r>
        <w:rPr>
          <w:b/>
          <w:bCs/>
          <w:i/>
          <w:iCs/>
          <w:sz w:val="24"/>
          <w:szCs w:val="24"/>
        </w:rPr>
        <w:t xml:space="preserve">Strategic insight: </w:t>
      </w:r>
      <w:r>
        <w:rPr>
          <w:i/>
          <w:iCs/>
          <w:sz w:val="24"/>
          <w:szCs w:val="24"/>
        </w:rPr>
        <w:t xml:space="preserve">Life insurance and annuities can be combined strategically—life insurance to protect heirs, annuities to protect yourself. Together, they address both sides of longevity uncertainty.</w:t>
      </w:r>
    </w:p>
    <w:p>
      <w:pPr>
        <w:pStyle w:val="Heading2"/>
      </w:pPr>
      <w:r>
        <w:t xml:space="preserve">3.4 Lloyd's of London</w:t>
      </w:r>
    </w:p>
    <w:p>
      <w:pPr>
        <w:spacing w:after="200"/>
      </w:pPr>
      <w:r>
        <w:rPr>
          <w:sz w:val="24"/>
          <w:szCs w:val="24"/>
        </w:rPr>
        <w:t xml:space="preserve">Lloyd's is not an insurance company—it is a marketplace where insurance is bought and sold. Understanding Lloyd's reveals the architecture of risk itself.</w:t>
      </w:r>
    </w:p>
    <w:p>
      <w:pPr>
        <w:spacing w:after="200"/>
      </w:pPr>
      <w:r>
        <w:rPr>
          <w:b/>
          <w:bCs/>
          <w:sz w:val="24"/>
          <w:szCs w:val="24"/>
        </w:rPr>
        <w:t xml:space="preserve">History: </w:t>
      </w:r>
      <w:r>
        <w:rPr>
          <w:sz w:val="24"/>
          <w:szCs w:val="24"/>
        </w:rPr>
        <w:t xml:space="preserve">Began in Edward Lloyd's coffee house in the late 1680s. Merchants and ship captains gathered to share intelligence and place bets (insurance) on maritime ventures. Formalized by the Lloyd's Act of 1871. Now the world's oldest continuously active insurance marketplace.</w:t>
      </w:r>
    </w:p>
    <w:p>
      <w:pPr>
        <w:spacing w:after="200"/>
      </w:pPr>
      <w:r>
        <w:rPr>
          <w:b/>
          <w:bCs/>
          <w:sz w:val="24"/>
          <w:szCs w:val="24"/>
        </w:rPr>
        <w:t xml:space="preserve">How it works: </w:t>
      </w:r>
    </w:p>
    <w:p>
      <w:pPr>
        <w:pStyle w:val="ListParagraph"/>
        <w:numPr>
          <w:ilvl w:val="0"/>
          <w:numId w:val="2"/>
        </w:numPr>
        <w:spacing w:after="100"/>
      </w:pPr>
      <w:r>
        <w:rPr>
          <w:b/>
          <w:bCs/>
          <w:sz w:val="24"/>
          <w:szCs w:val="24"/>
        </w:rPr>
        <w:t xml:space="preserve">Syndicates: </w:t>
      </w:r>
      <w:r>
        <w:rPr>
          <w:sz w:val="24"/>
          <w:szCs w:val="24"/>
        </w:rPr>
        <w:t xml:space="preserve">Groups of underwriters who pool capital to write policies.</w:t>
      </w:r>
    </w:p>
    <w:p>
      <w:pPr>
        <w:pStyle w:val="ListParagraph"/>
        <w:numPr>
          <w:ilvl w:val="0"/>
          <w:numId w:val="2"/>
        </w:numPr>
        <w:spacing w:after="100"/>
      </w:pPr>
      <w:r>
        <w:rPr>
          <w:b/>
          <w:bCs/>
          <w:sz w:val="24"/>
          <w:szCs w:val="24"/>
        </w:rPr>
        <w:t xml:space="preserve">Names: </w:t>
      </w:r>
      <w:r>
        <w:rPr>
          <w:sz w:val="24"/>
          <w:szCs w:val="24"/>
        </w:rPr>
        <w:t xml:space="preserve">Individual or corporate members who provide the capital backing the syndicates. They share in profits and losses.</w:t>
      </w:r>
    </w:p>
    <w:p>
      <w:pPr>
        <w:pStyle w:val="ListParagraph"/>
        <w:numPr>
          <w:ilvl w:val="0"/>
          <w:numId w:val="2"/>
        </w:numPr>
        <w:spacing w:after="100"/>
      </w:pPr>
      <w:r>
        <w:rPr>
          <w:b/>
          <w:bCs/>
          <w:sz w:val="24"/>
          <w:szCs w:val="24"/>
        </w:rPr>
        <w:t xml:space="preserve">Brokers: </w:t>
      </w:r>
      <w:r>
        <w:rPr>
          <w:sz w:val="24"/>
          <w:szCs w:val="24"/>
        </w:rPr>
        <w:t xml:space="preserve">Bring risks to the marketplace and negotiate coverage with underwriters.</w:t>
      </w:r>
    </w:p>
    <w:p>
      <w:pPr>
        <w:pStyle w:val="ListParagraph"/>
        <w:numPr>
          <w:ilvl w:val="0"/>
          <w:numId w:val="2"/>
        </w:numPr>
        <w:spacing w:after="200"/>
      </w:pPr>
      <w:r>
        <w:rPr>
          <w:b/>
          <w:bCs/>
          <w:sz w:val="24"/>
          <w:szCs w:val="24"/>
        </w:rPr>
        <w:t xml:space="preserve">Subscription: </w:t>
      </w:r>
      <w:r>
        <w:rPr>
          <w:sz w:val="24"/>
          <w:szCs w:val="24"/>
        </w:rPr>
        <w:t xml:space="preserve">A single risk is often split among multiple syndicates—each takes a percentage of the premium and a percentage of any claims.</w:t>
      </w:r>
    </w:p>
    <w:p>
      <w:pPr>
        <w:spacing w:after="200"/>
      </w:pPr>
      <w:r>
        <w:rPr>
          <w:b/>
          <w:bCs/>
          <w:sz w:val="24"/>
          <w:szCs w:val="24"/>
        </w:rPr>
        <w:t xml:space="preserve">What Lloyd's insures: </w:t>
      </w:r>
      <w:r>
        <w:rPr>
          <w:sz w:val="24"/>
          <w:szCs w:val="24"/>
        </w:rPr>
        <w:t xml:space="preserve">Specialized and unusual risks that standard insurers won't touch—political risk, kidnap and ransom, satellite launches, oil platforms, marine cargo, catastrophe reinsurance. Lloyd's writes over £50 billion in premiums annually across 200+ lines of business.</w:t>
      </w:r>
    </w:p>
    <w:p>
      <w:pPr>
        <w:spacing w:after="400"/>
      </w:pPr>
      <w:r>
        <w:rPr>
          <w:b/>
          <w:bCs/>
          <w:i/>
          <w:iCs/>
          <w:sz w:val="24"/>
          <w:szCs w:val="24"/>
        </w:rPr>
        <w:t xml:space="preserve">Strategic relevance: </w:t>
      </w:r>
      <w:r>
        <w:rPr>
          <w:i/>
          <w:iCs/>
          <w:sz w:val="24"/>
          <w:szCs w:val="24"/>
        </w:rPr>
        <w:t xml:space="preserve">Lloyd's demonstrates how risk is distributed through markets. The syndicate model—pooling capital from multiple sources to absorb risk—is applicable far beyond insurance.</w:t>
      </w:r>
    </w:p>
    <w:p>
      <w:r>
        <w:br w:type="page"/>
      </w:r>
    </w:p>
    <w:p>
      <w:pPr>
        <w:pStyle w:val="Heading1"/>
      </w:pPr>
      <w:r>
        <w:t xml:space="preserve">Part IV: The Investment Landscape</w:t>
      </w:r>
    </w:p>
    <w:p>
      <w:pPr>
        <w:spacing w:after="300"/>
      </w:pPr>
      <w:r>
        <w:rPr>
          <w:sz w:val="24"/>
          <w:szCs w:val="24"/>
        </w:rPr>
        <w:t xml:space="preserve">Investment management is not one thing. The term encompasses radically different approaches, fee structures, risk profiles, and accessibility levels.</w:t>
      </w:r>
    </w:p>
    <w:p>
      <w:pPr>
        <w:pStyle w:val="Heading2"/>
      </w:pPr>
      <w:r>
        <w:t xml:space="preserve">4.1 Asset Management</w:t>
      </w:r>
    </w:p>
    <w:p>
      <w:pPr>
        <w:spacing w:after="200"/>
      </w:pPr>
      <w:r>
        <w:rPr>
          <w:b/>
          <w:bCs/>
          <w:sz w:val="24"/>
          <w:szCs w:val="24"/>
        </w:rPr>
        <w:t xml:space="preserve">What it is: </w:t>
      </w:r>
      <w:r>
        <w:rPr>
          <w:sz w:val="24"/>
          <w:szCs w:val="24"/>
        </w:rPr>
        <w:t xml:space="preserve">Professional management of investment portfolios on behalf of clients. Asset managers buy, sell, and monitor investments according to defined strategies and client objectives.</w:t>
      </w:r>
    </w:p>
    <w:p>
      <w:pPr>
        <w:spacing w:after="200"/>
      </w:pPr>
      <w:r>
        <w:rPr>
          <w:b/>
          <w:bCs/>
          <w:sz w:val="24"/>
          <w:szCs w:val="24"/>
        </w:rPr>
        <w:t xml:space="preserve">Clients: </w:t>
      </w:r>
      <w:r>
        <w:rPr>
          <w:sz w:val="24"/>
          <w:szCs w:val="24"/>
        </w:rPr>
        <w:t xml:space="preserve">Institutional investors (pension funds, endowments, sovereign wealth funds, insurance companies), high-net-worth individuals, and retail investors (through mutual funds and ETFs).</w:t>
      </w:r>
    </w:p>
    <w:p>
      <w:pPr>
        <w:spacing w:after="200"/>
      </w:pPr>
      <w:r>
        <w:rPr>
          <w:b/>
          <w:bCs/>
          <w:sz w:val="24"/>
          <w:szCs w:val="24"/>
        </w:rPr>
        <w:t xml:space="preserve">Asset classes: </w:t>
      </w:r>
      <w:r>
        <w:rPr>
          <w:sz w:val="24"/>
          <w:szCs w:val="24"/>
        </w:rPr>
        <w:t xml:space="preserve">Equities (stocks), fixed income (bonds), real estate, commodities, alternatives (hedge funds, private equity).</w:t>
      </w:r>
    </w:p>
    <w:p>
      <w:pPr>
        <w:spacing w:after="200"/>
      </w:pPr>
      <w:r>
        <w:rPr>
          <w:b/>
          <w:bCs/>
          <w:sz w:val="24"/>
          <w:szCs w:val="24"/>
        </w:rPr>
        <w:t xml:space="preserve">Fee structure: </w:t>
      </w:r>
      <w:r>
        <w:rPr>
          <w:sz w:val="24"/>
          <w:szCs w:val="24"/>
        </w:rPr>
        <w:t xml:space="preserve">Typically a percentage of assets under management (AUM)—commonly 0.25% to 1.5% annually. This aligns manager incentives with growing client wealth.</w:t>
      </w:r>
    </w:p>
    <w:p>
      <w:pPr>
        <w:spacing w:after="200"/>
      </w:pPr>
      <w:r>
        <w:rPr>
          <w:b/>
          <w:bCs/>
          <w:sz w:val="24"/>
          <w:szCs w:val="24"/>
        </w:rPr>
        <w:t xml:space="preserve">The giants: </w:t>
      </w:r>
      <w:r>
        <w:rPr>
          <w:sz w:val="24"/>
          <w:szCs w:val="24"/>
        </w:rPr>
        <w:t xml:space="preserve">BlackRock ($10+ trillion AUM), Vanguard ($8+ trillion), Fidelity, State Street. These firms manage more assets than the GDP of most countries.</w:t>
      </w:r>
    </w:p>
    <w:p>
      <w:pPr>
        <w:spacing w:after="400"/>
      </w:pPr>
      <w:r>
        <w:rPr>
          <w:b/>
          <w:bCs/>
          <w:i/>
          <w:iCs/>
          <w:sz w:val="24"/>
          <w:szCs w:val="24"/>
        </w:rPr>
        <w:t xml:space="preserve">Key distinction: </w:t>
      </w:r>
      <w:r>
        <w:rPr>
          <w:i/>
          <w:iCs/>
          <w:sz w:val="24"/>
          <w:szCs w:val="24"/>
        </w:rPr>
        <w:t xml:space="preserve">Asset management typically invests in publicly traded, liquid securities. Positions can be bought and sold daily. This distinguishes it from private equity and hedge funds.</w:t>
      </w:r>
    </w:p>
    <w:p>
      <w:pPr>
        <w:pStyle w:val="Heading2"/>
      </w:pPr>
      <w:r>
        <w:t xml:space="preserve">4.2 Wealth Management</w:t>
      </w:r>
    </w:p>
    <w:p>
      <w:pPr>
        <w:spacing w:after="200"/>
      </w:pPr>
      <w:r>
        <w:rPr>
          <w:b/>
          <w:bCs/>
          <w:sz w:val="24"/>
          <w:szCs w:val="24"/>
        </w:rPr>
        <w:t xml:space="preserve">What it is: </w:t>
      </w:r>
      <w:r>
        <w:rPr>
          <w:sz w:val="24"/>
          <w:szCs w:val="24"/>
        </w:rPr>
        <w:t xml:space="preserve">Asset management plus comprehensive financial planning. Wealth management goes beyond investment selection to include tax planning, estate planning, retirement planning, insurance analysis, and often coordination of other professionals (attorneys, CPAs).</w:t>
      </w:r>
    </w:p>
    <w:p>
      <w:pPr>
        <w:spacing w:after="200"/>
      </w:pPr>
      <w:r>
        <w:rPr>
          <w:b/>
          <w:bCs/>
          <w:sz w:val="24"/>
          <w:szCs w:val="24"/>
        </w:rPr>
        <w:t xml:space="preserve">The distinction: </w:t>
      </w:r>
      <w:r>
        <w:rPr>
          <w:sz w:val="24"/>
          <w:szCs w:val="24"/>
        </w:rPr>
        <w:t xml:space="preserve">Asset management focuses on growing the portfolio. Wealth management focuses on the client's entire financial life—protecting wealth, transferring it efficiently, minimizing taxes, ensuring it serves the client's goals.</w:t>
      </w:r>
    </w:p>
    <w:p>
      <w:pPr>
        <w:spacing w:after="400"/>
      </w:pPr>
      <w:r>
        <w:rPr>
          <w:b/>
          <w:bCs/>
          <w:i/>
          <w:iCs/>
          <w:sz w:val="24"/>
          <w:szCs w:val="24"/>
        </w:rPr>
        <w:t xml:space="preserve">Strategic insight: </w:t>
      </w:r>
      <w:r>
        <w:rPr>
          <w:i/>
          <w:iCs/>
          <w:sz w:val="24"/>
          <w:szCs w:val="24"/>
        </w:rPr>
        <w:t xml:space="preserve">The difference between asset management and wealth management is the difference between portfolio performance and life outcomes. A family can have excellent investment returns and still suffer wealth destruction through poor planning.</w:t>
      </w:r>
    </w:p>
    <w:p>
      <w:pPr>
        <w:pStyle w:val="Heading2"/>
      </w:pPr>
      <w:r>
        <w:t xml:space="preserve">4.3 Hedge Funds</w:t>
      </w:r>
    </w:p>
    <w:p>
      <w:pPr>
        <w:spacing w:after="200"/>
      </w:pPr>
      <w:r>
        <w:rPr>
          <w:b/>
          <w:bCs/>
          <w:sz w:val="24"/>
          <w:szCs w:val="24"/>
        </w:rPr>
        <w:t xml:space="preserve">What they are: </w:t>
      </w:r>
      <w:r>
        <w:rPr>
          <w:sz w:val="24"/>
          <w:szCs w:val="24"/>
        </w:rPr>
        <w:t xml:space="preserve">Pooled investment vehicles using sophisticated strategies to generate returns regardless of market direction. The name comes from the original concept of "hedging"—offsetting risk—but modern hedge funds pursue diverse strategies.</w:t>
      </w:r>
    </w:p>
    <w:p>
      <w:pPr>
        <w:spacing w:after="200"/>
      </w:pPr>
      <w:r>
        <w:rPr>
          <w:b/>
          <w:bCs/>
          <w:sz w:val="24"/>
          <w:szCs w:val="24"/>
        </w:rPr>
        <w:t xml:space="preserve">Key characteristics: </w:t>
      </w:r>
    </w:p>
    <w:p>
      <w:pPr>
        <w:pStyle w:val="ListParagraph"/>
        <w:numPr>
          <w:ilvl w:val="0"/>
          <w:numId w:val="2"/>
        </w:numPr>
        <w:spacing w:after="100"/>
      </w:pPr>
      <w:r>
        <w:rPr>
          <w:b/>
          <w:bCs/>
          <w:sz w:val="24"/>
          <w:szCs w:val="24"/>
        </w:rPr>
        <w:t xml:space="preserve">Accredited investors only: </w:t>
      </w:r>
      <w:r>
        <w:rPr>
          <w:sz w:val="24"/>
          <w:szCs w:val="24"/>
        </w:rPr>
        <w:t xml:space="preserve">Restricted to high-net-worth individuals and institutions due to risk and regulatory exemptions.</w:t>
      </w:r>
    </w:p>
    <w:p>
      <w:pPr>
        <w:pStyle w:val="ListParagraph"/>
        <w:numPr>
          <w:ilvl w:val="0"/>
          <w:numId w:val="2"/>
        </w:numPr>
        <w:spacing w:after="100"/>
      </w:pPr>
      <w:r>
        <w:rPr>
          <w:b/>
          <w:bCs/>
          <w:sz w:val="24"/>
          <w:szCs w:val="24"/>
        </w:rPr>
        <w:t xml:space="preserve">Leverage: </w:t>
      </w:r>
      <w:r>
        <w:rPr>
          <w:sz w:val="24"/>
          <w:szCs w:val="24"/>
        </w:rPr>
        <w:t xml:space="preserve">Hedge funds can borrow to amplify returns (and risks).</w:t>
      </w:r>
    </w:p>
    <w:p>
      <w:pPr>
        <w:pStyle w:val="ListParagraph"/>
        <w:numPr>
          <w:ilvl w:val="0"/>
          <w:numId w:val="2"/>
        </w:numPr>
        <w:spacing w:after="100"/>
      </w:pPr>
      <w:r>
        <w:rPr>
          <w:b/>
          <w:bCs/>
          <w:sz w:val="24"/>
          <w:szCs w:val="24"/>
        </w:rPr>
        <w:t xml:space="preserve">Short selling: </w:t>
      </w:r>
      <w:r>
        <w:rPr>
          <w:sz w:val="24"/>
          <w:szCs w:val="24"/>
        </w:rPr>
        <w:t xml:space="preserve">Can profit from declining prices by selling borrowed securities.</w:t>
      </w:r>
    </w:p>
    <w:p>
      <w:pPr>
        <w:pStyle w:val="ListParagraph"/>
        <w:numPr>
          <w:ilvl w:val="0"/>
          <w:numId w:val="2"/>
        </w:numPr>
        <w:spacing w:after="100"/>
      </w:pPr>
      <w:r>
        <w:rPr>
          <w:b/>
          <w:bCs/>
          <w:sz w:val="24"/>
          <w:szCs w:val="24"/>
        </w:rPr>
        <w:t xml:space="preserve">Derivatives: </w:t>
      </w:r>
      <w:r>
        <w:rPr>
          <w:sz w:val="24"/>
          <w:szCs w:val="24"/>
        </w:rPr>
        <w:t xml:space="preserve">Use options, futures, and swaps to construct positions.</w:t>
      </w:r>
    </w:p>
    <w:p>
      <w:pPr>
        <w:pStyle w:val="ListParagraph"/>
        <w:numPr>
          <w:ilvl w:val="0"/>
          <w:numId w:val="2"/>
        </w:numPr>
        <w:spacing w:after="200"/>
      </w:pPr>
      <w:r>
        <w:rPr>
          <w:b/>
          <w:bCs/>
          <w:sz w:val="24"/>
          <w:szCs w:val="24"/>
        </w:rPr>
        <w:t xml:space="preserve">Lock-up periods: </w:t>
      </w:r>
      <w:r>
        <w:rPr>
          <w:sz w:val="24"/>
          <w:szCs w:val="24"/>
        </w:rPr>
        <w:t xml:space="preserve">Investors often cannot withdraw capital for months or years.</w:t>
      </w:r>
    </w:p>
    <w:p>
      <w:pPr>
        <w:spacing w:after="200"/>
      </w:pPr>
      <w:r>
        <w:rPr>
          <w:b/>
          <w:bCs/>
          <w:sz w:val="24"/>
          <w:szCs w:val="24"/>
        </w:rPr>
        <w:t xml:space="preserve">Fee structure: </w:t>
      </w:r>
      <w:r>
        <w:rPr>
          <w:sz w:val="24"/>
          <w:szCs w:val="24"/>
        </w:rPr>
        <w:t xml:space="preserve">The classic "2 and 20"—2% management fee plus 20% of profits. This structure has compressed in recent years, but hedge fund fees remain much higher than traditional asset management.</w:t>
      </w:r>
    </w:p>
    <w:p>
      <w:pPr>
        <w:spacing w:after="200"/>
      </w:pPr>
      <w:r>
        <w:rPr>
          <w:b/>
          <w:bCs/>
          <w:sz w:val="24"/>
          <w:szCs w:val="24"/>
        </w:rPr>
        <w:t xml:space="preserve">Strategies: </w:t>
      </w:r>
      <w:r>
        <w:rPr>
          <w:sz w:val="24"/>
          <w:szCs w:val="24"/>
        </w:rPr>
        <w:t xml:space="preserve">Long/short equity, global macro, event-driven (merger arbitrage, activist investing), quantitative (algorithmic trading), distressed debt, and many more.</w:t>
      </w:r>
    </w:p>
    <w:p>
      <w:pPr>
        <w:spacing w:after="400"/>
      </w:pPr>
      <w:r>
        <w:rPr>
          <w:b/>
          <w:bCs/>
          <w:i/>
          <w:iCs/>
          <w:sz w:val="24"/>
          <w:szCs w:val="24"/>
        </w:rPr>
        <w:t xml:space="preserve">Absolute return mandate: </w:t>
      </w:r>
      <w:r>
        <w:rPr>
          <w:i/>
          <w:iCs/>
          <w:sz w:val="24"/>
          <w:szCs w:val="24"/>
        </w:rPr>
        <w:t xml:space="preserve">Unlike traditional asset managers who benchmark against indices ("we beat the S&amp;P 500"), hedge funds typically pursue absolute returns—positive performance regardless of market conditions. This is a fundamentally different objective.</w:t>
      </w:r>
    </w:p>
    <w:p>
      <w:pPr>
        <w:pStyle w:val="Heading2"/>
      </w:pPr>
      <w:r>
        <w:t xml:space="preserve">4.4 Private Equity</w:t>
      </w:r>
    </w:p>
    <w:p>
      <w:pPr>
        <w:spacing w:after="200"/>
      </w:pPr>
      <w:r>
        <w:rPr>
          <w:b/>
          <w:bCs/>
          <w:sz w:val="24"/>
          <w:szCs w:val="24"/>
        </w:rPr>
        <w:t xml:space="preserve">What it is: </w:t>
      </w:r>
      <w:r>
        <w:rPr>
          <w:sz w:val="24"/>
          <w:szCs w:val="24"/>
        </w:rPr>
        <w:t xml:space="preserve">Investment in companies that are not publicly traded on stock exchanges. Private equity firms raise capital from institutional investors, acquire ownership stakes in private companies, improve them, and sell for profit.</w:t>
      </w:r>
    </w:p>
    <w:p>
      <w:pPr>
        <w:spacing w:after="200"/>
      </w:pPr>
      <w:r>
        <w:rPr>
          <w:b/>
          <w:bCs/>
          <w:sz w:val="24"/>
          <w:szCs w:val="24"/>
        </w:rPr>
        <w:t xml:space="preserve">Types:</w:t>
      </w:r>
    </w:p>
    <w:p>
      <w:pPr>
        <w:pStyle w:val="ListParagraph"/>
        <w:numPr>
          <w:ilvl w:val="0"/>
          <w:numId w:val="2"/>
        </w:numPr>
        <w:spacing w:after="100"/>
      </w:pPr>
      <w:r>
        <w:rPr>
          <w:b/>
          <w:bCs/>
          <w:sz w:val="24"/>
          <w:szCs w:val="24"/>
        </w:rPr>
        <w:t xml:space="preserve">Buyouts: </w:t>
      </w:r>
      <w:r>
        <w:rPr>
          <w:sz w:val="24"/>
          <w:szCs w:val="24"/>
        </w:rPr>
        <w:t xml:space="preserve">Acquiring controlling stakes in mature companies, often using leverage (debt). Classic LBO (leveraged buyout) model.</w:t>
      </w:r>
    </w:p>
    <w:p>
      <w:pPr>
        <w:pStyle w:val="ListParagraph"/>
        <w:numPr>
          <w:ilvl w:val="0"/>
          <w:numId w:val="2"/>
        </w:numPr>
        <w:spacing w:after="100"/>
      </w:pPr>
      <w:r>
        <w:rPr>
          <w:b/>
          <w:bCs/>
          <w:sz w:val="24"/>
          <w:szCs w:val="24"/>
        </w:rPr>
        <w:t xml:space="preserve">Growth equity: </w:t>
      </w:r>
      <w:r>
        <w:rPr>
          <w:sz w:val="24"/>
          <w:szCs w:val="24"/>
        </w:rPr>
        <w:t xml:space="preserve">Minority investments in established companies seeking capital to expand.</w:t>
      </w:r>
    </w:p>
    <w:p>
      <w:pPr>
        <w:pStyle w:val="ListParagraph"/>
        <w:numPr>
          <w:ilvl w:val="0"/>
          <w:numId w:val="2"/>
        </w:numPr>
        <w:spacing w:after="100"/>
      </w:pPr>
      <w:r>
        <w:rPr>
          <w:b/>
          <w:bCs/>
          <w:sz w:val="24"/>
          <w:szCs w:val="24"/>
        </w:rPr>
        <w:t xml:space="preserve">Venture capital: </w:t>
      </w:r>
      <w:r>
        <w:rPr>
          <w:sz w:val="24"/>
          <w:szCs w:val="24"/>
        </w:rPr>
        <w:t xml:space="preserve">Investing in early-stage startups. Higher risk, potentially higher returns.</w:t>
      </w:r>
    </w:p>
    <w:p>
      <w:pPr>
        <w:pStyle w:val="ListParagraph"/>
        <w:numPr>
          <w:ilvl w:val="0"/>
          <w:numId w:val="2"/>
        </w:numPr>
        <w:spacing w:after="200"/>
      </w:pPr>
      <w:r>
        <w:rPr>
          <w:b/>
          <w:bCs/>
          <w:sz w:val="24"/>
          <w:szCs w:val="24"/>
        </w:rPr>
        <w:t xml:space="preserve">Distressed/turnaround: </w:t>
      </w:r>
      <w:r>
        <w:rPr>
          <w:sz w:val="24"/>
          <w:szCs w:val="24"/>
        </w:rPr>
        <w:t xml:space="preserve">Investing in troubled companies at discounted prices, restructuring them.</w:t>
      </w:r>
    </w:p>
    <w:p>
      <w:pPr>
        <w:spacing w:after="200"/>
      </w:pPr>
      <w:r>
        <w:rPr>
          <w:b/>
          <w:bCs/>
          <w:sz w:val="24"/>
          <w:szCs w:val="24"/>
        </w:rPr>
        <w:t xml:space="preserve">Key characteristics: </w:t>
      </w:r>
    </w:p>
    <w:p>
      <w:pPr>
        <w:pStyle w:val="ListParagraph"/>
        <w:numPr>
          <w:ilvl w:val="0"/>
          <w:numId w:val="2"/>
        </w:numPr>
        <w:spacing w:after="100"/>
      </w:pPr>
      <w:r>
        <w:rPr>
          <w:b/>
          <w:bCs/>
          <w:sz w:val="24"/>
          <w:szCs w:val="24"/>
        </w:rPr>
        <w:t xml:space="preserve">Illiquidity: </w:t>
      </w:r>
      <w:r>
        <w:rPr>
          <w:sz w:val="24"/>
          <w:szCs w:val="24"/>
        </w:rPr>
        <w:t xml:space="preserve">Capital is locked up for 7-10+ years. You cannot sell easily.</w:t>
      </w:r>
    </w:p>
    <w:p>
      <w:pPr>
        <w:pStyle w:val="ListParagraph"/>
        <w:numPr>
          <w:ilvl w:val="0"/>
          <w:numId w:val="2"/>
        </w:numPr>
        <w:spacing w:after="100"/>
      </w:pPr>
      <w:r>
        <w:rPr>
          <w:b/>
          <w:bCs/>
          <w:sz w:val="24"/>
          <w:szCs w:val="24"/>
        </w:rPr>
        <w:t xml:space="preserve">Active ownership: </w:t>
      </w:r>
      <w:r>
        <w:rPr>
          <w:sz w:val="24"/>
          <w:szCs w:val="24"/>
        </w:rPr>
        <w:t xml:space="preserve">PE firms don't just invest—they actively manage companies, install leadership, drive operational improvements.</w:t>
      </w:r>
    </w:p>
    <w:p>
      <w:pPr>
        <w:pStyle w:val="ListParagraph"/>
        <w:numPr>
          <w:ilvl w:val="0"/>
          <w:numId w:val="2"/>
        </w:numPr>
        <w:spacing w:after="200"/>
      </w:pPr>
      <w:r>
        <w:rPr>
          <w:b/>
          <w:bCs/>
          <w:sz w:val="24"/>
          <w:szCs w:val="24"/>
        </w:rPr>
        <w:t xml:space="preserve">J-curve: </w:t>
      </w:r>
      <w:r>
        <w:rPr>
          <w:sz w:val="24"/>
          <w:szCs w:val="24"/>
        </w:rPr>
        <w:t xml:space="preserve">Returns typically negative in early years (fees, write-downs) before turning positive as investments mature.</w:t>
      </w:r>
    </w:p>
    <w:p>
      <w:pPr>
        <w:spacing w:after="400"/>
      </w:pPr>
      <w:r>
        <w:rPr>
          <w:b/>
          <w:bCs/>
          <w:i/>
          <w:iCs/>
          <w:sz w:val="24"/>
          <w:szCs w:val="24"/>
        </w:rPr>
        <w:t xml:space="preserve">Strategic insight: </w:t>
      </w:r>
      <w:r>
        <w:rPr>
          <w:i/>
          <w:iCs/>
          <w:sz w:val="24"/>
          <w:szCs w:val="24"/>
        </w:rPr>
        <w:t xml:space="preserve">Private equity represents a different philosophy: ownership creates value. By taking companies private, improving operations, and controlling the exit, PE firms aim to generate returns unavailable in public markets.</w:t>
      </w:r>
    </w:p>
    <w:p>
      <w:r>
        <w:br w:type="page"/>
      </w:r>
    </w:p>
    <w:p>
      <w:pPr>
        <w:pStyle w:val="Heading1"/>
      </w:pPr>
      <w:r>
        <w:t xml:space="preserve">Part V: Liquidity—The Oxygen of Finance</w:t>
      </w:r>
    </w:p>
    <w:p>
      <w:pPr>
        <w:spacing w:after="300"/>
      </w:pPr>
      <w:r>
        <w:rPr>
          <w:sz w:val="24"/>
          <w:szCs w:val="24"/>
        </w:rPr>
        <w:t xml:space="preserve">Liquidity is the ability to convert assets into cash quickly, at predictable prices, without significant loss. It is the single most important factor in financial survival.</w:t>
      </w:r>
    </w:p>
    <w:p>
      <w:pPr>
        <w:spacing w:after="400"/>
      </w:pPr>
      <w:r>
        <w:rPr>
          <w:i/>
          <w:iCs/>
          <w:color w:val="C9A962"/>
          <w:sz w:val="28"/>
          <w:szCs w:val="28"/>
        </w:rPr>
        <w:t xml:space="preserve">"Cash is oxygen. Everything else is optional."</w:t>
      </w:r>
    </w:p>
    <w:p>
      <w:pPr>
        <w:pStyle w:val="Heading2"/>
      </w:pPr>
      <w:r>
        <w:t xml:space="preserve">5.1 Cash and Cash Equivalents</w:t>
      </w:r>
    </w:p>
    <w:p>
      <w:pPr>
        <w:spacing w:after="200"/>
      </w:pPr>
      <w:r>
        <w:rPr>
          <w:b/>
          <w:bCs/>
          <w:sz w:val="24"/>
          <w:szCs w:val="24"/>
        </w:rPr>
        <w:t xml:space="preserve">Cash: </w:t>
      </w:r>
      <w:r>
        <w:rPr>
          <w:sz w:val="24"/>
          <w:szCs w:val="24"/>
        </w:rPr>
        <w:t xml:space="preserve">Physical currency plus deposits in bank accounts immediately available for use. No conversion required.</w:t>
      </w:r>
    </w:p>
    <w:p>
      <w:pPr>
        <w:spacing w:after="200"/>
      </w:pPr>
      <w:r>
        <w:rPr>
          <w:b/>
          <w:bCs/>
          <w:sz w:val="24"/>
          <w:szCs w:val="24"/>
        </w:rPr>
        <w:t xml:space="preserve">Cash equivalents: </w:t>
      </w:r>
      <w:r>
        <w:rPr>
          <w:sz w:val="24"/>
          <w:szCs w:val="24"/>
        </w:rPr>
        <w:t xml:space="preserve">Short-term, highly liquid investments with maturities of 90 days or less that can be converted to known amounts of cash with negligible risk. These include:</w:t>
      </w:r>
    </w:p>
    <w:p>
      <w:pPr>
        <w:pStyle w:val="ListParagraph"/>
        <w:numPr>
          <w:ilvl w:val="0"/>
          <w:numId w:val="2"/>
        </w:numPr>
        <w:spacing w:after="100"/>
      </w:pPr>
      <w:r>
        <w:rPr>
          <w:b/>
          <w:bCs/>
          <w:sz w:val="24"/>
          <w:szCs w:val="24"/>
        </w:rPr>
        <w:t xml:space="preserve">Treasury bills (T-bills): </w:t>
      </w:r>
      <w:r>
        <w:rPr>
          <w:sz w:val="24"/>
          <w:szCs w:val="24"/>
        </w:rPr>
        <w:t xml:space="preserve">Short-term US government securities. Considered risk-free.</w:t>
      </w:r>
    </w:p>
    <w:p>
      <w:pPr>
        <w:pStyle w:val="ListParagraph"/>
        <w:numPr>
          <w:ilvl w:val="0"/>
          <w:numId w:val="2"/>
        </w:numPr>
        <w:spacing w:after="100"/>
      </w:pPr>
      <w:r>
        <w:rPr>
          <w:b/>
          <w:bCs/>
          <w:sz w:val="24"/>
          <w:szCs w:val="24"/>
        </w:rPr>
        <w:t xml:space="preserve">Commercial paper: </w:t>
      </w:r>
      <w:r>
        <w:rPr>
          <w:sz w:val="24"/>
          <w:szCs w:val="24"/>
        </w:rPr>
        <w:t xml:space="preserve">Short-term unsecured debt issued by corporations. Higher yield than T-bills, slightly higher risk.</w:t>
      </w:r>
    </w:p>
    <w:p>
      <w:pPr>
        <w:pStyle w:val="ListParagraph"/>
        <w:numPr>
          <w:ilvl w:val="0"/>
          <w:numId w:val="2"/>
        </w:numPr>
        <w:spacing w:after="100"/>
      </w:pPr>
      <w:r>
        <w:rPr>
          <w:b/>
          <w:bCs/>
          <w:sz w:val="24"/>
          <w:szCs w:val="24"/>
        </w:rPr>
        <w:t xml:space="preserve">Money market funds: </w:t>
      </w:r>
      <w:r>
        <w:rPr>
          <w:sz w:val="24"/>
          <w:szCs w:val="24"/>
        </w:rPr>
        <w:t xml:space="preserve">Mutual funds investing in short-term debt securities. Offer liquidity with modest returns.</w:t>
      </w:r>
    </w:p>
    <w:p>
      <w:pPr>
        <w:pStyle w:val="ListParagraph"/>
        <w:numPr>
          <w:ilvl w:val="0"/>
          <w:numId w:val="2"/>
        </w:numPr>
        <w:spacing w:after="200"/>
      </w:pPr>
      <w:r>
        <w:rPr>
          <w:b/>
          <w:bCs/>
          <w:sz w:val="24"/>
          <w:szCs w:val="24"/>
        </w:rPr>
        <w:t xml:space="preserve">Certificates of deposit (CDs): </w:t>
      </w:r>
      <w:r>
        <w:rPr>
          <w:sz w:val="24"/>
          <w:szCs w:val="24"/>
        </w:rPr>
        <w:t xml:space="preserve">Bank deposits with fixed terms. Under 90 days to maturity can qualify as cash equivalents.</w:t>
      </w:r>
    </w:p>
    <w:p>
      <w:pPr>
        <w:spacing w:after="400"/>
      </w:pPr>
      <w:r>
        <w:rPr>
          <w:b/>
          <w:bCs/>
          <w:i/>
          <w:iCs/>
          <w:sz w:val="24"/>
          <w:szCs w:val="24"/>
        </w:rPr>
        <w:t xml:space="preserve">The 90-day rule: </w:t>
      </w:r>
      <w:r>
        <w:rPr>
          <w:i/>
          <w:iCs/>
          <w:sz w:val="24"/>
          <w:szCs w:val="24"/>
        </w:rPr>
        <w:t xml:space="preserve">Under GAAP and IFRS accounting standards, an investment only qualifies as a cash equivalent if it matures within 90 days from the date of acquisition—not from original issuance. A 6-month T-bill becomes a cash equivalent only in its final 90 days.</w:t>
      </w:r>
    </w:p>
    <w:p>
      <w:pPr>
        <w:pStyle w:val="Heading2"/>
      </w:pPr>
      <w:r>
        <w:t xml:space="preserve">5.2 The Liquidity Hierarchy</w:t>
      </w:r>
    </w:p>
    <w:p>
      <w:pPr>
        <w:spacing w:after="200"/>
      </w:pPr>
      <w:r>
        <w:rPr>
          <w:sz w:val="24"/>
          <w:szCs w:val="24"/>
        </w:rPr>
        <w:t xml:space="preserve">Assets exist on a liquidity spectrum:</w:t>
      </w:r>
    </w:p>
    <w:p>
      <w:pPr>
        <w:pStyle w:val="ListParagraph"/>
        <w:numPr>
          <w:ilvl w:val="0"/>
          <w:numId w:val="3"/>
        </w:numPr>
        <w:spacing w:after="100"/>
      </w:pPr>
      <w:r>
        <w:rPr>
          <w:b/>
          <w:bCs/>
          <w:sz w:val="24"/>
          <w:szCs w:val="24"/>
        </w:rPr>
        <w:t xml:space="preserve">Cash </w:t>
      </w:r>
      <w:r>
        <w:rPr>
          <w:sz w:val="24"/>
          <w:szCs w:val="24"/>
        </w:rPr>
        <w:t xml:space="preserve">(most liquid)—Immediately available.</w:t>
      </w:r>
    </w:p>
    <w:p>
      <w:pPr>
        <w:pStyle w:val="ListParagraph"/>
        <w:numPr>
          <w:ilvl w:val="0"/>
          <w:numId w:val="3"/>
        </w:numPr>
        <w:spacing w:after="100"/>
      </w:pPr>
      <w:r>
        <w:rPr>
          <w:b/>
          <w:bCs/>
          <w:sz w:val="24"/>
          <w:szCs w:val="24"/>
        </w:rPr>
        <w:t xml:space="preserve">Cash equivalents</w:t>
      </w:r>
      <w:r>
        <w:rPr>
          <w:sz w:val="24"/>
          <w:szCs w:val="24"/>
        </w:rPr>
        <w:t xml:space="preserve">—Convert within days, minimal value loss.</w:t>
      </w:r>
    </w:p>
    <w:p>
      <w:pPr>
        <w:pStyle w:val="ListParagraph"/>
        <w:numPr>
          <w:ilvl w:val="0"/>
          <w:numId w:val="3"/>
        </w:numPr>
        <w:spacing w:after="100"/>
      </w:pPr>
      <w:r>
        <w:rPr>
          <w:b/>
          <w:bCs/>
          <w:sz w:val="24"/>
          <w:szCs w:val="24"/>
        </w:rPr>
        <w:t xml:space="preserve">Marketable securities</w:t>
      </w:r>
      <w:r>
        <w:rPr>
          <w:sz w:val="24"/>
          <w:szCs w:val="24"/>
        </w:rPr>
        <w:t xml:space="preserve">—Publicly traded stocks and bonds. Can sell in minutes during market hours. Price may fluctuate.</w:t>
      </w:r>
    </w:p>
    <w:p>
      <w:pPr>
        <w:pStyle w:val="ListParagraph"/>
        <w:numPr>
          <w:ilvl w:val="0"/>
          <w:numId w:val="3"/>
        </w:numPr>
        <w:spacing w:after="100"/>
      </w:pPr>
      <w:r>
        <w:rPr>
          <w:b/>
          <w:bCs/>
          <w:sz w:val="24"/>
          <w:szCs w:val="24"/>
        </w:rPr>
        <w:t xml:space="preserve">Accounts receivable</w:t>
      </w:r>
      <w:r>
        <w:rPr>
          <w:sz w:val="24"/>
          <w:szCs w:val="24"/>
        </w:rPr>
        <w:t xml:space="preserve">—Money owed to you. Collectible, but timing uncertain.</w:t>
      </w:r>
    </w:p>
    <w:p>
      <w:pPr>
        <w:pStyle w:val="ListParagraph"/>
        <w:numPr>
          <w:ilvl w:val="0"/>
          <w:numId w:val="3"/>
        </w:numPr>
        <w:spacing w:after="100"/>
      </w:pPr>
      <w:r>
        <w:rPr>
          <w:b/>
          <w:bCs/>
          <w:sz w:val="24"/>
          <w:szCs w:val="24"/>
        </w:rPr>
        <w:t xml:space="preserve">Inventory</w:t>
      </w:r>
      <w:r>
        <w:rPr>
          <w:sz w:val="24"/>
          <w:szCs w:val="24"/>
        </w:rPr>
        <w:t xml:space="preserve">—Must be sold, potentially at discount.</w:t>
      </w:r>
    </w:p>
    <w:p>
      <w:pPr>
        <w:pStyle w:val="ListParagraph"/>
        <w:numPr>
          <w:ilvl w:val="0"/>
          <w:numId w:val="3"/>
        </w:numPr>
        <w:spacing w:after="100"/>
      </w:pPr>
      <w:r>
        <w:rPr>
          <w:b/>
          <w:bCs/>
          <w:sz w:val="24"/>
          <w:szCs w:val="24"/>
        </w:rPr>
        <w:t xml:space="preserve">Private investments</w:t>
      </w:r>
      <w:r>
        <w:rPr>
          <w:sz w:val="24"/>
          <w:szCs w:val="24"/>
        </w:rPr>
        <w:t xml:space="preserve">—No public market. Require buyer. Significant time and value loss.</w:t>
      </w:r>
    </w:p>
    <w:p>
      <w:pPr>
        <w:pStyle w:val="ListParagraph"/>
        <w:numPr>
          <w:ilvl w:val="0"/>
          <w:numId w:val="3"/>
        </w:numPr>
        <w:spacing w:after="200"/>
      </w:pPr>
      <w:r>
        <w:rPr>
          <w:b/>
          <w:bCs/>
          <w:sz w:val="24"/>
          <w:szCs w:val="24"/>
        </w:rPr>
        <w:t xml:space="preserve">Real estate </w:t>
      </w:r>
      <w:r>
        <w:rPr>
          <w:sz w:val="24"/>
          <w:szCs w:val="24"/>
        </w:rPr>
        <w:t xml:space="preserve">(least liquid)—Requires months to sell, transaction costs, uncertain pricing.</w:t>
      </w:r>
    </w:p>
    <w:p>
      <w:pPr>
        <w:spacing w:after="400"/>
      </w:pPr>
      <w:r>
        <w:rPr>
          <w:b/>
          <w:bCs/>
          <w:i/>
          <w:iCs/>
          <w:sz w:val="24"/>
          <w:szCs w:val="24"/>
        </w:rPr>
        <w:t xml:space="preserve">The liquidity premium: </w:t>
      </w:r>
      <w:r>
        <w:rPr>
          <w:i/>
          <w:iCs/>
          <w:sz w:val="24"/>
          <w:szCs w:val="24"/>
        </w:rPr>
        <w:t xml:space="preserve">Less liquid assets typically offer higher returns to compensate for the inability to access capital quickly. Private equity expects to outperform public markets partly because your money is locked up for a decade.</w:t>
      </w:r>
    </w:p>
    <w:p>
      <w:pPr>
        <w:pStyle w:val="Heading2"/>
      </w:pPr>
      <w:r>
        <w:t xml:space="preserve">5.3 Liquidity Management</w:t>
      </w:r>
    </w:p>
    <w:p>
      <w:pPr>
        <w:spacing w:after="200"/>
      </w:pPr>
      <w:r>
        <w:rPr>
          <w:b/>
          <w:bCs/>
          <w:sz w:val="24"/>
          <w:szCs w:val="24"/>
        </w:rPr>
        <w:t xml:space="preserve">For individuals: </w:t>
      </w:r>
      <w:r>
        <w:rPr>
          <w:sz w:val="24"/>
          <w:szCs w:val="24"/>
        </w:rPr>
        <w:t xml:space="preserve">Maintain emergency reserves (3-12 months of expenses in liquid form). Match asset liquidity to liability timing—don't invest college tuition due next year in illiquid assets.</w:t>
      </w:r>
    </w:p>
    <w:p>
      <w:pPr>
        <w:spacing w:after="200"/>
      </w:pPr>
      <w:r>
        <w:rPr>
          <w:b/>
          <w:bCs/>
          <w:sz w:val="24"/>
          <w:szCs w:val="24"/>
        </w:rPr>
        <w:t xml:space="preserve">For businesses: </w:t>
      </w:r>
      <w:r>
        <w:rPr>
          <w:sz w:val="24"/>
          <w:szCs w:val="24"/>
        </w:rPr>
        <w:t xml:space="preserve">Cash flow management is survival. The most profitable business fails if it can't meet payroll. Treasury management—optimizing the timing and placement of cash—is a core corporate function.</w:t>
      </w:r>
    </w:p>
    <w:p>
      <w:pPr>
        <w:spacing w:after="200"/>
      </w:pPr>
      <w:r>
        <w:rPr>
          <w:b/>
          <w:bCs/>
          <w:sz w:val="24"/>
          <w:szCs w:val="24"/>
        </w:rPr>
        <w:t xml:space="preserve">Liquidity ratios: </w:t>
      </w:r>
    </w:p>
    <w:p>
      <w:pPr>
        <w:pStyle w:val="ListParagraph"/>
        <w:numPr>
          <w:ilvl w:val="0"/>
          <w:numId w:val="2"/>
        </w:numPr>
        <w:spacing w:after="100"/>
      </w:pPr>
      <w:r>
        <w:rPr>
          <w:b/>
          <w:bCs/>
          <w:sz w:val="24"/>
          <w:szCs w:val="24"/>
        </w:rPr>
        <w:t xml:space="preserve">Current ratio: </w:t>
      </w:r>
      <w:r>
        <w:rPr>
          <w:sz w:val="24"/>
          <w:szCs w:val="24"/>
        </w:rPr>
        <w:t xml:space="preserve">Current assets ÷ current liabilities. Measures ability to pay short-term obligations.</w:t>
      </w:r>
    </w:p>
    <w:p>
      <w:pPr>
        <w:pStyle w:val="ListParagraph"/>
        <w:numPr>
          <w:ilvl w:val="0"/>
          <w:numId w:val="2"/>
        </w:numPr>
        <w:spacing w:after="200"/>
      </w:pPr>
      <w:r>
        <w:rPr>
          <w:b/>
          <w:bCs/>
          <w:sz w:val="24"/>
          <w:szCs w:val="24"/>
        </w:rPr>
        <w:t xml:space="preserve">Quick ratio: </w:t>
      </w:r>
      <w:r>
        <w:rPr>
          <w:sz w:val="24"/>
          <w:szCs w:val="24"/>
        </w:rPr>
        <w:t xml:space="preserve">(Current assets - inventory) ÷ current liabilities. More conservative—excludes inventory which may be hard to liquidate.</w:t>
      </w:r>
    </w:p>
    <w:p>
      <w:pPr>
        <w:spacing w:after="400"/>
      </w:pPr>
      <w:r>
        <w:rPr>
          <w:b/>
          <w:bCs/>
          <w:i/>
          <w:iCs/>
          <w:sz w:val="24"/>
          <w:szCs w:val="24"/>
        </w:rPr>
        <w:t xml:space="preserve">The fundamental principle: </w:t>
      </w:r>
      <w:r>
        <w:rPr>
          <w:i/>
          <w:iCs/>
          <w:sz w:val="24"/>
          <w:szCs w:val="24"/>
        </w:rPr>
        <w:t xml:space="preserve">Liquidity crises kill faster than profitability problems. A profitable business can run out of cash waiting for receivables. An unprofitable business with cash can survive to restructure. Cash is time.</w:t>
      </w:r>
    </w:p>
    <w:p>
      <w:r>
        <w:br w:type="page"/>
      </w:r>
    </w:p>
    <w:p>
      <w:pPr>
        <w:pStyle w:val="Heading1"/>
      </w:pPr>
      <w:r>
        <w:t xml:space="preserve">Conclusion: The Map and the Territory</w:t>
      </w:r>
    </w:p>
    <w:p>
      <w:pPr>
        <w:spacing w:after="300"/>
      </w:pPr>
      <w:r>
        <w:rPr>
          <w:sz w:val="24"/>
          <w:szCs w:val="24"/>
        </w:rPr>
        <w:t xml:space="preserve">You now have the map. The banking types—retail, commercial, corporate, investment, merchant, private—are not interchangeable. Each serves different clients with different products at different price points.</w:t>
      </w:r>
    </w:p>
    <w:p>
      <w:pPr>
        <w:spacing w:after="300"/>
      </w:pPr>
      <w:r>
        <w:rPr>
          <w:sz w:val="24"/>
          <w:szCs w:val="24"/>
        </w:rPr>
        <w:t xml:space="preserve">The plumbing—clearing, settlement, correspondent banking—is invisible but essential. Money doesn't move by magic. It moves through infrastructure that has costs, delays, and failure points.</w:t>
      </w:r>
    </w:p>
    <w:p>
      <w:pPr>
        <w:spacing w:after="300"/>
      </w:pPr>
      <w:r>
        <w:rPr>
          <w:sz w:val="24"/>
          <w:szCs w:val="24"/>
        </w:rPr>
        <w:t xml:space="preserve">Insurance and investment are complementary systems. Insurance transfers risk; investment accepts risk for return. Understanding both is understanding the spectrum of financial positioning.</w:t>
      </w:r>
    </w:p>
    <w:p>
      <w:pPr>
        <w:spacing w:after="300"/>
      </w:pPr>
      <w:r>
        <w:rPr>
          <w:sz w:val="24"/>
          <w:szCs w:val="24"/>
        </w:rPr>
        <w:t xml:space="preserve">And underneath everything: liquidity. The ability to access capital when needed, at predictable prices, is the foundation of financial stability. Every other metric is secondary.</w:t>
      </w:r>
    </w:p>
    <w:p>
      <w:pPr>
        <w:spacing w:after="400"/>
      </w:pPr>
      <w:r>
        <w:rPr>
          <w:sz w:val="24"/>
          <w:szCs w:val="24"/>
        </w:rPr>
        <w:t xml:space="preserve">This knowledge is the starting point for building systems that serve families across generations, that provide institutional-grade infrastructure to those historically excluded, that bring the clarity of a private bank research desk to anyone seeking it.</w:t>
      </w:r>
    </w:p>
    <w:p>
      <w:pPr>
        <w:spacing w:after="200"/>
      </w:pPr>
      <w:r>
        <w:rPr>
          <w:i/>
          <w:iCs/>
          <w:color w:val="C9A962"/>
          <w:sz w:val="28"/>
          <w:szCs w:val="28"/>
        </w:rPr>
        <w:t xml:space="preserve">The territory awaits.</w:t>
      </w:r>
    </w:p>
    <w:p>
      <w:pPr>
        <w:spacing w:after="800"/>
      </w:pPr>
    </w:p>
    <w:p>
      <w:pPr>
        <w:jc w:val="center"/>
      </w:pPr>
      <w:r>
        <w:rPr>
          <w:rFonts w:ascii="Georgia" w:cs="Georgia" w:eastAsia="Georgia" w:hAnsi="Georgia"/>
          <w:color w:val="C9A962"/>
          <w:sz w:val="24"/>
          <w:szCs w:val="24"/>
        </w:rPr>
        <w:t xml:space="preserve">─────────────────────────────</w:t>
      </w:r>
    </w:p>
    <w:p>
      <w:pPr>
        <w:spacing w:before="200"/>
        <w:jc w:val="center"/>
      </w:pPr>
      <w:r>
        <w:rPr>
          <w:rFonts w:ascii="Cormorant Garamond" w:cs="Cormorant Garamond" w:eastAsia="Cormorant Garamond" w:hAnsi="Cormorant Garamond"/>
          <w:b/>
          <w:bCs/>
          <w:color w:val="0A1628"/>
          <w:sz w:val="28"/>
          <w:szCs w:val="28"/>
        </w:rPr>
        <w:t xml:space="preserve">THE MERIDIAN CONTINENTAL</w:t>
      </w:r>
    </w:p>
    <w:p>
      <w:pPr>
        <w:jc w:val="center"/>
      </w:pPr>
      <w:r>
        <w:rPr>
          <w:rFonts w:ascii="Cormorant Garamond" w:cs="Cormorant Garamond" w:eastAsia="Cormorant Garamond" w:hAnsi="Cormorant Garamond"/>
          <w:i/>
          <w:iCs/>
          <w:color w:val="C9A962"/>
          <w:sz w:val="22"/>
          <w:szCs w:val="22"/>
        </w:rPr>
        <w:t xml:space="preserve">Global Intelligence for the Sophisticated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2D3748"/>
        <w:sz w:val="18"/>
        <w:szCs w:val="18"/>
      </w:rPr>
      <w:t xml:space="preserve">Page </w:t>
    </w:r>
    <w:r>
      <w:rPr>
        <w:rFonts w:ascii="Georgia" w:cs="Georgia" w:eastAsia="Georgia" w:hAnsi="Georgia"/>
        <w:color w:val="2D3748"/>
        <w:sz w:val="18"/>
        <w:szCs w:val="18"/>
      </w:rPr>
      <w:fldChar w:fldCharType="begin"/>
      <w:instrText xml:space="preserve">PAGE</w:instrText>
      <w:fldChar w:fldCharType="separate"/>
      <w:fldChar w:fldCharType="end"/>
    </w:r>
    <w:r>
      <w:rPr>
        <w:rFonts w:ascii="Georgia" w:cs="Georgia" w:eastAsia="Georgia" w:hAnsi="Georgia"/>
        <w:color w:val="2D3748"/>
        <w:sz w:val="18"/>
        <w:szCs w:val="18"/>
      </w:rPr>
      <w:t xml:space="preserve"> | Confidential Intelligence Brief</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ormorant Garamond" w:cs="Cormorant Garamond" w:eastAsia="Cormorant Garamond" w:hAnsi="Cormorant Garamond"/>
        <w:i/>
        <w:iCs/>
        <w:color w:val="C9A962"/>
        <w:sz w:val="20"/>
        <w:szCs w:val="20"/>
      </w:rPr>
      <w:t xml:space="preserve">THE MERIDIAN CONTINENTAL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Cormorant Garamond" w:cs="Cormorant Garamond" w:eastAsia="Cormorant Garamond" w:hAnsi="Cormorant Garamond"/>
      <w:b/>
      <w:bCs/>
      <w:color w:val="0A1628"/>
      <w:sz w:val="48"/>
      <w:szCs w:val="48"/>
    </w:rPr>
  </w:style>
  <w:style w:type="paragraph" w:styleId="Heading2">
    <w:name w:val="Heading 2"/>
    <w:basedOn w:val="Normal"/>
    <w:next w:val="Normal"/>
    <w:qFormat/>
    <w:pPr>
      <w:spacing w:before="360" w:after="180"/>
      <w:outlineLvl w:val="1"/>
    </w:pPr>
    <w:rPr>
      <w:rFonts w:ascii="Cormorant Garamond" w:cs="Cormorant Garamond" w:eastAsia="Cormorant Garamond" w:hAnsi="Cormorant Garamond"/>
      <w:b/>
      <w:bCs/>
      <w:color w:val="0A1628"/>
      <w:sz w:val="36"/>
      <w:szCs w:val="36"/>
    </w:rPr>
  </w:style>
  <w:style w:type="paragraph" w:styleId="Heading3">
    <w:name w:val="Heading 3"/>
    <w:basedOn w:val="Normal"/>
    <w:next w:val="Normal"/>
    <w:qFormat/>
    <w:pPr>
      <w:spacing w:before="240" w:after="120"/>
      <w:outlineLvl w:val="2"/>
    </w:pPr>
    <w:rPr>
      <w:rFonts w:ascii="Georgia" w:cs="Georgia" w:eastAsia="Georgia" w:hAnsi="Georgia"/>
      <w:b/>
      <w:bCs/>
      <w:color w:val="2D374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2026-02-03T14:31:13.407Z</dcterms:created>
  <dcterms:modified xsi:type="dcterms:W3CDTF">2026-02-03T14:31:13.408Z</dcterms:modified>
</cp:coreProperties>
</file>

<file path=docProps/custom.xml><?xml version="1.0" encoding="utf-8"?>
<Properties xmlns="http://schemas.openxmlformats.org/officeDocument/2006/custom-properties" xmlns:vt="http://schemas.openxmlformats.org/officeDocument/2006/docPropsVTypes"/>
</file>