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Georgia" w:cs="Georgia" w:eastAsia="Georgia" w:hAnsi="Georgia"/>
          <w:b/>
          <w:bCs/>
          <w:color w:val="1B2A4A"/>
          <w:sz w:val="56"/>
          <w:szCs w:val="56"/>
        </w:rPr>
        <w:t xml:space="preserve">EDEN INTELLIGENCE GROUP</w:t>
      </w:r>
    </w:p>
    <w:p>
      <w:pPr>
        <w:spacing w:before="120"/>
        <w:jc w:val="center"/>
      </w:pPr>
      <w:r>
        <w:rPr>
          <w:rFonts w:ascii="Georgia" w:cs="Georgia" w:eastAsia="Georgia" w:hAnsi="Georgia"/>
          <w:i/>
          <w:iCs/>
          <w:color w:val="C5922E"/>
          <w:sz w:val="26"/>
          <w:szCs w:val="26"/>
        </w:rPr>
        <w:t xml:space="preserve">Meridia — The Technology</w:t>
      </w:r>
    </w:p>
    <w:p>
      <w:pPr>
        <w:pBdr>
          <w:top w:val="single" w:color="C5922E" w:sz="4" w:space="16"/>
          <w:bottom w:val="single" w:color="C5922E" w:sz="4" w:space="16"/>
        </w:pBdr>
        <w:spacing w:before="600"/>
        <w:jc w:val="center"/>
      </w:pPr>
      <w:r>
        <w:rPr>
          <w:rFonts w:ascii="Georgia" w:cs="Georgia" w:eastAsia="Georgia" w:hAnsi="Georgia"/>
          <w:b/>
          <w:bCs/>
          <w:color w:val="1B2A4A"/>
          <w:spacing w:val="100"/>
          <w:sz w:val="36"/>
          <w:szCs w:val="36"/>
        </w:rPr>
        <w:t xml:space="preserve">90-DAY EXECUTION CALENDAR</w:t>
      </w:r>
    </w:p>
    <w:p>
      <w:pPr>
        <w:spacing w:before="240"/>
        <w:jc w:val="center"/>
      </w:pPr>
      <w:r>
        <w:rPr>
          <w:rFonts w:ascii="Arial" w:cs="Arial" w:eastAsia="Arial" w:hAnsi="Arial"/>
          <w:color w:val="666666"/>
          <w:sz w:val="24"/>
          <w:szCs w:val="24"/>
        </w:rPr>
        <w:t xml:space="preserve">Lean Path — $12,000 Operating Budget</w:t>
      </w:r>
    </w:p>
    <w:p>
      <w:pPr>
        <w:spacing w:before="120"/>
        <w:jc w:val="center"/>
      </w:pPr>
      <w:r>
        <w:rPr>
          <w:rFonts w:ascii="Arial" w:cs="Arial" w:eastAsia="Arial" w:hAnsi="Arial"/>
          <w:color w:val="666666"/>
          <w:sz w:val="22"/>
          <w:szCs w:val="22"/>
        </w:rPr>
        <w:t xml:space="preserve">Companion to MCR-2026-001</w:t>
      </w:r>
    </w:p>
    <w:p>
      <w:pPr>
        <w:spacing w:before="2400"/>
      </w:pPr>
    </w:p>
    <w:p>
      <w:pPr>
        <w:jc w:val="center"/>
      </w:pPr>
      <w:r>
        <w:rPr>
          <w:rFonts w:ascii="Arial" w:cs="Arial" w:eastAsia="Arial" w:hAnsi="Arial"/>
          <w:b/>
          <w:bCs/>
          <w:color w:val="C5922E"/>
          <w:sz w:val="18"/>
          <w:szCs w:val="18"/>
        </w:rPr>
        <w:t xml:space="preserve">CLASSIFICATION: INTERNAL — OPERATIONAL</w:t>
      </w:r>
    </w:p>
    <w:p>
      <w:pPr>
        <w:spacing w:before="120"/>
        <w:jc w:val="center"/>
      </w:pPr>
      <w:r>
        <w:rPr>
          <w:rFonts w:ascii="Arial" w:cs="Arial" w:eastAsia="Arial" w:hAnsi="Arial"/>
          <w:color w:val="666666"/>
          <w:sz w:val="20"/>
          <w:szCs w:val="20"/>
        </w:rPr>
        <w:t xml:space="preserve">February 21, 2026</w:t>
      </w:r>
    </w:p>
    <w:p>
      <w:pPr>
        <w:spacing w:before="60"/>
        <w:jc w:val="center"/>
      </w:pPr>
      <w:r>
        <w:rPr>
          <w:rFonts w:ascii="Arial" w:cs="Arial" w:eastAsia="Arial" w:hAnsi="Arial"/>
          <w:color w:val="666666"/>
          <w:sz w:val="18"/>
          <w:szCs w:val="18"/>
        </w:rPr>
        <w:t xml:space="preserve">Document EIG-CAL-2026-001</w:t>
      </w:r>
    </w:p>
    <w:p>
      <w:pPr>
        <w:sectPr>
          <w:pgSz w:w="12240" w:h="15840" w:orient="portrait"/>
          <w:pgMar w:top="1440" w:right="1440" w:bottom="1440" w:left="1440" w:header="708" w:footer="708" w:gutter="0"/>
          <w:pgNumType/>
          <w:docGrid w:linePitch="360"/>
        </w:sectPr>
      </w:pPr>
    </w:p>
    <w:p>
      <w:pPr>
        <w:pStyle w:val="Heading1"/>
        <w:pBdr>
          <w:bottom w:val="single" w:color="C5922E" w:sz="4" w:space="8"/>
        </w:pBdr>
        <w:spacing w:before="360" w:after="200"/>
      </w:pPr>
      <w:r>
        <w:rPr>
          <w:rFonts w:ascii="Georgia" w:cs="Georgia" w:eastAsia="Georgia" w:hAnsi="Georgia"/>
          <w:b/>
          <w:bCs/>
          <w:color w:val="1B2A4A"/>
          <w:sz w:val="32"/>
          <w:szCs w:val="32"/>
        </w:rPr>
        <w:t xml:space="preserve">Overview</w:t>
      </w:r>
    </w:p>
    <w:p>
      <w:pPr>
        <w:spacing w:after="160" w:line="300"/>
        <w:jc w:val="both"/>
      </w:pPr>
      <w:r>
        <w:rPr>
          <w:rFonts w:ascii="Arial" w:cs="Arial" w:eastAsia="Arial" w:hAnsi="Arial"/>
          <w:color w:val="333333"/>
          <w:sz w:val="21"/>
          <w:szCs w:val="21"/>
        </w:rPr>
        <w:t xml:space="preserve">This calendar translates the strategic recommendations from the Meridian Continental Report (MCR-2026-001) into a day-by-day, dollar-by-dollar execution plan calibrated to a lean operating budget of approximately $12,000. Every task includes a specific cost, a deadline, a dependency, and a completion checkpoint. Nothing is aspirational. Everything is actionable.</w:t>
      </w:r>
    </w:p>
    <w:p>
      <w:pPr>
        <w:spacing w:after="160" w:line="300"/>
        <w:jc w:val="both"/>
      </w:pPr>
      <w:r>
        <w:rPr>
          <w:rFonts w:ascii="Arial" w:cs="Arial" w:eastAsia="Arial" w:hAnsi="Arial"/>
          <w:color w:val="333333"/>
          <w:sz w:val="21"/>
          <w:szCs w:val="21"/>
        </w:rPr>
        <w:t xml:space="preserve">The 90-day period is divided into three phases of 30 days each. Phase A establishes the legal and corporate foundation. Phase B rebuilds the AIA’s cognitive infrastructure. Phase C secures the international footprint and files provisional patents. At the end of 90 days, Eden Intelligence Group will exist as a properly structured, IP-protected, internationally positioned technology company ready to generate revenue and pursue external capital.</w:t>
      </w:r>
    </w:p>
    <w:p>
      <w:pPr>
        <w:pStyle w:val="Heading2"/>
        <w:spacing w:before="280" w:after="160"/>
      </w:pPr>
      <w:r>
        <w:rPr>
          <w:rFonts w:ascii="Georgia" w:cs="Georgia" w:eastAsia="Georgia" w:hAnsi="Georgia"/>
          <w:b/>
          <w:bCs/>
          <w:color w:val="2E5E8E"/>
          <w:sz w:val="26"/>
          <w:szCs w:val="26"/>
        </w:rPr>
        <w:t xml:space="preserve">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Budget Allocation</w:t>
            </w:r>
          </w:p>
        </w:tc>
      </w:tr>
      <w:tr>
        <w:tc>
          <w:tcPr>
            <w:tcW w:type="dxa" w:w="312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b/>
                <w:bCs/>
                <w:color w:val="333333"/>
                <w:sz w:val="18"/>
                <w:szCs w:val="18"/>
              </w:rPr>
              <w:t xml:space="preserve">Phase A: Legal Foundation</w:t>
            </w:r>
          </w:p>
        </w:tc>
        <w:tc>
          <w:tcPr>
            <w:tcW w:type="dxa" w:w="312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color w:val="333333"/>
                <w:sz w:val="18"/>
                <w:szCs w:val="18"/>
              </w:rPr>
              <w:t xml:space="preserve">Days 1–30</w:t>
            </w:r>
          </w:p>
        </w:tc>
        <w:tc>
          <w:tcPr>
            <w:tcW w:type="dxa" w:w="312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color w:val="333333"/>
                <w:sz w:val="18"/>
                <w:szCs w:val="18"/>
              </w:rPr>
              <w:t xml:space="preserve">$3,000–$4,500</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8"/>
                <w:szCs w:val="18"/>
              </w:rPr>
              <w:t xml:space="preserve">Phase B: AIA Infrastructure</w:t>
            </w:r>
          </w:p>
        </w:tc>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Days 15–60</w:t>
            </w:r>
          </w:p>
        </w:tc>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$300–$600</w:t>
            </w:r>
          </w:p>
        </w:tc>
      </w:tr>
      <w:tr>
        <w:tc>
          <w:tcPr>
            <w:tcW w:type="dxa" w:w="3120"/>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b/>
                <w:bCs/>
                <w:color w:val="333333"/>
                <w:sz w:val="18"/>
                <w:szCs w:val="18"/>
              </w:rPr>
              <w:t xml:space="preserve">Phase C: IP + International</w:t>
            </w:r>
          </w:p>
        </w:tc>
        <w:tc>
          <w:tcPr>
            <w:tcW w:type="dxa" w:w="3120"/>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color w:val="333333"/>
                <w:sz w:val="18"/>
                <w:szCs w:val="18"/>
              </w:rPr>
              <w:t xml:space="preserve">Days 45–90</w:t>
            </w:r>
          </w:p>
        </w:tc>
        <w:tc>
          <w:tcPr>
            <w:tcW w:type="dxa" w:w="3120"/>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color w:val="333333"/>
                <w:sz w:val="18"/>
                <w:szCs w:val="18"/>
              </w:rPr>
              <w:t xml:space="preserve">$4,700–$7,700</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8"/>
                <w:szCs w:val="18"/>
              </w:rPr>
              <w:t xml:space="preserve">Reserve / Contingency</w:t>
            </w:r>
          </w:p>
        </w:tc>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Ongoing</w:t>
            </w:r>
          </w:p>
        </w:tc>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$500–$1,000</w:t>
            </w:r>
          </w:p>
        </w:tc>
      </w:tr>
      <w:tr>
        <w:tc>
          <w:tcPr>
            <w:tcW w:type="dxa" w:w="31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TOTAL</w:t>
            </w:r>
          </w:p>
        </w:tc>
        <w:tc>
          <w:tcPr>
            <w:tcW w:type="dxa" w:w="31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90 Days</w:t>
            </w:r>
          </w:p>
        </w:tc>
        <w:tc>
          <w:tcPr>
            <w:tcW w:type="dxa" w:w="31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$8,500–$12,000</w:t>
            </w:r>
          </w:p>
        </w:tc>
      </w:tr>
    </w:tbl>
    <w:p>
      <w:pPr>
        <w:spacing w:before="80" w:after="80"/>
      </w:pPr>
    </w:p>
    <w:p>
      <w:pPr>
        <w:spacing w:after="160" w:line="300"/>
        <w:jc w:val="both"/>
      </w:pPr>
      <w:r>
        <w:rPr>
          <w:rFonts w:ascii="Arial" w:cs="Arial" w:eastAsia="Arial" w:hAnsi="Arial"/>
          <w:color w:val="333333"/>
          <w:sz w:val="21"/>
          <w:szCs w:val="21"/>
        </w:rPr>
        <w:t xml:space="preserve">Note: Phases overlap intentionally. The Poe API replacement begins during Phase A and completes during Phase B. Patent drafting begins during Phase B and files during Phase C. This parallel execution compresses the timeline without increasing cost.</w:t>
      </w:r>
    </w:p>
    <w:p>
      <w:r>
        <w:br w:type="page"/>
      </w:r>
    </w:p>
    <w:p>
      <w:pPr>
        <w:pStyle w:val="Heading1"/>
        <w:pBdr>
          <w:bottom w:val="single" w:color="C5922E" w:sz="4" w:space="8"/>
        </w:pBdr>
        <w:spacing w:before="360" w:after="200"/>
      </w:pPr>
      <w:r>
        <w:rPr>
          <w:rFonts w:ascii="Georgia" w:cs="Georgia" w:eastAsia="Georgia" w:hAnsi="Georgia"/>
          <w:b/>
          <w:bCs/>
          <w:color w:val="1B2A4A"/>
          <w:sz w:val="32"/>
          <w:szCs w:val="32"/>
        </w:rPr>
        <w:t xml:space="preserve">Phase A: Legal &amp; Corporate Foundation (Days 1–30)</w:t>
      </w:r>
    </w:p>
    <w:p>
      <w:pPr>
        <w:pBdr>
          <w:left w:val="single" w:color="C5922E" w:sz="12" w:space="12"/>
        </w:pBdr>
        <w:spacing w:before="200" w:after="200" w:line="300"/>
        <w:ind w:left="360" w:right="360"/>
      </w:pPr>
      <w:r>
        <w:rPr>
          <w:rFonts w:ascii="Arial" w:cs="Arial" w:eastAsia="Arial" w:hAnsi="Arial"/>
          <w:b/>
          <w:bCs/>
          <w:i/>
          <w:iCs/>
          <w:color w:val="1B2A4A"/>
          <w:sz w:val="21"/>
          <w:szCs w:val="21"/>
        </w:rPr>
        <w:t xml:space="preserve">Objective: Establish Eden Intelligence Group as a properly structured, bank-ready, investor-ready corporate entity with IP protection architecture in place. Every subsequent action depends on this phase.</w:t>
      </w:r>
    </w:p>
    <w:p>
      <w:pPr>
        <w:pStyle w:val="Heading2"/>
        <w:spacing w:before="280" w:after="160"/>
      </w:pPr>
      <w:r>
        <w:rPr>
          <w:rFonts w:ascii="Georgia" w:cs="Georgia" w:eastAsia="Georgia" w:hAnsi="Georgia"/>
          <w:b/>
          <w:bCs/>
          <w:color w:val="2E5E8E"/>
          <w:sz w:val="26"/>
          <w:szCs w:val="26"/>
        </w:rPr>
        <w:t xml:space="preserve">Week 1 (Days 1–7): Entity Formation</w:t>
      </w:r>
    </w:p>
    <w:p>
      <w:pPr>
        <w:pStyle w:val="Heading3"/>
        <w:spacing w:before="200" w:after="120"/>
      </w:pPr>
      <w:r>
        <w:rPr>
          <w:rFonts w:ascii="Arial" w:cs="Arial" w:eastAsia="Arial" w:hAnsi="Arial"/>
          <w:b/>
          <w:bCs/>
          <w:color w:val="1B2A4A"/>
          <w:sz w:val="22"/>
          <w:szCs w:val="22"/>
        </w:rPr>
        <w:t xml:space="preserve">Day 1–2: Delaware C-Corp</w:t>
      </w:r>
    </w:p>
    <w:p>
      <w:pPr>
        <w:pStyle w:val="ListParagraph"/>
        <w:numPr>
          <w:ilvl w:val="0"/>
          <w:numId w:val="2"/>
        </w:numPr>
        <w:spacing w:after="80" w:line="280"/>
      </w:pPr>
      <w:r>
        <w:rPr>
          <w:rFonts w:ascii="Arial" w:cs="Arial" w:eastAsia="Arial" w:hAnsi="Arial"/>
          <w:b/>
          <w:bCs/>
          <w:color w:val="333333"/>
          <w:sz w:val="21"/>
          <w:szCs w:val="21"/>
        </w:rPr>
        <w:t xml:space="preserve">Form Eden Intelligence Group, Inc. </w:t>
      </w:r>
      <w:r>
        <w:rPr>
          <w:rFonts w:ascii="Arial" w:cs="Arial" w:eastAsia="Arial" w:hAnsi="Arial"/>
          <w:color w:val="333333"/>
          <w:sz w:val="21"/>
          <w:szCs w:val="21"/>
        </w:rPr>
        <w:t xml:space="preserve">via Clerky ($350 all-in including filing + 1 year registered agent) or direct filing with Delaware Division of Corporations ($89 state fee + $50/yr registered agent).</w:t>
      </w:r>
    </w:p>
    <w:p>
      <w:pPr>
        <w:pStyle w:val="ListParagraph"/>
        <w:numPr>
          <w:ilvl w:val="0"/>
          <w:numId w:val="2"/>
        </w:numPr>
        <w:spacing w:after="80" w:line="280"/>
      </w:pPr>
      <w:r>
        <w:rPr>
          <w:rFonts w:ascii="Arial" w:cs="Arial" w:eastAsia="Arial" w:hAnsi="Arial"/>
          <w:b/>
          <w:bCs/>
          <w:color w:val="333333"/>
          <w:sz w:val="21"/>
          <w:szCs w:val="21"/>
        </w:rPr>
        <w:t xml:space="preserve">Structure: </w:t>
      </w:r>
      <w:r>
        <w:rPr>
          <w:rFonts w:ascii="Arial" w:cs="Arial" w:eastAsia="Arial" w:hAnsi="Arial"/>
          <w:color w:val="333333"/>
          <w:sz w:val="21"/>
          <w:szCs w:val="21"/>
        </w:rPr>
        <w:t xml:space="preserve">Authorize 10,000,000 shares of common stock at $0.0001 par value. Standard for venture-backable startups. Keeps franchise tax at the $175 minimum under the authorized shares method.</w:t>
      </w:r>
    </w:p>
    <w:p>
      <w:pPr>
        <w:pStyle w:val="ListParagraph"/>
        <w:numPr>
          <w:ilvl w:val="0"/>
          <w:numId w:val="2"/>
        </w:numPr>
        <w:spacing w:after="80" w:line="280"/>
      </w:pPr>
      <w:r>
        <w:rPr>
          <w:rFonts w:ascii="Arial" w:cs="Arial" w:eastAsia="Arial" w:hAnsi="Arial"/>
          <w:b/>
          <w:bCs/>
          <w:color w:val="333333"/>
          <w:sz w:val="21"/>
          <w:szCs w:val="21"/>
        </w:rPr>
        <w:t xml:space="preserve">Obtain EIN </w:t>
      </w:r>
      <w:r>
        <w:rPr>
          <w:rFonts w:ascii="Arial" w:cs="Arial" w:eastAsia="Arial" w:hAnsi="Arial"/>
          <w:color w:val="333333"/>
          <w:sz w:val="21"/>
          <w:szCs w:val="21"/>
        </w:rPr>
        <w:t xml:space="preserve">from IRS immediately upon incorporation. Free. Online. Takes 15 minutes.</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$350 (Clerky) or $139 (DIY + agent)</w:t>
      </w:r>
    </w:p>
    <w:p>
      <w:pPr>
        <w:spacing w:after="160" w:line="300"/>
      </w:pPr>
      <w:r>
        <w:rPr>
          <w:rFonts w:ascii="Arial" w:cs="Arial" w:eastAsia="Arial" w:hAnsi="Arial"/>
          <w:b/>
          <w:bCs/>
          <w:color w:val="333333"/>
          <w:sz w:val="21"/>
          <w:szCs w:val="21"/>
        </w:rPr>
        <w:t xml:space="preserve">Completion checkpoint: </w:t>
      </w:r>
      <w:r>
        <w:rPr>
          <w:rFonts w:ascii="Arial" w:cs="Arial" w:eastAsia="Arial" w:hAnsi="Arial"/>
          <w:color w:val="333333"/>
          <w:sz w:val="21"/>
          <w:szCs w:val="21"/>
        </w:rPr>
        <w:t xml:space="preserve">Certificate of Incorporation in hand. EIN confirmation letter saved.</w:t>
      </w:r>
    </w:p>
    <w:p>
      <w:pPr>
        <w:pStyle w:val="Heading3"/>
        <w:spacing w:before="200" w:after="120"/>
      </w:pPr>
      <w:r>
        <w:rPr>
          <w:rFonts w:ascii="Arial" w:cs="Arial" w:eastAsia="Arial" w:hAnsi="Arial"/>
          <w:b/>
          <w:bCs/>
          <w:color w:val="1B2A4A"/>
          <w:sz w:val="22"/>
          <w:szCs w:val="22"/>
        </w:rPr>
        <w:t xml:space="preserve">Day 3–4: Georgia LLC</w:t>
      </w:r>
    </w:p>
    <w:p>
      <w:pPr>
        <w:pStyle w:val="ListParagraph"/>
        <w:numPr>
          <w:ilvl w:val="0"/>
          <w:numId w:val="2"/>
        </w:numPr>
        <w:spacing w:after="80" w:line="280"/>
      </w:pPr>
      <w:r>
        <w:rPr>
          <w:rFonts w:ascii="Arial" w:cs="Arial" w:eastAsia="Arial" w:hAnsi="Arial"/>
          <w:b/>
          <w:bCs/>
          <w:color w:val="333333"/>
          <w:sz w:val="21"/>
          <w:szCs w:val="21"/>
        </w:rPr>
        <w:t xml:space="preserve">Form Meridia, LLC </w:t>
      </w:r>
      <w:r>
        <w:rPr>
          <w:rFonts w:ascii="Arial" w:cs="Arial" w:eastAsia="Arial" w:hAnsi="Arial"/>
          <w:color w:val="333333"/>
          <w:sz w:val="21"/>
          <w:szCs w:val="21"/>
        </w:rPr>
        <w:t xml:space="preserve">with Georgia Secretary of State. Online filing: $100 + $5 service charge = $105.</w:t>
      </w:r>
    </w:p>
    <w:p>
      <w:pPr>
        <w:pStyle w:val="ListParagraph"/>
        <w:numPr>
          <w:ilvl w:val="0"/>
          <w:numId w:val="2"/>
        </w:numPr>
        <w:spacing w:after="80" w:line="280"/>
      </w:pPr>
      <w:r>
        <w:rPr>
          <w:rFonts w:ascii="Arial" w:cs="Arial" w:eastAsia="Arial" w:hAnsi="Arial"/>
          <w:b/>
          <w:bCs/>
          <w:color w:val="333333"/>
          <w:sz w:val="21"/>
          <w:szCs w:val="21"/>
        </w:rPr>
        <w:t xml:space="preserve">Designate Eden Intelligence Group, Inc. as sole member </w:t>
      </w:r>
      <w:r>
        <w:rPr>
          <w:rFonts w:ascii="Arial" w:cs="Arial" w:eastAsia="Arial" w:hAnsi="Arial"/>
          <w:color w:val="333333"/>
          <w:sz w:val="21"/>
          <w:szCs w:val="21"/>
        </w:rPr>
        <w:t xml:space="preserve">in the Articles of Organization.</w:t>
      </w:r>
    </w:p>
    <w:p>
      <w:pPr>
        <w:pStyle w:val="ListParagraph"/>
        <w:numPr>
          <w:ilvl w:val="0"/>
          <w:numId w:val="2"/>
        </w:numPr>
        <w:spacing w:after="80" w:line="280"/>
      </w:pPr>
      <w:r>
        <w:rPr>
          <w:rFonts w:ascii="Arial" w:cs="Arial" w:eastAsia="Arial" w:hAnsi="Arial"/>
          <w:b/>
          <w:bCs/>
          <w:color w:val="333333"/>
          <w:sz w:val="21"/>
          <w:szCs w:val="21"/>
        </w:rPr>
        <w:t xml:space="preserve">Obtain separate EIN </w:t>
      </w:r>
      <w:r>
        <w:rPr>
          <w:rFonts w:ascii="Arial" w:cs="Arial" w:eastAsia="Arial" w:hAnsi="Arial"/>
          <w:color w:val="333333"/>
          <w:sz w:val="21"/>
          <w:szCs w:val="21"/>
        </w:rPr>
        <w:t xml:space="preserve">for Meridia, LLC. Free.</w:t>
      </w:r>
    </w:p>
    <w:p>
      <w:pPr>
        <w:pStyle w:val="ListParagraph"/>
        <w:numPr>
          <w:ilvl w:val="0"/>
          <w:numId w:val="2"/>
        </w:numPr>
        <w:spacing w:after="80" w:line="280"/>
      </w:pPr>
      <w:r>
        <w:rPr>
          <w:rFonts w:ascii="Arial" w:cs="Arial" w:eastAsia="Arial" w:hAnsi="Arial"/>
          <w:b/>
          <w:bCs/>
          <w:color w:val="333333"/>
          <w:sz w:val="21"/>
          <w:szCs w:val="21"/>
        </w:rPr>
        <w:t xml:space="preserve">Draft Operating Agreement </w:t>
      </w:r>
      <w:r>
        <w:rPr>
          <w:rFonts w:ascii="Arial" w:cs="Arial" w:eastAsia="Arial" w:hAnsi="Arial"/>
          <w:color w:val="333333"/>
          <w:sz w:val="21"/>
          <w:szCs w:val="21"/>
        </w:rPr>
        <w:t xml:space="preserve">documenting Eden Intelligence Group as 100% owner, management structure, and intercompany relationship. Use free template (YC’s open-source template or LLCU template) and customize.</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$105</w:t>
      </w:r>
    </w:p>
    <w:p>
      <w:pPr>
        <w:spacing w:after="160" w:line="300"/>
      </w:pPr>
      <w:r>
        <w:rPr>
          <w:rFonts w:ascii="Arial" w:cs="Arial" w:eastAsia="Arial" w:hAnsi="Arial"/>
          <w:b/>
          <w:bCs/>
          <w:color w:val="333333"/>
          <w:sz w:val="21"/>
          <w:szCs w:val="21"/>
        </w:rPr>
        <w:t xml:space="preserve">Completion checkpoint: </w:t>
      </w:r>
      <w:r>
        <w:rPr>
          <w:rFonts w:ascii="Arial" w:cs="Arial" w:eastAsia="Arial" w:hAnsi="Arial"/>
          <w:color w:val="333333"/>
          <w:sz w:val="21"/>
          <w:szCs w:val="21"/>
        </w:rPr>
        <w:t xml:space="preserve">Articles of Organization filed. EIN obtained. Operating Agreement executed.</w:t>
      </w:r>
    </w:p>
    <w:p>
      <w:pPr>
        <w:pStyle w:val="Heading3"/>
        <w:spacing w:before="200" w:after="120"/>
      </w:pPr>
      <w:r>
        <w:rPr>
          <w:rFonts w:ascii="Arial" w:cs="Arial" w:eastAsia="Arial" w:hAnsi="Arial"/>
          <w:b/>
          <w:bCs/>
          <w:color w:val="1B2A4A"/>
          <w:sz w:val="22"/>
          <w:szCs w:val="22"/>
        </w:rPr>
        <w:t xml:space="preserve">Day 5–7: Foreign Qualification + Bank Accounts</w:t>
      </w:r>
    </w:p>
    <w:p>
      <w:pPr>
        <w:pStyle w:val="ListParagraph"/>
        <w:numPr>
          <w:ilvl w:val="0"/>
          <w:numId w:val="2"/>
        </w:numPr>
        <w:spacing w:after="80" w:line="280"/>
      </w:pPr>
      <w:r>
        <w:rPr>
          <w:rFonts w:ascii="Arial" w:cs="Arial" w:eastAsia="Arial" w:hAnsi="Arial"/>
          <w:b/>
          <w:bCs/>
          <w:color w:val="333333"/>
          <w:sz w:val="21"/>
          <w:szCs w:val="21"/>
        </w:rPr>
        <w:t xml:space="preserve">File Georgia Foreign Qualification </w:t>
      </w:r>
      <w:r>
        <w:rPr>
          <w:rFonts w:ascii="Arial" w:cs="Arial" w:eastAsia="Arial" w:hAnsi="Arial"/>
          <w:color w:val="333333"/>
          <w:sz w:val="21"/>
          <w:szCs w:val="21"/>
        </w:rPr>
        <w:t xml:space="preserve">for Eden Intelligence Group, Inc. Required to operate the Delaware entity in Georgia. $225.</w:t>
      </w:r>
    </w:p>
    <w:p>
      <w:pPr>
        <w:pStyle w:val="ListParagraph"/>
        <w:numPr>
          <w:ilvl w:val="0"/>
          <w:numId w:val="2"/>
        </w:numPr>
        <w:spacing w:after="80" w:line="280"/>
      </w:pPr>
      <w:r>
        <w:rPr>
          <w:rFonts w:ascii="Arial" w:cs="Arial" w:eastAsia="Arial" w:hAnsi="Arial"/>
          <w:b/>
          <w:bCs/>
          <w:color w:val="333333"/>
          <w:sz w:val="21"/>
          <w:szCs w:val="21"/>
        </w:rPr>
        <w:t xml:space="preserve">Open business bank account for Eden Intelligence Group </w:t>
      </w:r>
      <w:r>
        <w:rPr>
          <w:rFonts w:ascii="Arial" w:cs="Arial" w:eastAsia="Arial" w:hAnsi="Arial"/>
          <w:color w:val="333333"/>
          <w:sz w:val="21"/>
          <w:szCs w:val="21"/>
        </w:rPr>
        <w:t xml:space="preserve">— Mercury (recommended for startups, no minimums, no fees, integrates with accounting software). Apply online with Certificate of Incorporation + EIN.</w:t>
      </w:r>
    </w:p>
    <w:p>
      <w:pPr>
        <w:pStyle w:val="ListParagraph"/>
        <w:numPr>
          <w:ilvl w:val="0"/>
          <w:numId w:val="2"/>
        </w:numPr>
        <w:spacing w:after="80" w:line="280"/>
      </w:pPr>
      <w:r>
        <w:rPr>
          <w:rFonts w:ascii="Arial" w:cs="Arial" w:eastAsia="Arial" w:hAnsi="Arial"/>
          <w:b/>
          <w:bCs/>
          <w:color w:val="333333"/>
          <w:sz w:val="21"/>
          <w:szCs w:val="21"/>
        </w:rPr>
        <w:t xml:space="preserve">Open separate business bank account for Meridia, LLC </w:t>
      </w:r>
      <w:r>
        <w:rPr>
          <w:rFonts w:ascii="Arial" w:cs="Arial" w:eastAsia="Arial" w:hAnsi="Arial"/>
          <w:color w:val="333333"/>
          <w:sz w:val="21"/>
          <w:szCs w:val="21"/>
        </w:rPr>
        <w:t xml:space="preserve">— same bank or Relay as alternative. Apply with Articles of Organization + EIN.</w:t>
      </w:r>
    </w:p>
    <w:p>
      <w:pPr>
        <w:pStyle w:val="ListParagraph"/>
        <w:numPr>
          <w:ilvl w:val="0"/>
          <w:numId w:val="2"/>
        </w:numPr>
        <w:spacing w:after="80" w:line="280"/>
      </w:pPr>
      <w:r>
        <w:rPr>
          <w:rFonts w:ascii="Arial" w:cs="Arial" w:eastAsia="Arial" w:hAnsi="Arial"/>
          <w:b/>
          <w:bCs/>
          <w:color w:val="333333"/>
          <w:sz w:val="21"/>
          <w:szCs w:val="21"/>
        </w:rPr>
        <w:t xml:space="preserve">Set up basic accounting </w:t>
      </w:r>
      <w:r>
        <w:rPr>
          <w:rFonts w:ascii="Arial" w:cs="Arial" w:eastAsia="Arial" w:hAnsi="Arial"/>
          <w:color w:val="333333"/>
          <w:sz w:val="21"/>
          <w:szCs w:val="21"/>
        </w:rPr>
        <w:t xml:space="preserve">— Wave (free) or QuickBooks Simple Start ($15/mo). Chart of accounts for holding company + operating subsidiary.</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$225 (foreign qualification) + $0–$15 (accounting software)</w:t>
      </w:r>
    </w:p>
    <w:p>
      <w:pPr>
        <w:spacing w:after="160" w:line="300"/>
      </w:pPr>
      <w:r>
        <w:rPr>
          <w:rFonts w:ascii="Arial" w:cs="Arial" w:eastAsia="Arial" w:hAnsi="Arial"/>
          <w:b/>
          <w:bCs/>
          <w:color w:val="333333"/>
          <w:sz w:val="21"/>
          <w:szCs w:val="21"/>
        </w:rPr>
        <w:t xml:space="preserve">Completion checkpoint: </w:t>
      </w:r>
      <w:r>
        <w:rPr>
          <w:rFonts w:ascii="Arial" w:cs="Arial" w:eastAsia="Arial" w:hAnsi="Arial"/>
          <w:color w:val="333333"/>
          <w:sz w:val="21"/>
          <w:szCs w:val="21"/>
        </w:rPr>
        <w:t xml:space="preserve">Both entities legally operational in Georgia. Bank accounts open and funded. Accounting system active.</w:t>
      </w:r>
    </w:p>
    <w:p>
      <w:pPr>
        <w:pStyle w:val="Heading2"/>
        <w:spacing w:before="280" w:after="160"/>
      </w:pPr>
      <w:r>
        <w:rPr>
          <w:rFonts w:ascii="Georgia" w:cs="Georgia" w:eastAsia="Georgia" w:hAnsi="Georgia"/>
          <w:b/>
          <w:bCs/>
          <w:color w:val="2E5E8E"/>
          <w:sz w:val="26"/>
          <w:szCs w:val="26"/>
        </w:rPr>
        <w:t xml:space="preserve">Week 2 (Days 8–14): IP Architecture + Attorney Session</w:t>
      </w:r>
    </w:p>
    <w:p>
      <w:pPr>
        <w:pStyle w:val="Heading3"/>
        <w:spacing w:before="200" w:after="120"/>
      </w:pPr>
      <w:r>
        <w:rPr>
          <w:rFonts w:ascii="Arial" w:cs="Arial" w:eastAsia="Arial" w:hAnsi="Arial"/>
          <w:b/>
          <w:bCs/>
          <w:color w:val="1B2A4A"/>
          <w:sz w:val="22"/>
          <w:szCs w:val="22"/>
        </w:rPr>
        <w:t xml:space="preserve">Day 8–10: Attorney Engagement</w:t>
      </w:r>
    </w:p>
    <w:p>
      <w:pPr>
        <w:pStyle w:val="ListParagraph"/>
        <w:numPr>
          <w:ilvl w:val="0"/>
          <w:numId w:val="2"/>
        </w:numPr>
        <w:spacing w:after="80" w:line="280"/>
      </w:pPr>
      <w:r>
        <w:rPr>
          <w:rFonts w:ascii="Arial" w:cs="Arial" w:eastAsia="Arial" w:hAnsi="Arial"/>
          <w:b/>
          <w:bCs/>
          <w:color w:val="333333"/>
          <w:sz w:val="21"/>
          <w:szCs w:val="21"/>
        </w:rPr>
        <w:t xml:space="preserve">Engage startup/IP attorney for single fixed-fee session. </w:t>
      </w:r>
      <w:r>
        <w:rPr>
          <w:rFonts w:ascii="Arial" w:cs="Arial" w:eastAsia="Arial" w:hAnsi="Arial"/>
          <w:color w:val="333333"/>
          <w:sz w:val="21"/>
          <w:szCs w:val="21"/>
        </w:rPr>
        <w:t xml:space="preserve">Scope: review entity structure, draft IP Assignment Agreement (founder to Eden Intelligence Group), draft Intercompany IP License Agreement (Eden to Meridia), advise on provisional patent strategy. Target: $1,500–$2,500 fixed fee.</w:t>
      </w:r>
    </w:p>
    <w:p>
      <w:pPr>
        <w:pStyle w:val="ListParagraph"/>
        <w:numPr>
          <w:ilvl w:val="0"/>
          <w:numId w:val="3"/>
        </w:numPr>
        <w:spacing w:after="80" w:line="280"/>
      </w:pPr>
      <w:r>
        <w:rPr>
          <w:rFonts w:ascii="Arial" w:cs="Arial" w:eastAsia="Arial" w:hAnsi="Arial"/>
          <w:b/>
          <w:bCs/>
          <w:color w:val="333333"/>
          <w:sz w:val="21"/>
          <w:szCs w:val="21"/>
        </w:rPr>
        <w:t xml:space="preserve">Find via: </w:t>
      </w:r>
      <w:r>
        <w:rPr>
          <w:rFonts w:ascii="Arial" w:cs="Arial" w:eastAsia="Arial" w:hAnsi="Arial"/>
          <w:color w:val="333333"/>
          <w:sz w:val="21"/>
          <w:szCs w:val="21"/>
        </w:rPr>
        <w:t xml:space="preserve">Atlanta Volunteer Lawyers Foundation (if income-eligible), Georgia State SBDC free legal clinics, or LegalZoom/UpCounsel marketplace for fixed-fee startup packages.</w:t>
      </w:r>
    </w:p>
    <w:p>
      <w:pPr>
        <w:pStyle w:val="ListParagraph"/>
        <w:numPr>
          <w:ilvl w:val="0"/>
          <w:numId w:val="3"/>
        </w:numPr>
        <w:spacing w:after="80" w:line="280"/>
      </w:pPr>
      <w:r>
        <w:rPr>
          <w:rFonts w:ascii="Arial" w:cs="Arial" w:eastAsia="Arial" w:hAnsi="Arial"/>
          <w:b/>
          <w:bCs/>
          <w:color w:val="333333"/>
          <w:sz w:val="21"/>
          <w:szCs w:val="21"/>
        </w:rPr>
        <w:t xml:space="preserve">Alternative lean path: </w:t>
      </w:r>
      <w:r>
        <w:rPr>
          <w:rFonts w:ascii="Arial" w:cs="Arial" w:eastAsia="Arial" w:hAnsi="Arial"/>
          <w:color w:val="333333"/>
          <w:sz w:val="21"/>
          <w:szCs w:val="21"/>
        </w:rPr>
        <w:t xml:space="preserve">Use Clerky’s post-incorporation setup ($799 for full founder stock issuance, IP assignment, and corporate documents) and defer attorney to patent stage.</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$799–$2,500</w:t>
      </w:r>
    </w:p>
    <w:p>
      <w:pPr>
        <w:spacing w:after="160" w:line="300"/>
      </w:pPr>
      <w:r>
        <w:rPr>
          <w:rFonts w:ascii="Arial" w:cs="Arial" w:eastAsia="Arial" w:hAnsi="Arial"/>
          <w:b/>
          <w:bCs/>
          <w:color w:val="333333"/>
          <w:sz w:val="21"/>
          <w:szCs w:val="21"/>
        </w:rPr>
        <w:t xml:space="preserve">Completion checkpoint: </w:t>
      </w:r>
      <w:r>
        <w:rPr>
          <w:rFonts w:ascii="Arial" w:cs="Arial" w:eastAsia="Arial" w:hAnsi="Arial"/>
          <w:color w:val="333333"/>
          <w:sz w:val="21"/>
          <w:szCs w:val="21"/>
        </w:rPr>
        <w:t xml:space="preserve">IP Assignment Agreement executed (all IP transferred from Ali personally to Eden Intelligence Group). Intercompany License Agreement executed (Eden licenses IP to Meridia for operations). Founder stock issued.</w:t>
      </w:r>
    </w:p>
    <w:p>
      <w:pPr>
        <w:pStyle w:val="Heading3"/>
        <w:spacing w:before="200" w:after="120"/>
      </w:pPr>
      <w:r>
        <w:rPr>
          <w:rFonts w:ascii="Arial" w:cs="Arial" w:eastAsia="Arial" w:hAnsi="Arial"/>
          <w:b/>
          <w:bCs/>
          <w:color w:val="1B2A4A"/>
          <w:sz w:val="22"/>
          <w:szCs w:val="22"/>
        </w:rPr>
        <w:t xml:space="preserve">Day 11–14: Domain, Digital Infrastructure, Compliance</w:t>
      </w:r>
    </w:p>
    <w:p>
      <w:pPr>
        <w:pStyle w:val="ListParagraph"/>
        <w:numPr>
          <w:ilvl w:val="0"/>
          <w:numId w:val="2"/>
        </w:numPr>
        <w:spacing w:after="80" w:line="280"/>
      </w:pPr>
      <w:r>
        <w:rPr>
          <w:rFonts w:ascii="Arial" w:cs="Arial" w:eastAsia="Arial" w:hAnsi="Arial"/>
          <w:b/>
          <w:bCs/>
          <w:color w:val="333333"/>
          <w:sz w:val="21"/>
          <w:szCs w:val="21"/>
        </w:rPr>
        <w:t xml:space="preserve">Register edenintelligencegroup.com </w:t>
      </w:r>
      <w:r>
        <w:rPr>
          <w:rFonts w:ascii="Arial" w:cs="Arial" w:eastAsia="Arial" w:hAnsi="Arial"/>
          <w:color w:val="333333"/>
          <w:sz w:val="21"/>
          <w:szCs w:val="21"/>
        </w:rPr>
        <w:t xml:space="preserve">and meridia.tech (or preferred domains). ~$12–$30/year each.</w:t>
      </w:r>
    </w:p>
    <w:p>
      <w:pPr>
        <w:pStyle w:val="ListParagraph"/>
        <w:numPr>
          <w:ilvl w:val="0"/>
          <w:numId w:val="2"/>
        </w:numPr>
        <w:spacing w:after="80" w:line="280"/>
      </w:pPr>
      <w:r>
        <w:rPr>
          <w:rFonts w:ascii="Arial" w:cs="Arial" w:eastAsia="Arial" w:hAnsi="Arial"/>
          <w:b/>
          <w:bCs/>
          <w:color w:val="333333"/>
          <w:sz w:val="21"/>
          <w:szCs w:val="21"/>
        </w:rPr>
        <w:t xml:space="preserve">Set up professional email </w:t>
      </w:r>
      <w:r>
        <w:rPr>
          <w:rFonts w:ascii="Arial" w:cs="Arial" w:eastAsia="Arial" w:hAnsi="Arial"/>
          <w:color w:val="333333"/>
          <w:sz w:val="21"/>
          <w:szCs w:val="21"/>
        </w:rPr>
        <w:t xml:space="preserve">— Google Workspace ($6/mo) or Microsoft 365 ($6/mo). Use edenintelligencegroup.com domain.</w:t>
      </w:r>
    </w:p>
    <w:p>
      <w:pPr>
        <w:pStyle w:val="ListParagraph"/>
        <w:numPr>
          <w:ilvl w:val="0"/>
          <w:numId w:val="2"/>
        </w:numPr>
        <w:spacing w:after="80" w:line="280"/>
      </w:pPr>
      <w:r>
        <w:rPr>
          <w:rFonts w:ascii="Arial" w:cs="Arial" w:eastAsia="Arial" w:hAnsi="Arial"/>
          <w:b/>
          <w:bCs/>
          <w:color w:val="333333"/>
          <w:sz w:val="21"/>
          <w:szCs w:val="21"/>
        </w:rPr>
        <w:t xml:space="preserve">Georgia business license </w:t>
      </w:r>
      <w:r>
        <w:rPr>
          <w:rFonts w:ascii="Arial" w:cs="Arial" w:eastAsia="Arial" w:hAnsi="Arial"/>
          <w:color w:val="333333"/>
          <w:sz w:val="21"/>
          <w:szCs w:val="21"/>
        </w:rPr>
        <w:t xml:space="preserve">— check Fulton County / City of Alpharetta requirements. Home-based technology business typically $75–$150.</w:t>
      </w:r>
    </w:p>
    <w:p>
      <w:pPr>
        <w:pStyle w:val="ListParagraph"/>
        <w:numPr>
          <w:ilvl w:val="0"/>
          <w:numId w:val="2"/>
        </w:numPr>
        <w:spacing w:after="80" w:line="280"/>
      </w:pPr>
      <w:r>
        <w:rPr>
          <w:rFonts w:ascii="Arial" w:cs="Arial" w:eastAsia="Arial" w:hAnsi="Arial"/>
          <w:b/>
          <w:bCs/>
          <w:color w:val="333333"/>
          <w:sz w:val="21"/>
          <w:szCs w:val="21"/>
        </w:rPr>
        <w:t xml:space="preserve">Register with Georgia Department of Revenue </w:t>
      </w:r>
      <w:r>
        <w:rPr>
          <w:rFonts w:ascii="Arial" w:cs="Arial" w:eastAsia="Arial" w:hAnsi="Arial"/>
          <w:color w:val="333333"/>
          <w:sz w:val="21"/>
          <w:szCs w:val="21"/>
        </w:rPr>
        <w:t xml:space="preserve">if applicable. Free.</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$100–$250</w:t>
      </w:r>
    </w:p>
    <w:p>
      <w:pPr>
        <w:spacing w:after="160" w:line="300"/>
      </w:pPr>
      <w:r>
        <w:rPr>
          <w:rFonts w:ascii="Arial" w:cs="Arial" w:eastAsia="Arial" w:hAnsi="Arial"/>
          <w:b/>
          <w:bCs/>
          <w:color w:val="333333"/>
          <w:sz w:val="21"/>
          <w:szCs w:val="21"/>
        </w:rPr>
        <w:t xml:space="preserve">Completion checkpoint: </w:t>
      </w:r>
      <w:r>
        <w:rPr>
          <w:rFonts w:ascii="Arial" w:cs="Arial" w:eastAsia="Arial" w:hAnsi="Arial"/>
          <w:color w:val="333333"/>
          <w:sz w:val="21"/>
          <w:szCs w:val="21"/>
        </w:rPr>
        <w:t xml:space="preserve">Professional email operational. Domains secured. Local compliance addressed.</w:t>
      </w:r>
    </w:p>
    <w:p>
      <w:pPr>
        <w:pStyle w:val="Heading2"/>
        <w:spacing w:before="280" w:after="160"/>
      </w:pPr>
      <w:r>
        <w:rPr>
          <w:rFonts w:ascii="Georgia" w:cs="Georgia" w:eastAsia="Georgia" w:hAnsi="Georgia"/>
          <w:b/>
          <w:bCs/>
          <w:color w:val="2E5E8E"/>
          <w:sz w:val="26"/>
          <w:szCs w:val="26"/>
        </w:rPr>
        <w:t xml:space="preserve">Week 3–4 (Days 15–30): Cloud Credits + Accelerator Pipeline</w:t>
      </w:r>
    </w:p>
    <w:p>
      <w:pPr>
        <w:pStyle w:val="Heading3"/>
        <w:spacing w:before="200" w:after="120"/>
      </w:pPr>
      <w:r>
        <w:rPr>
          <w:rFonts w:ascii="Arial" w:cs="Arial" w:eastAsia="Arial" w:hAnsi="Arial"/>
          <w:b/>
          <w:bCs/>
          <w:color w:val="1B2A4A"/>
          <w:sz w:val="22"/>
          <w:szCs w:val="22"/>
        </w:rPr>
        <w:t xml:space="preserve">Day 15–20: Cloud Credit Applications</w:t>
      </w:r>
    </w:p>
    <w:p>
      <w:pPr>
        <w:pStyle w:val="ListParagraph"/>
        <w:numPr>
          <w:ilvl w:val="0"/>
          <w:numId w:val="2"/>
        </w:numPr>
        <w:spacing w:after="80" w:line="280"/>
      </w:pPr>
      <w:r>
        <w:rPr>
          <w:rFonts w:ascii="Arial" w:cs="Arial" w:eastAsia="Arial" w:hAnsi="Arial"/>
          <w:b/>
          <w:bCs/>
          <w:color w:val="333333"/>
          <w:sz w:val="21"/>
          <w:szCs w:val="21"/>
        </w:rPr>
        <w:t xml:space="preserve">Apply to AWS Activate </w:t>
      </w:r>
      <w:r>
        <w:rPr>
          <w:rFonts w:ascii="Arial" w:cs="Arial" w:eastAsia="Arial" w:hAnsi="Arial"/>
          <w:color w:val="333333"/>
          <w:sz w:val="21"/>
          <w:szCs w:val="21"/>
        </w:rPr>
        <w:t xml:space="preserve">— up to $100,000 in credits for startups. Requires: business name, website, description of what you’re building. Free to apply.</w:t>
      </w:r>
    </w:p>
    <w:p>
      <w:pPr>
        <w:pStyle w:val="ListParagraph"/>
        <w:numPr>
          <w:ilvl w:val="0"/>
          <w:numId w:val="2"/>
        </w:numPr>
        <w:spacing w:after="80" w:line="280"/>
      </w:pPr>
      <w:r>
        <w:rPr>
          <w:rFonts w:ascii="Arial" w:cs="Arial" w:eastAsia="Arial" w:hAnsi="Arial"/>
          <w:b/>
          <w:bCs/>
          <w:color w:val="333333"/>
          <w:sz w:val="21"/>
          <w:szCs w:val="21"/>
        </w:rPr>
        <w:t xml:space="preserve">Apply to Google for Startups Cloud Program </w:t>
      </w:r>
      <w:r>
        <w:rPr>
          <w:rFonts w:ascii="Arial" w:cs="Arial" w:eastAsia="Arial" w:hAnsi="Arial"/>
          <w:color w:val="333333"/>
          <w:sz w:val="21"/>
          <w:szCs w:val="21"/>
        </w:rPr>
        <w:t xml:space="preserve">— $100,000–$350,000 in Google Cloud credits for AI startups. Higher amounts for companies using AI/ML.</w:t>
      </w:r>
    </w:p>
    <w:p>
      <w:pPr>
        <w:pStyle w:val="ListParagraph"/>
        <w:numPr>
          <w:ilvl w:val="0"/>
          <w:numId w:val="2"/>
        </w:numPr>
        <w:spacing w:after="80" w:line="280"/>
      </w:pPr>
      <w:r>
        <w:rPr>
          <w:rFonts w:ascii="Arial" w:cs="Arial" w:eastAsia="Arial" w:hAnsi="Arial"/>
          <w:b/>
          <w:bCs/>
          <w:color w:val="333333"/>
          <w:sz w:val="21"/>
          <w:szCs w:val="21"/>
        </w:rPr>
        <w:t xml:space="preserve">Apply to Microsoft for Startups (Founders Hub) </w:t>
      </w:r>
      <w:r>
        <w:rPr>
          <w:rFonts w:ascii="Arial" w:cs="Arial" w:eastAsia="Arial" w:hAnsi="Arial"/>
          <w:color w:val="333333"/>
          <w:sz w:val="21"/>
          <w:szCs w:val="21"/>
        </w:rPr>
        <w:t xml:space="preserve">— up to $150,000 in Azure credits plus GitHub Enterprise, LinkedIn resources. Free to apply.</w:t>
      </w:r>
    </w:p>
    <w:p>
      <w:pPr>
        <w:spacing w:after="160" w:line="300"/>
        <w:jc w:val="both"/>
      </w:pPr>
      <w:r>
        <w:rPr>
          <w:rFonts w:ascii="Arial" w:cs="Arial" w:eastAsia="Arial" w:hAnsi="Arial"/>
          <w:color w:val="333333"/>
          <w:sz w:val="21"/>
          <w:szCs w:val="21"/>
        </w:rPr>
        <w:t xml:space="preserve">These three applications represent up to $600,000 in non-dilutive compute resources. They require a registered business entity, which is why they follow entity formation. Each takes 15–30 minutes to complete. Approval typically takes 1–4 weeks.</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w:t>
      </w:r>
    </w:p>
    <w:p>
      <w:pPr>
        <w:spacing w:after="160" w:line="300"/>
      </w:pPr>
      <w:r>
        <w:rPr>
          <w:rFonts w:ascii="Arial" w:cs="Arial" w:eastAsia="Arial" w:hAnsi="Arial"/>
          <w:b/>
          <w:bCs/>
          <w:color w:val="333333"/>
          <w:sz w:val="21"/>
          <w:szCs w:val="21"/>
        </w:rPr>
        <w:t xml:space="preserve">Completion checkpoint: </w:t>
      </w:r>
      <w:r>
        <w:rPr>
          <w:rFonts w:ascii="Arial" w:cs="Arial" w:eastAsia="Arial" w:hAnsi="Arial"/>
          <w:color w:val="333333"/>
          <w:sz w:val="21"/>
          <w:szCs w:val="21"/>
        </w:rPr>
        <w:t xml:space="preserve">All three applications submitted. Confirmation emails saved.</w:t>
      </w:r>
    </w:p>
    <w:p>
      <w:pPr>
        <w:pStyle w:val="Heading3"/>
        <w:spacing w:before="200" w:after="120"/>
      </w:pPr>
      <w:r>
        <w:rPr>
          <w:rFonts w:ascii="Arial" w:cs="Arial" w:eastAsia="Arial" w:hAnsi="Arial"/>
          <w:b/>
          <w:bCs/>
          <w:color w:val="1B2A4A"/>
          <w:sz w:val="22"/>
          <w:szCs w:val="22"/>
        </w:rPr>
        <w:t xml:space="preserve">Day 20–30: Accelerator Research + Applications</w:t>
      </w:r>
    </w:p>
    <w:p>
      <w:pPr>
        <w:pStyle w:val="ListParagraph"/>
        <w:numPr>
          <w:ilvl w:val="0"/>
          <w:numId w:val="2"/>
        </w:numPr>
        <w:spacing w:after="80" w:line="280"/>
      </w:pPr>
      <w:r>
        <w:rPr>
          <w:rFonts w:ascii="Arial" w:cs="Arial" w:eastAsia="Arial" w:hAnsi="Arial"/>
          <w:b/>
          <w:bCs/>
          <w:color w:val="333333"/>
          <w:sz w:val="21"/>
          <w:szCs w:val="21"/>
        </w:rPr>
        <w:t xml:space="preserve">Research Pinnacle Atlanta Innovation Accelerator </w:t>
      </w:r>
      <w:r>
        <w:rPr>
          <w:rFonts w:ascii="Arial" w:cs="Arial" w:eastAsia="Arial" w:hAnsi="Arial"/>
          <w:color w:val="333333"/>
          <w:sz w:val="21"/>
          <w:szCs w:val="21"/>
        </w:rPr>
        <w:t xml:space="preserve">— $100K investment, 12-week program, focused on underserved fintech founders in metro Atlanta. Identify next cohort application deadline.</w:t>
      </w:r>
    </w:p>
    <w:p>
      <w:pPr>
        <w:pStyle w:val="ListParagraph"/>
        <w:numPr>
          <w:ilvl w:val="0"/>
          <w:numId w:val="2"/>
        </w:numPr>
        <w:spacing w:after="80" w:line="280"/>
      </w:pPr>
      <w:r>
        <w:rPr>
          <w:rFonts w:ascii="Arial" w:cs="Arial" w:eastAsia="Arial" w:hAnsi="Arial"/>
          <w:b/>
          <w:bCs/>
          <w:color w:val="333333"/>
          <w:sz w:val="21"/>
          <w:szCs w:val="21"/>
        </w:rPr>
        <w:t xml:space="preserve">Research Curql Accelerate Cohort 5 </w:t>
      </w:r>
      <w:r>
        <w:rPr>
          <w:rFonts w:ascii="Arial" w:cs="Arial" w:eastAsia="Arial" w:hAnsi="Arial"/>
          <w:color w:val="333333"/>
          <w:sz w:val="21"/>
          <w:szCs w:val="21"/>
        </w:rPr>
        <w:t xml:space="preserve">— gener8tor partnership, credit union distribution channel, 160+ credit union members. Identify application timeline.</w:t>
      </w:r>
    </w:p>
    <w:p>
      <w:pPr>
        <w:pStyle w:val="ListParagraph"/>
        <w:numPr>
          <w:ilvl w:val="0"/>
          <w:numId w:val="2"/>
        </w:numPr>
        <w:spacing w:after="80" w:line="280"/>
      </w:pPr>
      <w:r>
        <w:rPr>
          <w:rFonts w:ascii="Arial" w:cs="Arial" w:eastAsia="Arial" w:hAnsi="Arial"/>
          <w:b/>
          <w:bCs/>
          <w:color w:val="333333"/>
          <w:sz w:val="21"/>
          <w:szCs w:val="21"/>
        </w:rPr>
        <w:t xml:space="preserve">Research Hub71 (Abu Dhabi) </w:t>
      </w:r>
      <w:r>
        <w:rPr>
          <w:rFonts w:ascii="Arial" w:cs="Arial" w:eastAsia="Arial" w:hAnsi="Arial"/>
          <w:color w:val="333333"/>
          <w:sz w:val="21"/>
          <w:szCs w:val="21"/>
        </w:rPr>
        <w:t xml:space="preserve">— 100% subsidies, SWF access. Will apply after DIFC entity established in Phase C.</w:t>
      </w:r>
    </w:p>
    <w:p>
      <w:pPr>
        <w:pStyle w:val="ListParagraph"/>
        <w:numPr>
          <w:ilvl w:val="0"/>
          <w:numId w:val="2"/>
        </w:numPr>
        <w:spacing w:after="80" w:line="280"/>
      </w:pPr>
      <w:r>
        <w:rPr>
          <w:rFonts w:ascii="Arial" w:cs="Arial" w:eastAsia="Arial" w:hAnsi="Arial"/>
          <w:b/>
          <w:bCs/>
          <w:color w:val="333333"/>
          <w:sz w:val="21"/>
          <w:szCs w:val="21"/>
        </w:rPr>
        <w:t xml:space="preserve">Research Google for Startups Black Founders Fund </w:t>
      </w:r>
      <w:r>
        <w:rPr>
          <w:rFonts w:ascii="Arial" w:cs="Arial" w:eastAsia="Arial" w:hAnsi="Arial"/>
          <w:color w:val="333333"/>
          <w:sz w:val="21"/>
          <w:szCs w:val="21"/>
        </w:rPr>
        <w:t xml:space="preserve">— non-dilutive grants, $25M+ deployed. Identify current application status.</w:t>
      </w:r>
    </w:p>
    <w:p>
      <w:pPr>
        <w:pStyle w:val="ListParagraph"/>
        <w:numPr>
          <w:ilvl w:val="0"/>
          <w:numId w:val="2"/>
        </w:numPr>
        <w:spacing w:after="80" w:line="280"/>
      </w:pPr>
      <w:r>
        <w:rPr>
          <w:rFonts w:ascii="Arial" w:cs="Arial" w:eastAsia="Arial" w:hAnsi="Arial"/>
          <w:b/>
          <w:bCs/>
          <w:color w:val="333333"/>
          <w:sz w:val="21"/>
          <w:szCs w:val="21"/>
        </w:rPr>
        <w:t xml:space="preserve">Begin drafting accelerator application materials: </w:t>
      </w:r>
      <w:r>
        <w:rPr>
          <w:rFonts w:ascii="Arial" w:cs="Arial" w:eastAsia="Arial" w:hAnsi="Arial"/>
          <w:color w:val="333333"/>
          <w:sz w:val="21"/>
          <w:szCs w:val="21"/>
        </w:rPr>
        <w:t xml:space="preserve">one-page executive summary, problem/solution narrative, market size, competitive differentiation, founder story, current traction (operational platform with 24 endpoints).</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w:t>
      </w:r>
    </w:p>
    <w:p>
      <w:pPr>
        <w:spacing w:after="160" w:line="300"/>
      </w:pPr>
      <w:r>
        <w:rPr>
          <w:rFonts w:ascii="Arial" w:cs="Arial" w:eastAsia="Arial" w:hAnsi="Arial"/>
          <w:b/>
          <w:bCs/>
          <w:color w:val="333333"/>
          <w:sz w:val="21"/>
          <w:szCs w:val="21"/>
        </w:rPr>
        <w:t xml:space="preserve">Completion checkpoint: </w:t>
      </w:r>
      <w:r>
        <w:rPr>
          <w:rFonts w:ascii="Arial" w:cs="Arial" w:eastAsia="Arial" w:hAnsi="Arial"/>
          <w:color w:val="333333"/>
          <w:sz w:val="21"/>
          <w:szCs w:val="21"/>
        </w:rPr>
        <w:t xml:space="preserve">Application pipeline documented with deadlines. Draft application materials complete.</w:t>
      </w:r>
    </w:p>
    <w:p>
      <w:pPr>
        <w:pStyle w:val="Heading2"/>
        <w:spacing w:before="280" w:after="160"/>
      </w:pPr>
      <w:r>
        <w:rPr>
          <w:rFonts w:ascii="Georgia" w:cs="Georgia" w:eastAsia="Georgia" w:hAnsi="Georgia"/>
          <w:b/>
          <w:bCs/>
          <w:color w:val="2E5E8E"/>
          <w:sz w:val="26"/>
          <w:szCs w:val="26"/>
        </w:rPr>
        <w:t xml:space="preserve">Phase A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Low Estimate</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High Estimate</w:t>
            </w:r>
          </w:p>
        </w:tc>
      </w:tr>
      <w:tr>
        <w:tc>
          <w:tcPr>
            <w:tcW w:type="dxa" w:w="46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Delaware C-Corp (Clerky)</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$350</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$350</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Georgia LLC</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$105</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$105</w:t>
            </w:r>
          </w:p>
        </w:tc>
      </w:tr>
      <w:tr>
        <w:tc>
          <w:tcPr>
            <w:tcW w:type="dxa" w:w="46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Foreign Qualification</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$225</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$225</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Attorney / Clerky post-incorp</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$799</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$2,500</w:t>
            </w:r>
          </w:p>
        </w:tc>
      </w:tr>
      <w:tr>
        <w:tc>
          <w:tcPr>
            <w:tcW w:type="dxa" w:w="46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Domains + email + local license</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$100</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$250</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Accounting software (3 months)</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$45</w:t>
            </w:r>
          </w:p>
        </w:tc>
      </w:tr>
      <w:tr>
        <w:tc>
          <w:tcPr>
            <w:tcW w:type="dxa" w:w="46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PHASE A TOTAL</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$1,579</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$3,475</w:t>
            </w:r>
          </w:p>
        </w:tc>
      </w:tr>
    </w:tbl>
    <w:p>
      <w:pPr>
        <w:spacing w:before="80" w:after="80"/>
      </w:pPr>
    </w:p>
    <w:p>
      <w:r>
        <w:br w:type="page"/>
      </w:r>
    </w:p>
    <w:p>
      <w:pPr>
        <w:pStyle w:val="Heading1"/>
        <w:pBdr>
          <w:bottom w:val="single" w:color="C5922E" w:sz="4" w:space="8"/>
        </w:pBdr>
        <w:spacing w:before="360" w:after="200"/>
      </w:pPr>
      <w:r>
        <w:rPr>
          <w:rFonts w:ascii="Georgia" w:cs="Georgia" w:eastAsia="Georgia" w:hAnsi="Georgia"/>
          <w:b/>
          <w:bCs/>
          <w:color w:val="1B2A4A"/>
          <w:sz w:val="32"/>
          <w:szCs w:val="32"/>
        </w:rPr>
        <w:t xml:space="preserve">Phase B: AIA Cognitive Infrastructure (Days 15–60)</w:t>
      </w:r>
    </w:p>
    <w:p>
      <w:pPr>
        <w:pBdr>
          <w:left w:val="single" w:color="C5922E" w:sz="12" w:space="12"/>
        </w:pBdr>
        <w:spacing w:before="200" w:after="200" w:line="300"/>
        <w:ind w:left="360" w:right="360"/>
      </w:pPr>
      <w:r>
        <w:rPr>
          <w:rFonts w:ascii="Arial" w:cs="Arial" w:eastAsia="Arial" w:hAnsi="Arial"/>
          <w:b/>
          <w:bCs/>
          <w:i/>
          <w:iCs/>
          <w:color w:val="1B2A4A"/>
          <w:sz w:val="21"/>
          <w:szCs w:val="21"/>
        </w:rPr>
        <w:t xml:space="preserve">Objective: Replace the Poe API dependency with direct model integrations that give the AIA its own compliant, auditable, sovereign cognitive infrastructure. This is the gating item for every revenue-generating product.</w:t>
      </w:r>
    </w:p>
    <w:p>
      <w:pPr>
        <w:spacing w:after="160" w:line="300"/>
        <w:jc w:val="both"/>
      </w:pPr>
      <w:r>
        <w:rPr>
          <w:rFonts w:ascii="Arial" w:cs="Arial" w:eastAsia="Arial" w:hAnsi="Arial"/>
          <w:color w:val="333333"/>
          <w:sz w:val="21"/>
          <w:szCs w:val="21"/>
        </w:rPr>
        <w:t xml:space="preserve">This phase overlaps with Phase A intentionally. Development work begins on Day 15 while the legal foundation is being finalized. The cost is almost entirely labor (your time + AI collaboration) with minimal API expenses during development.</w:t>
      </w:r>
    </w:p>
    <w:p>
      <w:pPr>
        <w:pStyle w:val="Heading2"/>
        <w:spacing w:before="280" w:after="160"/>
      </w:pPr>
      <w:r>
        <w:rPr>
          <w:rFonts w:ascii="Georgia" w:cs="Georgia" w:eastAsia="Georgia" w:hAnsi="Georgia"/>
          <w:b/>
          <w:bCs/>
          <w:color w:val="2E5E8E"/>
          <w:sz w:val="26"/>
          <w:szCs w:val="26"/>
        </w:rPr>
        <w:t xml:space="preserve">Week 3–4 (Days 15–28): Architecture Design + API Setup</w:t>
      </w:r>
    </w:p>
    <w:p>
      <w:pPr>
        <w:pStyle w:val="Heading3"/>
        <w:spacing w:before="200" w:after="120"/>
      </w:pPr>
      <w:r>
        <w:rPr>
          <w:rFonts w:ascii="Arial" w:cs="Arial" w:eastAsia="Arial" w:hAnsi="Arial"/>
          <w:b/>
          <w:bCs/>
          <w:color w:val="1B2A4A"/>
          <w:sz w:val="22"/>
          <w:szCs w:val="22"/>
        </w:rPr>
        <w:t xml:space="preserve">Day 15–18: API Account Setup</w:t>
      </w:r>
    </w:p>
    <w:p>
      <w:pPr>
        <w:pStyle w:val="ListParagraph"/>
        <w:numPr>
          <w:ilvl w:val="0"/>
          <w:numId w:val="2"/>
        </w:numPr>
        <w:spacing w:after="80" w:line="280"/>
      </w:pPr>
      <w:r>
        <w:rPr>
          <w:rFonts w:ascii="Arial" w:cs="Arial" w:eastAsia="Arial" w:hAnsi="Arial"/>
          <w:b/>
          <w:bCs/>
          <w:color w:val="333333"/>
          <w:sz w:val="21"/>
          <w:szCs w:val="21"/>
        </w:rPr>
        <w:t xml:space="preserve">Create Anthropic API account </w:t>
      </w:r>
      <w:r>
        <w:rPr>
          <w:rFonts w:ascii="Arial" w:cs="Arial" w:eastAsia="Arial" w:hAnsi="Arial"/>
          <w:color w:val="333333"/>
          <w:sz w:val="21"/>
          <w:szCs w:val="21"/>
        </w:rPr>
        <w:t xml:space="preserve">(Claude). Add payment method. Review pricing: Sonnet for routine tasks, Opus for strategic/complex work. Development usage will be minimal.</w:t>
      </w:r>
    </w:p>
    <w:p>
      <w:pPr>
        <w:pStyle w:val="ListParagraph"/>
        <w:numPr>
          <w:ilvl w:val="0"/>
          <w:numId w:val="2"/>
        </w:numPr>
        <w:spacing w:after="80" w:line="280"/>
      </w:pPr>
      <w:r>
        <w:rPr>
          <w:rFonts w:ascii="Arial" w:cs="Arial" w:eastAsia="Arial" w:hAnsi="Arial"/>
          <w:b/>
          <w:bCs/>
          <w:color w:val="333333"/>
          <w:sz w:val="21"/>
          <w:szCs w:val="21"/>
        </w:rPr>
        <w:t xml:space="preserve">Create OpenAI API account </w:t>
      </w:r>
      <w:r>
        <w:rPr>
          <w:rFonts w:ascii="Arial" w:cs="Arial" w:eastAsia="Arial" w:hAnsi="Arial"/>
          <w:color w:val="333333"/>
          <w:sz w:val="21"/>
          <w:szCs w:val="21"/>
        </w:rPr>
        <w:t xml:space="preserve">(GPT). Add payment method. Review pricing tiers.</w:t>
      </w:r>
    </w:p>
    <w:p>
      <w:pPr>
        <w:pStyle w:val="ListParagraph"/>
        <w:numPr>
          <w:ilvl w:val="0"/>
          <w:numId w:val="2"/>
        </w:numPr>
        <w:spacing w:after="80" w:line="280"/>
      </w:pPr>
      <w:r>
        <w:rPr>
          <w:rFonts w:ascii="Arial" w:cs="Arial" w:eastAsia="Arial" w:hAnsi="Arial"/>
          <w:b/>
          <w:bCs/>
          <w:color w:val="333333"/>
          <w:sz w:val="21"/>
          <w:szCs w:val="21"/>
        </w:rPr>
        <w:t xml:space="preserve">Create Google AI Studio / Vertex AI account </w:t>
      </w:r>
      <w:r>
        <w:rPr>
          <w:rFonts w:ascii="Arial" w:cs="Arial" w:eastAsia="Arial" w:hAnsi="Arial"/>
          <w:color w:val="333333"/>
          <w:sz w:val="21"/>
          <w:szCs w:val="21"/>
        </w:rPr>
        <w:t xml:space="preserve">(Gemini). Free tier available for development. $300 in free credits for new Google Cloud accounts.</w:t>
      </w:r>
    </w:p>
    <w:p>
      <w:pPr>
        <w:pStyle w:val="ListParagraph"/>
        <w:numPr>
          <w:ilvl w:val="0"/>
          <w:numId w:val="2"/>
        </w:numPr>
        <w:spacing w:after="80" w:line="280"/>
      </w:pPr>
      <w:r>
        <w:rPr>
          <w:rFonts w:ascii="Arial" w:cs="Arial" w:eastAsia="Arial" w:hAnsi="Arial"/>
          <w:b/>
          <w:bCs/>
          <w:color w:val="333333"/>
          <w:sz w:val="21"/>
          <w:szCs w:val="21"/>
        </w:rPr>
        <w:t xml:space="preserve">Document API pricing comparison </w:t>
      </w:r>
      <w:r>
        <w:rPr>
          <w:rFonts w:ascii="Arial" w:cs="Arial" w:eastAsia="Arial" w:hAnsi="Arial"/>
          <w:color w:val="333333"/>
          <w:sz w:val="21"/>
          <w:szCs w:val="21"/>
        </w:rPr>
        <w:t xml:space="preserve">across all three providers for each model tier. This becomes Integra’s first reference asset.</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 (account setup is free; usage billed monthly)</w:t>
      </w:r>
    </w:p>
    <w:p>
      <w:pPr>
        <w:pStyle w:val="Heading3"/>
        <w:spacing w:before="200" w:after="120"/>
      </w:pPr>
      <w:r>
        <w:rPr>
          <w:rFonts w:ascii="Arial" w:cs="Arial" w:eastAsia="Arial" w:hAnsi="Arial"/>
          <w:b/>
          <w:bCs/>
          <w:color w:val="1B2A4A"/>
          <w:sz w:val="22"/>
          <w:szCs w:val="22"/>
        </w:rPr>
        <w:t xml:space="preserve">Day 18–28: Core Architecture Build</w:t>
      </w:r>
    </w:p>
    <w:p>
      <w:pPr>
        <w:pStyle w:val="ListParagraph"/>
        <w:numPr>
          <w:ilvl w:val="0"/>
          <w:numId w:val="2"/>
        </w:numPr>
        <w:spacing w:after="80" w:line="280"/>
      </w:pPr>
      <w:r>
        <w:rPr>
          <w:rFonts w:ascii="Arial" w:cs="Arial" w:eastAsia="Arial" w:hAnsi="Arial"/>
          <w:b/>
          <w:bCs/>
          <w:color w:val="333333"/>
          <w:sz w:val="21"/>
          <w:szCs w:val="21"/>
        </w:rPr>
        <w:t xml:space="preserve">Design the routing layer: </w:t>
      </w:r>
      <w:r>
        <w:rPr>
          <w:rFonts w:ascii="Arial" w:cs="Arial" w:eastAsia="Arial" w:hAnsi="Arial"/>
          <w:color w:val="333333"/>
          <w:sz w:val="21"/>
          <w:szCs w:val="21"/>
        </w:rPr>
        <w:t xml:space="preserve">which model handles which task type. Claude for strategic analysis and writing. GPT for code generation and structured data. Gemini for multimodal tasks and bulk processing. This is the foundation of Integra’s multi-model orchestration.</w:t>
      </w:r>
    </w:p>
    <w:p>
      <w:pPr>
        <w:pStyle w:val="ListParagraph"/>
        <w:numPr>
          <w:ilvl w:val="0"/>
          <w:numId w:val="2"/>
        </w:numPr>
        <w:spacing w:after="80" w:line="280"/>
      </w:pPr>
      <w:r>
        <w:rPr>
          <w:rFonts w:ascii="Arial" w:cs="Arial" w:eastAsia="Arial" w:hAnsi="Arial"/>
          <w:b/>
          <w:bCs/>
          <w:color w:val="333333"/>
          <w:sz w:val="21"/>
          <w:szCs w:val="21"/>
        </w:rPr>
        <w:t xml:space="preserve">Build API integration modules: </w:t>
      </w:r>
      <w:r>
        <w:rPr>
          <w:rFonts w:ascii="Arial" w:cs="Arial" w:eastAsia="Arial" w:hAnsi="Arial"/>
          <w:color w:val="333333"/>
          <w:sz w:val="21"/>
          <w:szCs w:val="21"/>
        </w:rPr>
        <w:t xml:space="preserve">standardized request/response handling for each provider. Error handling. Fallback routing (if primary model fails, route to secondary).</w:t>
      </w:r>
    </w:p>
    <w:p>
      <w:pPr>
        <w:pStyle w:val="ListParagraph"/>
        <w:numPr>
          <w:ilvl w:val="0"/>
          <w:numId w:val="2"/>
        </w:numPr>
        <w:spacing w:after="80" w:line="280"/>
      </w:pPr>
      <w:r>
        <w:rPr>
          <w:rFonts w:ascii="Arial" w:cs="Arial" w:eastAsia="Arial" w:hAnsi="Arial"/>
          <w:b/>
          <w:bCs/>
          <w:color w:val="333333"/>
          <w:sz w:val="21"/>
          <w:szCs w:val="21"/>
        </w:rPr>
        <w:t xml:space="preserve">Build audit trail system: </w:t>
      </w:r>
      <w:r>
        <w:rPr>
          <w:rFonts w:ascii="Arial" w:cs="Arial" w:eastAsia="Arial" w:hAnsi="Arial"/>
          <w:color w:val="333333"/>
          <w:sz w:val="21"/>
          <w:szCs w:val="21"/>
        </w:rPr>
        <w:t xml:space="preserve">every API call logged with timestamp, model used, input hash, output hash, token count, cost. This is non-negotiable for financial services compliance.</w:t>
      </w:r>
    </w:p>
    <w:p>
      <w:pPr>
        <w:pStyle w:val="ListParagraph"/>
        <w:numPr>
          <w:ilvl w:val="0"/>
          <w:numId w:val="2"/>
        </w:numPr>
        <w:spacing w:after="80" w:line="280"/>
      </w:pPr>
      <w:r>
        <w:rPr>
          <w:rFonts w:ascii="Arial" w:cs="Arial" w:eastAsia="Arial" w:hAnsi="Arial"/>
          <w:b/>
          <w:bCs/>
          <w:color w:val="333333"/>
          <w:sz w:val="21"/>
          <w:szCs w:val="21"/>
        </w:rPr>
        <w:t xml:space="preserve">Build RBAC foundation: </w:t>
      </w:r>
      <w:r>
        <w:rPr>
          <w:rFonts w:ascii="Arial" w:cs="Arial" w:eastAsia="Arial" w:hAnsi="Arial"/>
          <w:color w:val="333333"/>
          <w:sz w:val="21"/>
          <w:szCs w:val="21"/>
        </w:rPr>
        <w:t xml:space="preserve">role-based access control. Define permission levels: admin (full access), operator (execute tasks), viewer (read-only). Even as a solo operator, build this now — investors and auditors will ask for it.</w:t>
      </w:r>
    </w:p>
    <w:p>
      <w:pPr>
        <w:pStyle w:val="ListParagraph"/>
        <w:numPr>
          <w:ilvl w:val="0"/>
          <w:numId w:val="2"/>
        </w:numPr>
        <w:spacing w:after="80" w:line="280"/>
      </w:pPr>
      <w:r>
        <w:rPr>
          <w:rFonts w:ascii="Arial" w:cs="Arial" w:eastAsia="Arial" w:hAnsi="Arial"/>
          <w:b/>
          <w:bCs/>
          <w:color w:val="333333"/>
          <w:sz w:val="21"/>
          <w:szCs w:val="21"/>
        </w:rPr>
        <w:t xml:space="preserve">Build memory management layer: </w:t>
      </w:r>
      <w:r>
        <w:rPr>
          <w:rFonts w:ascii="Arial" w:cs="Arial" w:eastAsia="Arial" w:hAnsi="Arial"/>
          <w:color w:val="333333"/>
          <w:sz w:val="21"/>
          <w:szCs w:val="21"/>
        </w:rPr>
        <w:t xml:space="preserve">persistent context storage for the AIA. Conversation summaries, decision logs, corpus indexing. This is what makes the AIA’s intelligence compound across sessions.</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$50–$150 (API usage during development)</w:t>
      </w:r>
    </w:p>
    <w:p>
      <w:pPr>
        <w:spacing w:after="160" w:line="300"/>
      </w:pPr>
      <w:r>
        <w:rPr>
          <w:rFonts w:ascii="Arial" w:cs="Arial" w:eastAsia="Arial" w:hAnsi="Arial"/>
          <w:b/>
          <w:bCs/>
          <w:color w:val="333333"/>
          <w:sz w:val="21"/>
          <w:szCs w:val="21"/>
        </w:rPr>
        <w:t xml:space="preserve">Completion checkpoint: </w:t>
      </w:r>
      <w:r>
        <w:rPr>
          <w:rFonts w:ascii="Arial" w:cs="Arial" w:eastAsia="Arial" w:hAnsi="Arial"/>
          <w:color w:val="333333"/>
          <w:sz w:val="21"/>
          <w:szCs w:val="21"/>
        </w:rPr>
        <w:t xml:space="preserve">All three APIs operational. Routing layer functional. Audit trail logging every call. RBAC framework in place.</w:t>
      </w:r>
    </w:p>
    <w:p>
      <w:pPr>
        <w:pStyle w:val="Heading2"/>
        <w:spacing w:before="280" w:after="160"/>
      </w:pPr>
      <w:r>
        <w:rPr>
          <w:rFonts w:ascii="Georgia" w:cs="Georgia" w:eastAsia="Georgia" w:hAnsi="Georgia"/>
          <w:b/>
          <w:bCs/>
          <w:color w:val="2E5E8E"/>
          <w:sz w:val="26"/>
          <w:szCs w:val="26"/>
        </w:rPr>
        <w:t xml:space="preserve">Week 5–8 (Days 29–60): Integration + Testing</w:t>
      </w:r>
    </w:p>
    <w:p>
      <w:pPr>
        <w:pStyle w:val="Heading3"/>
        <w:spacing w:before="200" w:after="120"/>
      </w:pPr>
      <w:r>
        <w:rPr>
          <w:rFonts w:ascii="Arial" w:cs="Arial" w:eastAsia="Arial" w:hAnsi="Arial"/>
          <w:b/>
          <w:bCs/>
          <w:color w:val="1B2A4A"/>
          <w:sz w:val="22"/>
          <w:szCs w:val="22"/>
        </w:rPr>
        <w:t xml:space="preserve">Day 29–40: Connect to Existing Platform</w:t>
      </w:r>
    </w:p>
    <w:p>
      <w:pPr>
        <w:pStyle w:val="ListParagraph"/>
        <w:numPr>
          <w:ilvl w:val="0"/>
          <w:numId w:val="2"/>
        </w:numPr>
        <w:spacing w:after="80" w:line="280"/>
      </w:pPr>
      <w:r>
        <w:rPr>
          <w:rFonts w:ascii="Arial" w:cs="Arial" w:eastAsia="Arial" w:hAnsi="Arial"/>
          <w:b/>
          <w:bCs/>
          <w:color w:val="333333"/>
          <w:sz w:val="21"/>
          <w:szCs w:val="21"/>
        </w:rPr>
        <w:t xml:space="preserve">Migrate existing 24 endpoints from Poe API to new routing layer. </w:t>
      </w:r>
      <w:r>
        <w:rPr>
          <w:rFonts w:ascii="Arial" w:cs="Arial" w:eastAsia="Arial" w:hAnsi="Arial"/>
          <w:color w:val="333333"/>
          <w:sz w:val="21"/>
          <w:szCs w:val="21"/>
        </w:rPr>
        <w:t xml:space="preserve">Each endpoint needs to be retargeted to the appropriate direct API.</w:t>
      </w:r>
    </w:p>
    <w:p>
      <w:pPr>
        <w:pStyle w:val="ListParagraph"/>
        <w:numPr>
          <w:ilvl w:val="0"/>
          <w:numId w:val="2"/>
        </w:numPr>
        <w:spacing w:after="80" w:line="280"/>
      </w:pPr>
      <w:r>
        <w:rPr>
          <w:rFonts w:ascii="Arial" w:cs="Arial" w:eastAsia="Arial" w:hAnsi="Arial"/>
          <w:b/>
          <w:bCs/>
          <w:color w:val="333333"/>
          <w:sz w:val="21"/>
          <w:szCs w:val="21"/>
        </w:rPr>
        <w:t xml:space="preserve">Update Index8_wired.html frontend connections </w:t>
      </w:r>
      <w:r>
        <w:rPr>
          <w:rFonts w:ascii="Arial" w:cs="Arial" w:eastAsia="Arial" w:hAnsi="Arial"/>
          <w:color w:val="333333"/>
          <w:sz w:val="21"/>
          <w:szCs w:val="21"/>
        </w:rPr>
        <w:t xml:space="preserve">to point to new backend.</w:t>
      </w:r>
    </w:p>
    <w:p>
      <w:pPr>
        <w:pStyle w:val="ListParagraph"/>
        <w:numPr>
          <w:ilvl w:val="0"/>
          <w:numId w:val="2"/>
        </w:numPr>
        <w:spacing w:after="80" w:line="280"/>
      </w:pPr>
      <w:r>
        <w:rPr>
          <w:rFonts w:ascii="Arial" w:cs="Arial" w:eastAsia="Arial" w:hAnsi="Arial"/>
          <w:b/>
          <w:bCs/>
          <w:color w:val="333333"/>
          <w:sz w:val="21"/>
          <w:szCs w:val="21"/>
        </w:rPr>
        <w:t xml:space="preserve">Test all four audience report generation paths </w:t>
      </w:r>
      <w:r>
        <w:rPr>
          <w:rFonts w:ascii="Arial" w:cs="Arial" w:eastAsia="Arial" w:hAnsi="Arial"/>
          <w:color w:val="333333"/>
          <w:sz w:val="21"/>
          <w:szCs w:val="21"/>
        </w:rPr>
        <w:t xml:space="preserve">on new infrastructure.</w:t>
      </w:r>
    </w:p>
    <w:p>
      <w:pPr>
        <w:pStyle w:val="ListParagraph"/>
        <w:numPr>
          <w:ilvl w:val="0"/>
          <w:numId w:val="2"/>
        </w:numPr>
        <w:spacing w:after="80" w:line="280"/>
      </w:pPr>
      <w:r>
        <w:rPr>
          <w:rFonts w:ascii="Arial" w:cs="Arial" w:eastAsia="Arial" w:hAnsi="Arial"/>
          <w:b/>
          <w:bCs/>
          <w:color w:val="333333"/>
          <w:sz w:val="21"/>
          <w:szCs w:val="21"/>
        </w:rPr>
        <w:t xml:space="preserve">Test Aletheia LLM interface </w:t>
      </w:r>
      <w:r>
        <w:rPr>
          <w:rFonts w:ascii="Arial" w:cs="Arial" w:eastAsia="Arial" w:hAnsi="Arial"/>
          <w:color w:val="333333"/>
          <w:sz w:val="21"/>
          <w:szCs w:val="21"/>
        </w:rPr>
        <w:t xml:space="preserve">on new routing.</w:t>
      </w:r>
    </w:p>
    <w:p>
      <w:pPr>
        <w:pStyle w:val="ListParagraph"/>
        <w:numPr>
          <w:ilvl w:val="0"/>
          <w:numId w:val="2"/>
        </w:numPr>
        <w:spacing w:after="80" w:line="280"/>
      </w:pPr>
      <w:r>
        <w:rPr>
          <w:rFonts w:ascii="Arial" w:cs="Arial" w:eastAsia="Arial" w:hAnsi="Arial"/>
          <w:b/>
          <w:bCs/>
          <w:color w:val="333333"/>
          <w:sz w:val="21"/>
          <w:szCs w:val="21"/>
        </w:rPr>
        <w:t xml:space="preserve">Test voice synthesis pipeline </w:t>
      </w:r>
      <w:r>
        <w:rPr>
          <w:rFonts w:ascii="Arial" w:cs="Arial" w:eastAsia="Arial" w:hAnsi="Arial"/>
          <w:color w:val="333333"/>
          <w:sz w:val="21"/>
          <w:szCs w:val="21"/>
        </w:rPr>
        <w:t xml:space="preserve">end-to-end.</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$50–$150 (continued API usage)</w:t>
      </w:r>
    </w:p>
    <w:p>
      <w:pPr>
        <w:pStyle w:val="Heading3"/>
        <w:spacing w:before="200" w:after="120"/>
      </w:pPr>
      <w:r>
        <w:rPr>
          <w:rFonts w:ascii="Arial" w:cs="Arial" w:eastAsia="Arial" w:hAnsi="Arial"/>
          <w:b/>
          <w:bCs/>
          <w:color w:val="1B2A4A"/>
          <w:sz w:val="22"/>
          <w:szCs w:val="22"/>
        </w:rPr>
        <w:t xml:space="preserve">Day 41–50: Compliance Layer</w:t>
      </w:r>
    </w:p>
    <w:p>
      <w:pPr>
        <w:pStyle w:val="ListParagraph"/>
        <w:numPr>
          <w:ilvl w:val="0"/>
          <w:numId w:val="2"/>
        </w:numPr>
        <w:spacing w:after="80" w:line="280"/>
      </w:pPr>
      <w:r>
        <w:rPr>
          <w:rFonts w:ascii="Arial" w:cs="Arial" w:eastAsia="Arial" w:hAnsi="Arial"/>
          <w:b/>
          <w:bCs/>
          <w:color w:val="333333"/>
          <w:sz w:val="21"/>
          <w:szCs w:val="21"/>
        </w:rPr>
        <w:t xml:space="preserve">Build permission cascade system: </w:t>
      </w:r>
      <w:r>
        <w:rPr>
          <w:rFonts w:ascii="Arial" w:cs="Arial" w:eastAsia="Arial" w:hAnsi="Arial"/>
          <w:color w:val="333333"/>
          <w:sz w:val="21"/>
          <w:szCs w:val="21"/>
        </w:rPr>
        <w:t xml:space="preserve">define what each product is allowed to do with AI. WayPoint Core: financial analysis permitted, investment advice prohibited. Crown’s Eye: educational content permitted, unvetted advice to minors prohibited. Document every rule.</w:t>
      </w:r>
    </w:p>
    <w:p>
      <w:pPr>
        <w:pStyle w:val="ListParagraph"/>
        <w:numPr>
          <w:ilvl w:val="0"/>
          <w:numId w:val="2"/>
        </w:numPr>
        <w:spacing w:after="80" w:line="280"/>
      </w:pPr>
      <w:r>
        <w:rPr>
          <w:rFonts w:ascii="Arial" w:cs="Arial" w:eastAsia="Arial" w:hAnsi="Arial"/>
          <w:b/>
          <w:bCs/>
          <w:color w:val="333333"/>
          <w:sz w:val="21"/>
          <w:szCs w:val="21"/>
        </w:rPr>
        <w:t xml:space="preserve">Build data handling rules: </w:t>
      </w:r>
      <w:r>
        <w:rPr>
          <w:rFonts w:ascii="Arial" w:cs="Arial" w:eastAsia="Arial" w:hAnsi="Arial"/>
          <w:color w:val="333333"/>
          <w:sz w:val="21"/>
          <w:szCs w:val="21"/>
        </w:rPr>
        <w:t xml:space="preserve">PII identification, encryption at rest, deletion policies. Even before customers arrive, the architecture must handle data correctly.</w:t>
      </w:r>
    </w:p>
    <w:p>
      <w:pPr>
        <w:pStyle w:val="ListParagraph"/>
        <w:numPr>
          <w:ilvl w:val="0"/>
          <w:numId w:val="2"/>
        </w:numPr>
        <w:spacing w:after="80" w:line="280"/>
      </w:pPr>
      <w:r>
        <w:rPr>
          <w:rFonts w:ascii="Arial" w:cs="Arial" w:eastAsia="Arial" w:hAnsi="Arial"/>
          <w:b/>
          <w:bCs/>
          <w:color w:val="333333"/>
          <w:sz w:val="21"/>
          <w:szCs w:val="21"/>
        </w:rPr>
        <w:t xml:space="preserve">Create compliance documentation template: </w:t>
      </w:r>
      <w:r>
        <w:rPr>
          <w:rFonts w:ascii="Arial" w:cs="Arial" w:eastAsia="Arial" w:hAnsi="Arial"/>
          <w:color w:val="333333"/>
          <w:sz w:val="21"/>
          <w:szCs w:val="21"/>
        </w:rPr>
        <w:t xml:space="preserve">model cards for each AI use case documenting purpose, data inputs, risk level, human oversight requirements. This is what the Colorado AI Act and EU AI Act will require.</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$50–$100</w:t>
      </w:r>
    </w:p>
    <w:p>
      <w:pPr>
        <w:pStyle w:val="Heading3"/>
        <w:spacing w:before="200" w:after="120"/>
      </w:pPr>
      <w:r>
        <w:rPr>
          <w:rFonts w:ascii="Arial" w:cs="Arial" w:eastAsia="Arial" w:hAnsi="Arial"/>
          <w:b/>
          <w:bCs/>
          <w:color w:val="1B2A4A"/>
          <w:sz w:val="22"/>
          <w:szCs w:val="22"/>
        </w:rPr>
        <w:t xml:space="preserve">Day 51–60: Docker Repackaging + Validation</w:t>
      </w:r>
    </w:p>
    <w:p>
      <w:pPr>
        <w:pStyle w:val="ListParagraph"/>
        <w:numPr>
          <w:ilvl w:val="0"/>
          <w:numId w:val="2"/>
        </w:numPr>
        <w:spacing w:after="80" w:line="280"/>
      </w:pPr>
      <w:r>
        <w:rPr>
          <w:rFonts w:ascii="Arial" w:cs="Arial" w:eastAsia="Arial" w:hAnsi="Arial"/>
          <w:b/>
          <w:bCs/>
          <w:color w:val="333333"/>
          <w:sz w:val="21"/>
          <w:szCs w:val="21"/>
        </w:rPr>
        <w:t xml:space="preserve">Repackage entire platform in Docker </w:t>
      </w:r>
      <w:r>
        <w:rPr>
          <w:rFonts w:ascii="Arial" w:cs="Arial" w:eastAsia="Arial" w:hAnsi="Arial"/>
          <w:color w:val="333333"/>
          <w:sz w:val="21"/>
          <w:szCs w:val="21"/>
        </w:rPr>
        <w:t xml:space="preserve">with new API integrations. Ensure NAS-ready deployment still functions.</w:t>
      </w:r>
    </w:p>
    <w:p>
      <w:pPr>
        <w:pStyle w:val="ListParagraph"/>
        <w:numPr>
          <w:ilvl w:val="0"/>
          <w:numId w:val="2"/>
        </w:numPr>
        <w:spacing w:after="80" w:line="280"/>
      </w:pPr>
      <w:r>
        <w:rPr>
          <w:rFonts w:ascii="Arial" w:cs="Arial" w:eastAsia="Arial" w:hAnsi="Arial"/>
          <w:b/>
          <w:bCs/>
          <w:color w:val="333333"/>
          <w:sz w:val="21"/>
          <w:szCs w:val="21"/>
        </w:rPr>
        <w:t xml:space="preserve">Run full system validation: </w:t>
      </w:r>
      <w:r>
        <w:rPr>
          <w:rFonts w:ascii="Arial" w:cs="Arial" w:eastAsia="Arial" w:hAnsi="Arial"/>
          <w:color w:val="333333"/>
          <w:sz w:val="21"/>
          <w:szCs w:val="21"/>
        </w:rPr>
        <w:t xml:space="preserve">every endpoint, every routing path, every fallback, every audit trail entry.</w:t>
      </w:r>
    </w:p>
    <w:p>
      <w:pPr>
        <w:pStyle w:val="ListParagraph"/>
        <w:numPr>
          <w:ilvl w:val="0"/>
          <w:numId w:val="2"/>
        </w:numPr>
        <w:spacing w:after="80" w:line="280"/>
      </w:pPr>
      <w:r>
        <w:rPr>
          <w:rFonts w:ascii="Arial" w:cs="Arial" w:eastAsia="Arial" w:hAnsi="Arial"/>
          <w:b/>
          <w:bCs/>
          <w:color w:val="333333"/>
          <w:sz w:val="21"/>
          <w:szCs w:val="21"/>
        </w:rPr>
        <w:t xml:space="preserve">Document the architecture </w:t>
      </w:r>
      <w:r>
        <w:rPr>
          <w:rFonts w:ascii="Arial" w:cs="Arial" w:eastAsia="Arial" w:hAnsi="Arial"/>
          <w:color w:val="333333"/>
          <w:sz w:val="21"/>
          <w:szCs w:val="21"/>
        </w:rPr>
        <w:t xml:space="preserve">— system diagram, API routing map, compliance controls, RBAC structure. This document becomes part of the AIA’s persistent corpus and part of investor due diligence materials.</w:t>
      </w:r>
    </w:p>
    <w:p>
      <w:pPr>
        <w:pStyle w:val="ListParagraph"/>
        <w:numPr>
          <w:ilvl w:val="0"/>
          <w:numId w:val="2"/>
        </w:numPr>
        <w:spacing w:after="80" w:line="280"/>
      </w:pPr>
      <w:r>
        <w:rPr>
          <w:rFonts w:ascii="Arial" w:cs="Arial" w:eastAsia="Arial" w:hAnsi="Arial"/>
          <w:b/>
          <w:bCs/>
          <w:color w:val="333333"/>
          <w:sz w:val="21"/>
          <w:szCs w:val="21"/>
        </w:rPr>
        <w:t xml:space="preserve">Decommission Poe API dependency. </w:t>
      </w:r>
      <w:r>
        <w:rPr>
          <w:rFonts w:ascii="Arial" w:cs="Arial" w:eastAsia="Arial" w:hAnsi="Arial"/>
          <w:color w:val="333333"/>
          <w:sz w:val="21"/>
          <w:szCs w:val="21"/>
        </w:rPr>
        <w:t xml:space="preserve">Remove all Poe references from production code.</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$50–$100</w:t>
      </w:r>
    </w:p>
    <w:p>
      <w:pPr>
        <w:spacing w:after="160" w:line="300"/>
      </w:pPr>
      <w:r>
        <w:rPr>
          <w:rFonts w:ascii="Arial" w:cs="Arial" w:eastAsia="Arial" w:hAnsi="Arial"/>
          <w:b/>
          <w:bCs/>
          <w:color w:val="333333"/>
          <w:sz w:val="21"/>
          <w:szCs w:val="21"/>
        </w:rPr>
        <w:t xml:space="preserve">Completion checkpoint: </w:t>
      </w:r>
      <w:r>
        <w:rPr>
          <w:rFonts w:ascii="Arial" w:cs="Arial" w:eastAsia="Arial" w:hAnsi="Arial"/>
          <w:color w:val="333333"/>
          <w:sz w:val="21"/>
          <w:szCs w:val="21"/>
        </w:rPr>
        <w:t xml:space="preserve">Entire platform operational on direct API integrations. Zero Poe dependency. Full audit trail. Documented architecture.</w:t>
      </w:r>
    </w:p>
    <w:p>
      <w:pPr>
        <w:pStyle w:val="Heading2"/>
        <w:spacing w:before="280" w:after="160"/>
      </w:pPr>
      <w:r>
        <w:rPr>
          <w:rFonts w:ascii="Georgia" w:cs="Georgia" w:eastAsia="Georgia" w:hAnsi="Georgia"/>
          <w:b/>
          <w:bCs/>
          <w:color w:val="2E5E8E"/>
          <w:sz w:val="26"/>
          <w:szCs w:val="26"/>
        </w:rPr>
        <w:t xml:space="preserve">Phase B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Low Estimate</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High Estimate</w:t>
            </w:r>
          </w:p>
        </w:tc>
      </w:tr>
      <w:tr>
        <w:tc>
          <w:tcPr>
            <w:tcW w:type="dxa" w:w="46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API usage — development (3 months)</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$150</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$400</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Compute / hosting (NAS + Docker)</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$150</w:t>
            </w:r>
          </w:p>
        </w:tc>
      </w:tr>
      <w:tr>
        <w:tc>
          <w:tcPr>
            <w:tcW w:type="dxa" w:w="46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Development tools / dependencies</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$50</w:t>
            </w:r>
          </w:p>
        </w:tc>
      </w:tr>
      <w:tr>
        <w:tc>
          <w:tcPr>
            <w:tcW w:type="dxa" w:w="46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PHASE B TOTAL</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$200</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$600</w:t>
            </w:r>
          </w:p>
        </w:tc>
      </w:tr>
    </w:tbl>
    <w:p>
      <w:pPr>
        <w:spacing w:before="80" w:after="80"/>
      </w:pPr>
    </w:p>
    <w:p>
      <w:r>
        <w:br w:type="page"/>
      </w:r>
    </w:p>
    <w:p>
      <w:pPr>
        <w:pStyle w:val="Heading1"/>
        <w:pBdr>
          <w:bottom w:val="single" w:color="C5922E" w:sz="4" w:space="8"/>
        </w:pBdr>
        <w:spacing w:before="360" w:after="200"/>
      </w:pPr>
      <w:r>
        <w:rPr>
          <w:rFonts w:ascii="Georgia" w:cs="Georgia" w:eastAsia="Georgia" w:hAnsi="Georgia"/>
          <w:b/>
          <w:bCs/>
          <w:color w:val="1B2A4A"/>
          <w:sz w:val="32"/>
          <w:szCs w:val="32"/>
        </w:rPr>
        <w:t xml:space="preserve">Phase C: IP Protection + International Footprint (Days 45–90)</w:t>
      </w:r>
    </w:p>
    <w:p>
      <w:pPr>
        <w:pBdr>
          <w:left w:val="single" w:color="C5922E" w:sz="12" w:space="12"/>
        </w:pBdr>
        <w:spacing w:before="200" w:after="200" w:line="300"/>
        <w:ind w:left="360" w:right="360"/>
      </w:pPr>
      <w:r>
        <w:rPr>
          <w:rFonts w:ascii="Arial" w:cs="Arial" w:eastAsia="Arial" w:hAnsi="Arial"/>
          <w:b/>
          <w:bCs/>
          <w:i/>
          <w:iCs/>
          <w:color w:val="1B2A4A"/>
          <w:sz w:val="21"/>
          <w:szCs w:val="21"/>
        </w:rPr>
        <w:t xml:space="preserve">Objective: File provisional patents protecting the core methodology. Establish DIFC presence creating the international footprint, Middle East market access, and sovereign wealth fund pathway.</w:t>
      </w:r>
    </w:p>
    <w:p>
      <w:pPr>
        <w:pStyle w:val="Heading2"/>
        <w:spacing w:before="280" w:after="160"/>
      </w:pPr>
      <w:r>
        <w:rPr>
          <w:rFonts w:ascii="Georgia" w:cs="Georgia" w:eastAsia="Georgia" w:hAnsi="Georgia"/>
          <w:b/>
          <w:bCs/>
          <w:color w:val="2E5E8E"/>
          <w:sz w:val="26"/>
          <w:szCs w:val="26"/>
        </w:rPr>
        <w:t xml:space="preserve">Week 7–8 (Days 45–60): Provisional Patent Drafting</w:t>
      </w:r>
    </w:p>
    <w:p>
      <w:pPr>
        <w:spacing w:after="160" w:line="300"/>
        <w:jc w:val="both"/>
      </w:pPr>
      <w:r>
        <w:rPr>
          <w:rFonts w:ascii="Arial" w:cs="Arial" w:eastAsia="Arial" w:hAnsi="Arial"/>
          <w:color w:val="333333"/>
          <w:sz w:val="21"/>
          <w:szCs w:val="21"/>
        </w:rPr>
        <w:t xml:space="preserve">The provisional patent applications protect three distinct innovations. Each must describe the methodology with enough specificity that a person skilled in the art could reproduce it, while being broad enough to cover foreseeable implementations. You qualify as a micro-entity (solo inventor, income below threshold, fewer than 4 prior patent applications), which reduces USPTO fees by 75%.</w:t>
      </w:r>
    </w:p>
    <w:p>
      <w:pPr>
        <w:pStyle w:val="Heading3"/>
        <w:spacing w:before="200" w:after="120"/>
      </w:pPr>
      <w:r>
        <w:rPr>
          <w:rFonts w:ascii="Arial" w:cs="Arial" w:eastAsia="Arial" w:hAnsi="Arial"/>
          <w:b/>
          <w:bCs/>
          <w:color w:val="1B2A4A"/>
          <w:sz w:val="22"/>
          <w:szCs w:val="22"/>
        </w:rPr>
        <w:t xml:space="preserve">Patent 1: Financial Positioning System Methodology</w:t>
      </w:r>
    </w:p>
    <w:p>
      <w:pPr>
        <w:pStyle w:val="ListParagraph"/>
        <w:numPr>
          <w:ilvl w:val="0"/>
          <w:numId w:val="2"/>
        </w:numPr>
        <w:spacing w:after="80" w:line="280"/>
      </w:pPr>
      <w:r>
        <w:rPr>
          <w:rFonts w:ascii="Arial" w:cs="Arial" w:eastAsia="Arial" w:hAnsi="Arial"/>
          <w:b/>
          <w:bCs/>
          <w:color w:val="333333"/>
          <w:sz w:val="21"/>
          <w:szCs w:val="21"/>
        </w:rPr>
        <w:t xml:space="preserve">Draft description: </w:t>
      </w:r>
      <w:r>
        <w:rPr>
          <w:rFonts w:ascii="Arial" w:cs="Arial" w:eastAsia="Arial" w:hAnsi="Arial"/>
          <w:color w:val="333333"/>
          <w:sz w:val="21"/>
          <w:szCs w:val="21"/>
        </w:rPr>
        <w:t xml:space="preserve">the interpretive framework that normalizes financial reality, surfaces positional signals, and offers navigational routes. Cover: data ingestion from open banking APIs, normalization algorithms, signal classification taxonomy, route generation logic, multi-audience output formatting.</w:t>
      </w:r>
    </w:p>
    <w:p>
      <w:pPr>
        <w:pStyle w:val="ListParagraph"/>
        <w:numPr>
          <w:ilvl w:val="0"/>
          <w:numId w:val="2"/>
        </w:numPr>
        <w:spacing w:after="80" w:line="280"/>
      </w:pPr>
      <w:r>
        <w:rPr>
          <w:rFonts w:ascii="Arial" w:cs="Arial" w:eastAsia="Arial" w:hAnsi="Arial"/>
          <w:b/>
          <w:bCs/>
          <w:color w:val="333333"/>
          <w:sz w:val="21"/>
          <w:szCs w:val="21"/>
        </w:rPr>
        <w:t xml:space="preserve">Include diagrams: </w:t>
      </w:r>
      <w:r>
        <w:rPr>
          <w:rFonts w:ascii="Arial" w:cs="Arial" w:eastAsia="Arial" w:hAnsi="Arial"/>
          <w:color w:val="333333"/>
          <w:sz w:val="21"/>
          <w:szCs w:val="21"/>
        </w:rPr>
        <w:t xml:space="preserve">system architecture, data flow, signal processing pipeline, output examples across tiers (individual, small business, UHNW).</w:t>
      </w:r>
    </w:p>
    <w:p>
      <w:pPr>
        <w:spacing w:after="160" w:line="300"/>
      </w:pPr>
      <w:r>
        <w:rPr>
          <w:rFonts w:ascii="Arial" w:cs="Arial" w:eastAsia="Arial" w:hAnsi="Arial"/>
          <w:b/>
          <w:bCs/>
          <w:color w:val="333333"/>
          <w:sz w:val="21"/>
          <w:szCs w:val="21"/>
        </w:rPr>
        <w:t xml:space="preserve">Drafting timeline: </w:t>
      </w:r>
      <w:r>
        <w:rPr>
          <w:rFonts w:ascii="Arial" w:cs="Arial" w:eastAsia="Arial" w:hAnsi="Arial"/>
          <w:color w:val="333333"/>
          <w:sz w:val="21"/>
          <w:szCs w:val="21"/>
        </w:rPr>
        <w:t xml:space="preserve">Days 45–50</w:t>
      </w:r>
    </w:p>
    <w:p>
      <w:pPr>
        <w:pStyle w:val="Heading3"/>
        <w:spacing w:before="200" w:after="120"/>
      </w:pPr>
      <w:r>
        <w:rPr>
          <w:rFonts w:ascii="Arial" w:cs="Arial" w:eastAsia="Arial" w:hAnsi="Arial"/>
          <w:b/>
          <w:bCs/>
          <w:color w:val="1B2A4A"/>
          <w:sz w:val="22"/>
          <w:szCs w:val="22"/>
        </w:rPr>
        <w:t xml:space="preserve">Patent 2: Trust Index Scoring Framework</w:t>
      </w:r>
    </w:p>
    <w:p>
      <w:pPr>
        <w:pStyle w:val="ListParagraph"/>
        <w:numPr>
          <w:ilvl w:val="0"/>
          <w:numId w:val="2"/>
        </w:numPr>
        <w:spacing w:after="80" w:line="280"/>
      </w:pPr>
      <w:r>
        <w:rPr>
          <w:rFonts w:ascii="Arial" w:cs="Arial" w:eastAsia="Arial" w:hAnsi="Arial"/>
          <w:b/>
          <w:bCs/>
          <w:color w:val="333333"/>
          <w:sz w:val="21"/>
          <w:szCs w:val="21"/>
        </w:rPr>
        <w:t xml:space="preserve">Draft description: </w:t>
      </w:r>
      <w:r>
        <w:rPr>
          <w:rFonts w:ascii="Arial" w:cs="Arial" w:eastAsia="Arial" w:hAnsi="Arial"/>
          <w:color w:val="333333"/>
          <w:sz w:val="21"/>
          <w:szCs w:val="21"/>
        </w:rPr>
        <w:t xml:space="preserve">quantified governance assessment for family offices and multi-generational wealth structures. Cover: governance dimension taxonomy, scoring algorithms, benchmark methodology, stewardship curricula integration, succession readiness metrics.</w:t>
      </w:r>
    </w:p>
    <w:p>
      <w:pPr>
        <w:pStyle w:val="ListParagraph"/>
        <w:numPr>
          <w:ilvl w:val="0"/>
          <w:numId w:val="2"/>
        </w:numPr>
        <w:spacing w:after="80" w:line="280"/>
      </w:pPr>
      <w:r>
        <w:rPr>
          <w:rFonts w:ascii="Arial" w:cs="Arial" w:eastAsia="Arial" w:hAnsi="Arial"/>
          <w:b/>
          <w:bCs/>
          <w:color w:val="333333"/>
          <w:sz w:val="21"/>
          <w:szCs w:val="21"/>
        </w:rPr>
        <w:t xml:space="preserve">Include diagrams: </w:t>
      </w:r>
      <w:r>
        <w:rPr>
          <w:rFonts w:ascii="Arial" w:cs="Arial" w:eastAsia="Arial" w:hAnsi="Arial"/>
          <w:color w:val="333333"/>
          <w:sz w:val="21"/>
          <w:szCs w:val="21"/>
        </w:rPr>
        <w:t xml:space="preserve">scoring model architecture, dimension weighting, assessment workflow, output dashboard specifications.</w:t>
      </w:r>
    </w:p>
    <w:p>
      <w:pPr>
        <w:spacing w:after="160" w:line="300"/>
      </w:pPr>
      <w:r>
        <w:rPr>
          <w:rFonts w:ascii="Arial" w:cs="Arial" w:eastAsia="Arial" w:hAnsi="Arial"/>
          <w:b/>
          <w:bCs/>
          <w:color w:val="333333"/>
          <w:sz w:val="21"/>
          <w:szCs w:val="21"/>
        </w:rPr>
        <w:t xml:space="preserve">Drafting timeline: </w:t>
      </w:r>
      <w:r>
        <w:rPr>
          <w:rFonts w:ascii="Arial" w:cs="Arial" w:eastAsia="Arial" w:hAnsi="Arial"/>
          <w:color w:val="333333"/>
          <w:sz w:val="21"/>
          <w:szCs w:val="21"/>
        </w:rPr>
        <w:t xml:space="preserve">Days 48–53</w:t>
      </w:r>
    </w:p>
    <w:p>
      <w:pPr>
        <w:pStyle w:val="Heading3"/>
        <w:spacing w:before="200" w:after="120"/>
      </w:pPr>
      <w:r>
        <w:rPr>
          <w:rFonts w:ascii="Arial" w:cs="Arial" w:eastAsia="Arial" w:hAnsi="Arial"/>
          <w:b/>
          <w:bCs/>
          <w:color w:val="1B2A4A"/>
          <w:sz w:val="22"/>
          <w:szCs w:val="22"/>
        </w:rPr>
        <w:t xml:space="preserve">Patent 3: Governance-Not-Guardrails AI Architecture</w:t>
      </w:r>
    </w:p>
    <w:p>
      <w:pPr>
        <w:pStyle w:val="ListParagraph"/>
        <w:numPr>
          <w:ilvl w:val="0"/>
          <w:numId w:val="2"/>
        </w:numPr>
        <w:spacing w:after="80" w:line="280"/>
      </w:pPr>
      <w:r>
        <w:rPr>
          <w:rFonts w:ascii="Arial" w:cs="Arial" w:eastAsia="Arial" w:hAnsi="Arial"/>
          <w:b/>
          <w:bCs/>
          <w:color w:val="333333"/>
          <w:sz w:val="21"/>
          <w:szCs w:val="21"/>
        </w:rPr>
        <w:t xml:space="preserve">Draft description: </w:t>
      </w:r>
      <w:r>
        <w:rPr>
          <w:rFonts w:ascii="Arial" w:cs="Arial" w:eastAsia="Arial" w:hAnsi="Arial"/>
          <w:color w:val="333333"/>
          <w:sz w:val="21"/>
          <w:szCs w:val="21"/>
        </w:rPr>
        <w:t xml:space="preserve">the permission cascade and context-aware routing system for AI in regulated environments. Cover: multi-model orchestration with embedded compliance controls, role-based permission inheritance, context-dependent behavior modification, audit trail architecture, memory management for persistent institutional intelligence.</w:t>
      </w:r>
    </w:p>
    <w:p>
      <w:pPr>
        <w:pStyle w:val="ListParagraph"/>
        <w:numPr>
          <w:ilvl w:val="0"/>
          <w:numId w:val="2"/>
        </w:numPr>
        <w:spacing w:after="80" w:line="280"/>
      </w:pPr>
      <w:r>
        <w:rPr>
          <w:rFonts w:ascii="Arial" w:cs="Arial" w:eastAsia="Arial" w:hAnsi="Arial"/>
          <w:b/>
          <w:bCs/>
          <w:color w:val="333333"/>
          <w:sz w:val="21"/>
          <w:szCs w:val="21"/>
        </w:rPr>
        <w:t xml:space="preserve">Include diagrams: </w:t>
      </w:r>
      <w:r>
        <w:rPr>
          <w:rFonts w:ascii="Arial" w:cs="Arial" w:eastAsia="Arial" w:hAnsi="Arial"/>
          <w:color w:val="333333"/>
          <w:sz w:val="21"/>
          <w:szCs w:val="21"/>
        </w:rPr>
        <w:t xml:space="preserve">permission cascade flowchart, routing decision tree, compliance checkpoint architecture, audit trail schema.</w:t>
      </w:r>
    </w:p>
    <w:p>
      <w:pPr>
        <w:spacing w:after="160" w:line="300"/>
      </w:pPr>
      <w:r>
        <w:rPr>
          <w:rFonts w:ascii="Arial" w:cs="Arial" w:eastAsia="Arial" w:hAnsi="Arial"/>
          <w:b/>
          <w:bCs/>
          <w:color w:val="333333"/>
          <w:sz w:val="21"/>
          <w:szCs w:val="21"/>
        </w:rPr>
        <w:t xml:space="preserve">Drafting timeline: </w:t>
      </w:r>
      <w:r>
        <w:rPr>
          <w:rFonts w:ascii="Arial" w:cs="Arial" w:eastAsia="Arial" w:hAnsi="Arial"/>
          <w:color w:val="333333"/>
          <w:sz w:val="21"/>
          <w:szCs w:val="21"/>
        </w:rPr>
        <w:t xml:space="preserve">Days 50–55</w:t>
      </w:r>
    </w:p>
    <w:p>
      <w:pPr>
        <w:pStyle w:val="Heading3"/>
        <w:spacing w:before="200" w:after="120"/>
      </w:pPr>
      <w:r>
        <w:rPr>
          <w:rFonts w:ascii="Arial" w:cs="Arial" w:eastAsia="Arial" w:hAnsi="Arial"/>
          <w:b/>
          <w:bCs/>
          <w:color w:val="1B2A4A"/>
          <w:sz w:val="22"/>
          <w:szCs w:val="22"/>
        </w:rPr>
        <w:t xml:space="preserve">Day 56–60: Review, Finalize, File</w:t>
      </w:r>
    </w:p>
    <w:p>
      <w:pPr>
        <w:pStyle w:val="ListParagraph"/>
        <w:numPr>
          <w:ilvl w:val="0"/>
          <w:numId w:val="2"/>
        </w:numPr>
        <w:spacing w:after="80" w:line="280"/>
      </w:pPr>
      <w:r>
        <w:rPr>
          <w:rFonts w:ascii="Arial" w:cs="Arial" w:eastAsia="Arial" w:hAnsi="Arial"/>
          <w:b/>
          <w:bCs/>
          <w:color w:val="333333"/>
          <w:sz w:val="21"/>
          <w:szCs w:val="21"/>
        </w:rPr>
        <w:t xml:space="preserve">Review all three applications for completeness. </w:t>
      </w:r>
      <w:r>
        <w:rPr>
          <w:rFonts w:ascii="Arial" w:cs="Arial" w:eastAsia="Arial" w:hAnsi="Arial"/>
          <w:color w:val="333333"/>
          <w:sz w:val="21"/>
          <w:szCs w:val="21"/>
        </w:rPr>
        <w:t xml:space="preserve">Each should be 15–30 pages with diagrams.</w:t>
      </w:r>
    </w:p>
    <w:p>
      <w:pPr>
        <w:pStyle w:val="ListParagraph"/>
        <w:numPr>
          <w:ilvl w:val="0"/>
          <w:numId w:val="2"/>
        </w:numPr>
        <w:spacing w:after="80" w:line="280"/>
      </w:pPr>
      <w:r>
        <w:rPr>
          <w:rFonts w:ascii="Arial" w:cs="Arial" w:eastAsia="Arial" w:hAnsi="Arial"/>
          <w:b/>
          <w:bCs/>
          <w:color w:val="333333"/>
          <w:sz w:val="21"/>
          <w:szCs w:val="21"/>
        </w:rPr>
        <w:t xml:space="preserve">File all three via USPTO.gov. </w:t>
      </w:r>
      <w:r>
        <w:rPr>
          <w:rFonts w:ascii="Arial" w:cs="Arial" w:eastAsia="Arial" w:hAnsi="Arial"/>
          <w:color w:val="333333"/>
          <w:sz w:val="21"/>
          <w:szCs w:val="21"/>
        </w:rPr>
        <w:t xml:space="preserve">$65 each as micro-entity. Total: $195.</w:t>
      </w:r>
    </w:p>
    <w:p>
      <w:pPr>
        <w:pStyle w:val="ListParagraph"/>
        <w:numPr>
          <w:ilvl w:val="0"/>
          <w:numId w:val="2"/>
        </w:numPr>
        <w:spacing w:after="80" w:line="280"/>
      </w:pPr>
      <w:r>
        <w:rPr>
          <w:rFonts w:ascii="Arial" w:cs="Arial" w:eastAsia="Arial" w:hAnsi="Arial"/>
          <w:b/>
          <w:bCs/>
          <w:color w:val="333333"/>
          <w:sz w:val="21"/>
          <w:szCs w:val="21"/>
        </w:rPr>
        <w:t xml:space="preserve">Save confirmation receipts. </w:t>
      </w:r>
      <w:r>
        <w:rPr>
          <w:rFonts w:ascii="Arial" w:cs="Arial" w:eastAsia="Arial" w:hAnsi="Arial"/>
          <w:color w:val="333333"/>
          <w:sz w:val="21"/>
          <w:szCs w:val="21"/>
        </w:rPr>
        <w:t xml:space="preserve">Document filing dates — these establish 12-month priority windows.</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$195 (USPTO fees only)</w:t>
      </w:r>
    </w:p>
    <w:p>
      <w:pPr>
        <w:spacing w:after="160" w:line="300"/>
      </w:pPr>
      <w:r>
        <w:rPr>
          <w:rFonts w:ascii="Arial" w:cs="Arial" w:eastAsia="Arial" w:hAnsi="Arial"/>
          <w:b/>
          <w:bCs/>
          <w:color w:val="333333"/>
          <w:sz w:val="21"/>
          <w:szCs w:val="21"/>
        </w:rPr>
        <w:t xml:space="preserve">Completion checkpoint: </w:t>
      </w:r>
      <w:r>
        <w:rPr>
          <w:rFonts w:ascii="Arial" w:cs="Arial" w:eastAsia="Arial" w:hAnsi="Arial"/>
          <w:color w:val="333333"/>
          <w:sz w:val="21"/>
          <w:szCs w:val="21"/>
        </w:rPr>
        <w:t xml:space="preserve">Three provisional patents filed. “Patent Pending” status active. 12-month clock started for non-provisional conversion.</w:t>
      </w:r>
    </w:p>
    <w:p>
      <w:pPr>
        <w:pStyle w:val="Heading2"/>
        <w:spacing w:before="280" w:after="160"/>
      </w:pPr>
      <w:r>
        <w:rPr>
          <w:rFonts w:ascii="Georgia" w:cs="Georgia" w:eastAsia="Georgia" w:hAnsi="Georgia"/>
          <w:b/>
          <w:bCs/>
          <w:color w:val="2E5E8E"/>
          <w:sz w:val="26"/>
          <w:szCs w:val="26"/>
        </w:rPr>
        <w:t xml:space="preserve">Week 9–10 (Days 60–75): DIFC Preparation</w:t>
      </w:r>
    </w:p>
    <w:p>
      <w:pPr>
        <w:pStyle w:val="ListParagraph"/>
        <w:numPr>
          <w:ilvl w:val="0"/>
          <w:numId w:val="2"/>
        </w:numPr>
        <w:spacing w:after="80" w:line="280"/>
      </w:pPr>
      <w:r>
        <w:rPr>
          <w:rFonts w:ascii="Arial" w:cs="Arial" w:eastAsia="Arial" w:hAnsi="Arial"/>
          <w:b/>
          <w:bCs/>
          <w:color w:val="333333"/>
          <w:sz w:val="21"/>
          <w:szCs w:val="21"/>
        </w:rPr>
        <w:t xml:space="preserve">Prepare DIFC Innovation License application materials: </w:t>
      </w:r>
      <w:r>
        <w:rPr>
          <w:rFonts w:ascii="Arial" w:cs="Arial" w:eastAsia="Arial" w:hAnsi="Arial"/>
          <w:color w:val="333333"/>
          <w:sz w:val="21"/>
          <w:szCs w:val="21"/>
        </w:rPr>
        <w:t xml:space="preserve">passport copy, photograph, business plan, proof of address, corporate documents from Eden Intelligence Group (Certificate of Incorporation, EIN, board resolution authorizing international subsidiary).</w:t>
      </w:r>
    </w:p>
    <w:p>
      <w:pPr>
        <w:pStyle w:val="ListParagraph"/>
        <w:numPr>
          <w:ilvl w:val="0"/>
          <w:numId w:val="2"/>
        </w:numPr>
        <w:spacing w:after="80" w:line="280"/>
      </w:pPr>
      <w:r>
        <w:rPr>
          <w:rFonts w:ascii="Arial" w:cs="Arial" w:eastAsia="Arial" w:hAnsi="Arial"/>
          <w:b/>
          <w:bCs/>
          <w:color w:val="333333"/>
          <w:sz w:val="21"/>
          <w:szCs w:val="21"/>
        </w:rPr>
        <w:t xml:space="preserve">Draft DIFC business plan: </w:t>
      </w:r>
      <w:r>
        <w:rPr>
          <w:rFonts w:ascii="Arial" w:cs="Arial" w:eastAsia="Arial" w:hAnsi="Arial"/>
          <w:color w:val="333333"/>
          <w:sz w:val="21"/>
          <w:szCs w:val="21"/>
        </w:rPr>
        <w:t xml:space="preserve">describe Eden Intelligence Group’s technology focus (AI orchestration, financial positioning intelligence, governance technology), target markets (MEASA region family offices, financial institutions, education sector), and innovation thesis.</w:t>
      </w:r>
    </w:p>
    <w:p>
      <w:pPr>
        <w:pStyle w:val="ListParagraph"/>
        <w:numPr>
          <w:ilvl w:val="0"/>
          <w:numId w:val="2"/>
        </w:numPr>
        <w:spacing w:after="80" w:line="280"/>
      </w:pPr>
      <w:r>
        <w:rPr>
          <w:rFonts w:ascii="Arial" w:cs="Arial" w:eastAsia="Arial" w:hAnsi="Arial"/>
          <w:b/>
          <w:bCs/>
          <w:color w:val="333333"/>
          <w:sz w:val="21"/>
          <w:szCs w:val="21"/>
        </w:rPr>
        <w:t xml:space="preserve">Research DIFC flexi-desk options: </w:t>
      </w:r>
      <w:r>
        <w:rPr>
          <w:rFonts w:ascii="Arial" w:cs="Arial" w:eastAsia="Arial" w:hAnsi="Arial"/>
          <w:color w:val="333333"/>
          <w:sz w:val="21"/>
          <w:szCs w:val="21"/>
        </w:rPr>
        <w:t xml:space="preserve">$250–$500/month. Minimum one desk required. Supports up to 4 visa applications.</w:t>
      </w:r>
    </w:p>
    <w:p>
      <w:pPr>
        <w:pStyle w:val="ListParagraph"/>
        <w:numPr>
          <w:ilvl w:val="0"/>
          <w:numId w:val="2"/>
        </w:numPr>
        <w:spacing w:after="80" w:line="280"/>
      </w:pPr>
      <w:r>
        <w:rPr>
          <w:rFonts w:ascii="Arial" w:cs="Arial" w:eastAsia="Arial" w:hAnsi="Arial"/>
          <w:b/>
          <w:bCs/>
          <w:color w:val="333333"/>
          <w:sz w:val="21"/>
          <w:szCs w:val="21"/>
        </w:rPr>
        <w:t xml:space="preserve">Prepare board resolution </w:t>
      </w:r>
      <w:r>
        <w:rPr>
          <w:rFonts w:ascii="Arial" w:cs="Arial" w:eastAsia="Arial" w:hAnsi="Arial"/>
          <w:color w:val="333333"/>
          <w:sz w:val="21"/>
          <w:szCs w:val="21"/>
        </w:rPr>
        <w:t xml:space="preserve">from Eden Intelligence Group authorizing formation of DIFC subsidiary and appointment of Ali as director.</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 (preparation only)</w:t>
      </w:r>
    </w:p>
    <w:p>
      <w:pPr>
        <w:pStyle w:val="Heading2"/>
        <w:spacing w:before="280" w:after="160"/>
      </w:pPr>
      <w:r>
        <w:rPr>
          <w:rFonts w:ascii="Georgia" w:cs="Georgia" w:eastAsia="Georgia" w:hAnsi="Georgia"/>
          <w:b/>
          <w:bCs/>
          <w:color w:val="2E5E8E"/>
          <w:sz w:val="26"/>
          <w:szCs w:val="26"/>
        </w:rPr>
        <w:t xml:space="preserve">Week 11–12 (Days 75–90): DIFC Execution + Hub71</w:t>
      </w:r>
    </w:p>
    <w:p>
      <w:pPr>
        <w:pStyle w:val="Heading3"/>
        <w:spacing w:before="200" w:after="120"/>
      </w:pPr>
      <w:r>
        <w:rPr>
          <w:rFonts w:ascii="Arial" w:cs="Arial" w:eastAsia="Arial" w:hAnsi="Arial"/>
          <w:b/>
          <w:bCs/>
          <w:color w:val="1B2A4A"/>
          <w:sz w:val="22"/>
          <w:szCs w:val="22"/>
        </w:rPr>
        <w:t xml:space="preserve">Day 75–80: DIFC Application</w:t>
      </w:r>
    </w:p>
    <w:p>
      <w:pPr>
        <w:pStyle w:val="ListParagraph"/>
        <w:numPr>
          <w:ilvl w:val="0"/>
          <w:numId w:val="2"/>
        </w:numPr>
        <w:spacing w:after="80" w:line="280"/>
      </w:pPr>
      <w:r>
        <w:rPr>
          <w:rFonts w:ascii="Arial" w:cs="Arial" w:eastAsia="Arial" w:hAnsi="Arial"/>
          <w:b/>
          <w:bCs/>
          <w:color w:val="333333"/>
          <w:sz w:val="21"/>
          <w:szCs w:val="21"/>
        </w:rPr>
        <w:t xml:space="preserve">Submit DIFC Innovation License application </w:t>
      </w:r>
      <w:r>
        <w:rPr>
          <w:rFonts w:ascii="Arial" w:cs="Arial" w:eastAsia="Arial" w:hAnsi="Arial"/>
          <w:color w:val="333333"/>
          <w:sz w:val="21"/>
          <w:szCs w:val="21"/>
        </w:rPr>
        <w:t xml:space="preserve">via DIFC portal. In-principal approval typically takes 5–7 working days.</w:t>
      </w:r>
    </w:p>
    <w:p>
      <w:pPr>
        <w:pStyle w:val="ListParagraph"/>
        <w:numPr>
          <w:ilvl w:val="0"/>
          <w:numId w:val="2"/>
        </w:numPr>
        <w:spacing w:after="80" w:line="280"/>
      </w:pPr>
      <w:r>
        <w:rPr>
          <w:rFonts w:ascii="Arial" w:cs="Arial" w:eastAsia="Arial" w:hAnsi="Arial"/>
          <w:b/>
          <w:bCs/>
          <w:color w:val="333333"/>
          <w:sz w:val="21"/>
          <w:szCs w:val="21"/>
        </w:rPr>
        <w:t xml:space="preserve">Pay license fee: </w:t>
      </w:r>
      <w:r>
        <w:rPr>
          <w:rFonts w:ascii="Arial" w:cs="Arial" w:eastAsia="Arial" w:hAnsi="Arial"/>
          <w:color w:val="333333"/>
          <w:sz w:val="21"/>
          <w:szCs w:val="21"/>
        </w:rPr>
        <w:t xml:space="preserve">$1,500 for Year 1 (90% subsidized from standard rate).</w:t>
      </w:r>
    </w:p>
    <w:p>
      <w:pPr>
        <w:pStyle w:val="ListParagraph"/>
        <w:numPr>
          <w:ilvl w:val="0"/>
          <w:numId w:val="2"/>
        </w:numPr>
        <w:spacing w:after="80" w:line="280"/>
      </w:pPr>
      <w:r>
        <w:rPr>
          <w:rFonts w:ascii="Arial" w:cs="Arial" w:eastAsia="Arial" w:hAnsi="Arial"/>
          <w:b/>
          <w:bCs/>
          <w:color w:val="333333"/>
          <w:sz w:val="21"/>
          <w:szCs w:val="21"/>
        </w:rPr>
        <w:t xml:space="preserve">No incorporation fee </w:t>
      </w:r>
      <w:r>
        <w:rPr>
          <w:rFonts w:ascii="Arial" w:cs="Arial" w:eastAsia="Arial" w:hAnsi="Arial"/>
          <w:color w:val="333333"/>
          <w:sz w:val="21"/>
          <w:szCs w:val="21"/>
        </w:rPr>
        <w:t xml:space="preserve">(waived under Innovation License).</w:t>
      </w:r>
    </w:p>
    <w:p>
      <w:pPr>
        <w:pStyle w:val="ListParagraph"/>
        <w:numPr>
          <w:ilvl w:val="0"/>
          <w:numId w:val="2"/>
        </w:numPr>
        <w:spacing w:after="80" w:line="280"/>
      </w:pPr>
      <w:r>
        <w:rPr>
          <w:rFonts w:ascii="Arial" w:cs="Arial" w:eastAsia="Arial" w:hAnsi="Arial"/>
          <w:b/>
          <w:bCs/>
          <w:color w:val="333333"/>
          <w:sz w:val="21"/>
          <w:szCs w:val="21"/>
        </w:rPr>
        <w:t xml:space="preserve">No minimum capital required </w:t>
      </w:r>
      <w:r>
        <w:rPr>
          <w:rFonts w:ascii="Arial" w:cs="Arial" w:eastAsia="Arial" w:hAnsi="Arial"/>
          <w:color w:val="333333"/>
          <w:sz w:val="21"/>
          <w:szCs w:val="21"/>
        </w:rPr>
        <w:t xml:space="preserve">(waived under Innovation License).</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$1,500</w:t>
      </w:r>
    </w:p>
    <w:p>
      <w:pPr>
        <w:pStyle w:val="Heading3"/>
        <w:spacing w:before="200" w:after="120"/>
      </w:pPr>
      <w:r>
        <w:rPr>
          <w:rFonts w:ascii="Arial" w:cs="Arial" w:eastAsia="Arial" w:hAnsi="Arial"/>
          <w:b/>
          <w:bCs/>
          <w:color w:val="1B2A4A"/>
          <w:sz w:val="22"/>
          <w:szCs w:val="22"/>
        </w:rPr>
        <w:t xml:space="preserve">Day 80–85: DIFC Setup</w:t>
      </w:r>
    </w:p>
    <w:p>
      <w:pPr>
        <w:pStyle w:val="ListParagraph"/>
        <w:numPr>
          <w:ilvl w:val="0"/>
          <w:numId w:val="2"/>
        </w:numPr>
        <w:spacing w:after="80" w:line="280"/>
      </w:pPr>
      <w:r>
        <w:rPr>
          <w:rFonts w:ascii="Arial" w:cs="Arial" w:eastAsia="Arial" w:hAnsi="Arial"/>
          <w:b/>
          <w:bCs/>
          <w:color w:val="333333"/>
          <w:sz w:val="21"/>
          <w:szCs w:val="21"/>
        </w:rPr>
        <w:t xml:space="preserve">Receive in-principal approval. </w:t>
      </w:r>
      <w:r>
        <w:rPr>
          <w:rFonts w:ascii="Arial" w:cs="Arial" w:eastAsia="Arial" w:hAnsi="Arial"/>
          <w:color w:val="333333"/>
          <w:sz w:val="21"/>
          <w:szCs w:val="21"/>
        </w:rPr>
        <w:t xml:space="preserve">Proceed to establishment phase.</w:t>
      </w:r>
    </w:p>
    <w:p>
      <w:pPr>
        <w:pStyle w:val="ListParagraph"/>
        <w:numPr>
          <w:ilvl w:val="0"/>
          <w:numId w:val="2"/>
        </w:numPr>
        <w:spacing w:after="80" w:line="280"/>
      </w:pPr>
      <w:r>
        <w:rPr>
          <w:rFonts w:ascii="Arial" w:cs="Arial" w:eastAsia="Arial" w:hAnsi="Arial"/>
          <w:b/>
          <w:bCs/>
          <w:color w:val="333333"/>
          <w:sz w:val="21"/>
          <w:szCs w:val="21"/>
        </w:rPr>
        <w:t xml:space="preserve">Secure flexi-desk in Innovation Hub. </w:t>
      </w:r>
      <w:r>
        <w:rPr>
          <w:rFonts w:ascii="Arial" w:cs="Arial" w:eastAsia="Arial" w:hAnsi="Arial"/>
          <w:color w:val="333333"/>
          <w:sz w:val="21"/>
          <w:szCs w:val="21"/>
        </w:rPr>
        <w:t xml:space="preserve">$250–$500/month.</w:t>
      </w:r>
    </w:p>
    <w:p>
      <w:pPr>
        <w:pStyle w:val="ListParagraph"/>
        <w:numPr>
          <w:ilvl w:val="0"/>
          <w:numId w:val="2"/>
        </w:numPr>
        <w:spacing w:after="80" w:line="280"/>
      </w:pPr>
      <w:r>
        <w:rPr>
          <w:rFonts w:ascii="Arial" w:cs="Arial" w:eastAsia="Arial" w:hAnsi="Arial"/>
          <w:b/>
          <w:bCs/>
          <w:color w:val="333333"/>
          <w:sz w:val="21"/>
          <w:szCs w:val="21"/>
        </w:rPr>
        <w:t xml:space="preserve">Receive Certificate of Incorporation and Innovation License from DIFC.</w:t>
      </w:r>
      <w:r>
        <w:rPr>
          <w:rFonts w:ascii="Arial" w:cs="Arial" w:eastAsia="Arial" w:hAnsi="Arial"/>
          <w:color w:val="333333"/>
          <w:sz w:val="21"/>
          <w:szCs w:val="21"/>
        </w:rPr>
      </w:r>
    </w:p>
    <w:p>
      <w:pPr>
        <w:pStyle w:val="ListParagraph"/>
        <w:numPr>
          <w:ilvl w:val="0"/>
          <w:numId w:val="2"/>
        </w:numPr>
        <w:spacing w:after="80" w:line="280"/>
      </w:pPr>
      <w:r>
        <w:rPr>
          <w:rFonts w:ascii="Arial" w:cs="Arial" w:eastAsia="Arial" w:hAnsi="Arial"/>
          <w:b/>
          <w:bCs/>
          <w:color w:val="333333"/>
          <w:sz w:val="21"/>
          <w:szCs w:val="21"/>
        </w:rPr>
        <w:t xml:space="preserve">Open corporate bank account in DIFC </w:t>
      </w:r>
      <w:r>
        <w:rPr>
          <w:rFonts w:ascii="Arial" w:cs="Arial" w:eastAsia="Arial" w:hAnsi="Arial"/>
          <w:color w:val="333333"/>
          <w:sz w:val="21"/>
          <w:szCs w:val="21"/>
        </w:rPr>
        <w:t xml:space="preserve">(required for operations). Major banks available: Emirates NBD, Mashreq, HSBC Middle East.</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$250–$500 (first month desk)</w:t>
      </w:r>
    </w:p>
    <w:p>
      <w:pPr>
        <w:pStyle w:val="Heading3"/>
        <w:spacing w:before="200" w:after="120"/>
      </w:pPr>
      <w:r>
        <w:rPr>
          <w:rFonts w:ascii="Arial" w:cs="Arial" w:eastAsia="Arial" w:hAnsi="Arial"/>
          <w:b/>
          <w:bCs/>
          <w:color w:val="1B2A4A"/>
          <w:sz w:val="22"/>
          <w:szCs w:val="22"/>
        </w:rPr>
        <w:t xml:space="preserve">Day 85–90: Hub71 + Accelerator Applications</w:t>
      </w:r>
    </w:p>
    <w:p>
      <w:pPr>
        <w:pStyle w:val="ListParagraph"/>
        <w:numPr>
          <w:ilvl w:val="0"/>
          <w:numId w:val="2"/>
        </w:numPr>
        <w:spacing w:after="80" w:line="280"/>
      </w:pPr>
      <w:r>
        <w:rPr>
          <w:rFonts w:ascii="Arial" w:cs="Arial" w:eastAsia="Arial" w:hAnsi="Arial"/>
          <w:b/>
          <w:bCs/>
          <w:color w:val="333333"/>
          <w:sz w:val="21"/>
          <w:szCs w:val="21"/>
        </w:rPr>
        <w:t xml:space="preserve">Submit Hub71 application </w:t>
      </w:r>
      <w:r>
        <w:rPr>
          <w:rFonts w:ascii="Arial" w:cs="Arial" w:eastAsia="Arial" w:hAnsi="Arial"/>
          <w:color w:val="333333"/>
          <w:sz w:val="21"/>
          <w:szCs w:val="21"/>
        </w:rPr>
        <w:t xml:space="preserve">— now with DIFC entity in place. Hub71 accepted 70%+ international startups in recent cohorts. Up to 100% subsidies on office, housing, and health insurance for 3 years.</w:t>
      </w:r>
    </w:p>
    <w:p>
      <w:pPr>
        <w:pStyle w:val="ListParagraph"/>
        <w:numPr>
          <w:ilvl w:val="0"/>
          <w:numId w:val="2"/>
        </w:numPr>
        <w:spacing w:after="80" w:line="280"/>
      </w:pPr>
      <w:r>
        <w:rPr>
          <w:rFonts w:ascii="Arial" w:cs="Arial" w:eastAsia="Arial" w:hAnsi="Arial"/>
          <w:b/>
          <w:bCs/>
          <w:color w:val="333333"/>
          <w:sz w:val="21"/>
          <w:szCs w:val="21"/>
        </w:rPr>
        <w:t xml:space="preserve">Submit any domestic accelerator applications </w:t>
      </w:r>
      <w:r>
        <w:rPr>
          <w:rFonts w:ascii="Arial" w:cs="Arial" w:eastAsia="Arial" w:hAnsi="Arial"/>
          <w:color w:val="333333"/>
          <w:sz w:val="21"/>
          <w:szCs w:val="21"/>
        </w:rPr>
        <w:t xml:space="preserve">that have reached their deadlines (Pinnacle Atlanta, Curql, Google Black Founders Fund).</w:t>
      </w:r>
    </w:p>
    <w:p>
      <w:pPr>
        <w:pStyle w:val="ListParagraph"/>
        <w:numPr>
          <w:ilvl w:val="0"/>
          <w:numId w:val="2"/>
        </w:numPr>
        <w:spacing w:after="80" w:line="280"/>
      </w:pPr>
      <w:r>
        <w:rPr>
          <w:rFonts w:ascii="Arial" w:cs="Arial" w:eastAsia="Arial" w:hAnsi="Arial"/>
          <w:b/>
          <w:bCs/>
          <w:color w:val="333333"/>
          <w:sz w:val="21"/>
          <w:szCs w:val="21"/>
        </w:rPr>
        <w:t xml:space="preserve">Begin Flourish Ventures outreach </w:t>
      </w:r>
      <w:r>
        <w:rPr>
          <w:rFonts w:ascii="Arial" w:cs="Arial" w:eastAsia="Arial" w:hAnsi="Arial"/>
          <w:color w:val="333333"/>
          <w:sz w:val="21"/>
          <w:szCs w:val="21"/>
        </w:rPr>
        <w:t xml:space="preserve">— introductory email referencing excluded-verticals thesis alignment with their mandate. Use DIFC presence and patent-pending status as credibility signals.</w:t>
      </w:r>
    </w:p>
    <w:p>
      <w:pPr>
        <w:pStyle w:val="ListParagraph"/>
        <w:numPr>
          <w:ilvl w:val="0"/>
          <w:numId w:val="2"/>
        </w:numPr>
        <w:spacing w:after="80" w:line="280"/>
      </w:pPr>
      <w:r>
        <w:rPr>
          <w:rFonts w:ascii="Arial" w:cs="Arial" w:eastAsia="Arial" w:hAnsi="Arial"/>
          <w:b/>
          <w:bCs/>
          <w:color w:val="333333"/>
          <w:sz w:val="21"/>
          <w:szCs w:val="21"/>
        </w:rPr>
        <w:t xml:space="preserve">Update all application materials </w:t>
      </w:r>
      <w:r>
        <w:rPr>
          <w:rFonts w:ascii="Arial" w:cs="Arial" w:eastAsia="Arial" w:hAnsi="Arial"/>
          <w:color w:val="333333"/>
          <w:sz w:val="21"/>
          <w:szCs w:val="21"/>
        </w:rPr>
        <w:t xml:space="preserve">to reflect: Delaware C-Corp structure, Georgia operating entity, DIFC international presence, three patents pending, rebuilt AI infrastructure, operational platform with 24 endpoints.</w:t>
      </w:r>
    </w:p>
    <w:p>
      <w:pPr>
        <w:spacing w:after="160" w:line="300"/>
      </w:pPr>
      <w:r>
        <w:rPr>
          <w:rFonts w:ascii="Arial" w:cs="Arial" w:eastAsia="Arial" w:hAnsi="Arial"/>
          <w:b/>
          <w:bCs/>
          <w:color w:val="333333"/>
          <w:sz w:val="21"/>
          <w:szCs w:val="21"/>
        </w:rPr>
        <w:t xml:space="preserve">Cost: </w:t>
      </w:r>
      <w:r>
        <w:rPr>
          <w:rFonts w:ascii="Arial" w:cs="Arial" w:eastAsia="Arial" w:hAnsi="Arial"/>
          <w:color w:val="333333"/>
          <w:sz w:val="21"/>
          <w:szCs w:val="21"/>
        </w:rPr>
        <w:t xml:space="preserve">$0</w:t>
      </w:r>
    </w:p>
    <w:p>
      <w:pPr>
        <w:spacing w:after="160" w:line="300"/>
      </w:pPr>
      <w:r>
        <w:rPr>
          <w:rFonts w:ascii="Arial" w:cs="Arial" w:eastAsia="Arial" w:hAnsi="Arial"/>
          <w:b/>
          <w:bCs/>
          <w:color w:val="333333"/>
          <w:sz w:val="21"/>
          <w:szCs w:val="21"/>
        </w:rPr>
        <w:t xml:space="preserve">Completion checkpoint: </w:t>
      </w:r>
      <w:r>
        <w:rPr>
          <w:rFonts w:ascii="Arial" w:cs="Arial" w:eastAsia="Arial" w:hAnsi="Arial"/>
          <w:color w:val="333333"/>
          <w:sz w:val="21"/>
          <w:szCs w:val="21"/>
        </w:rPr>
        <w:t xml:space="preserve">DIFC entity operational. Hub71 application submitted. Domestic accelerator applications in pipeline. Flourish Ventures engagement initiated.</w:t>
      </w:r>
    </w:p>
    <w:p>
      <w:pPr>
        <w:pStyle w:val="Heading2"/>
        <w:spacing w:before="280" w:after="160"/>
      </w:pPr>
      <w:r>
        <w:rPr>
          <w:rFonts w:ascii="Georgia" w:cs="Georgia" w:eastAsia="Georgia" w:hAnsi="Georgia"/>
          <w:b/>
          <w:bCs/>
          <w:color w:val="2E5E8E"/>
          <w:sz w:val="26"/>
          <w:szCs w:val="26"/>
        </w:rPr>
        <w:t xml:space="preserve">Phase C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Low Estimate</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High Estimate</w:t>
            </w:r>
          </w:p>
        </w:tc>
      </w:tr>
      <w:tr>
        <w:tc>
          <w:tcPr>
            <w:tcW w:type="dxa" w:w="46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USPTO provisional patents (x3)</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$195</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$195</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DIFC Innovation License (Year 1)</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$1,500</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$1,500</w:t>
            </w:r>
          </w:p>
        </w:tc>
      </w:tr>
      <w:tr>
        <w:tc>
          <w:tcPr>
            <w:tcW w:type="dxa" w:w="46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DIFC flexi-desk (3 months)</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$750</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$1,500</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DIFC bank account setup</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$500</w:t>
            </w:r>
          </w:p>
        </w:tc>
      </w:tr>
      <w:tr>
        <w:tc>
          <w:tcPr>
            <w:tcW w:type="dxa" w:w="46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Travel / notarization / misc.</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$200</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$500</w:t>
            </w:r>
          </w:p>
        </w:tc>
      </w:tr>
      <w:tr>
        <w:tc>
          <w:tcPr>
            <w:tcW w:type="dxa" w:w="46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PHASE C TOTAL</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$2,645</w:t>
            </w:r>
          </w:p>
        </w:tc>
        <w:tc>
          <w:tcPr>
            <w:tcW w:type="dxa" w:w="234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$4,195</w:t>
            </w:r>
          </w:p>
        </w:tc>
      </w:tr>
    </w:tbl>
    <w:p>
      <w:pPr>
        <w:spacing w:before="80" w:after="80"/>
      </w:pPr>
    </w:p>
    <w:p>
      <w:r>
        <w:br w:type="page"/>
      </w:r>
    </w:p>
    <w:p>
      <w:pPr>
        <w:pStyle w:val="Heading1"/>
        <w:pBdr>
          <w:bottom w:val="single" w:color="C5922E" w:sz="4" w:space="8"/>
        </w:pBdr>
        <w:spacing w:before="360" w:after="200"/>
      </w:pPr>
      <w:r>
        <w:rPr>
          <w:rFonts w:ascii="Georgia" w:cs="Georgia" w:eastAsia="Georgia" w:hAnsi="Georgia"/>
          <w:b/>
          <w:bCs/>
          <w:color w:val="1B2A4A"/>
          <w:sz w:val="32"/>
          <w:szCs w:val="32"/>
        </w:rPr>
        <w:t xml:space="preserve">Master Budget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2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Low</w:t>
            </w:r>
          </w:p>
        </w:tc>
        <w:tc>
          <w:tcPr>
            <w:tcW w:type="dxa" w:w="2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High</w:t>
            </w:r>
          </w:p>
        </w:tc>
        <w:tc>
          <w:tcPr>
            <w:tcW w:type="dxa" w:w="2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Timeline</w:t>
            </w:r>
          </w:p>
        </w:tc>
      </w:tr>
      <w:tr>
        <w:tc>
          <w:tcPr>
            <w:tcW w:type="dxa" w:w="312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b/>
                <w:bCs/>
                <w:color w:val="333333"/>
                <w:sz w:val="18"/>
                <w:szCs w:val="18"/>
              </w:rPr>
              <w:t xml:space="preserve">A: Legal Foundation</w:t>
            </w:r>
          </w:p>
        </w:tc>
        <w:tc>
          <w:tcPr>
            <w:tcW w:type="dxa" w:w="208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color w:val="333333"/>
                <w:sz w:val="18"/>
                <w:szCs w:val="18"/>
              </w:rPr>
              <w:t xml:space="preserve">$1,579</w:t>
            </w:r>
          </w:p>
        </w:tc>
        <w:tc>
          <w:tcPr>
            <w:tcW w:type="dxa" w:w="208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color w:val="333333"/>
                <w:sz w:val="18"/>
                <w:szCs w:val="18"/>
              </w:rPr>
              <w:t xml:space="preserve">$3,475</w:t>
            </w:r>
          </w:p>
        </w:tc>
        <w:tc>
          <w:tcPr>
            <w:tcW w:type="dxa" w:w="208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tcPr>
          <w:p>
            <w:r>
              <w:rPr>
                <w:rFonts w:ascii="Arial" w:cs="Arial" w:eastAsia="Arial" w:hAnsi="Arial"/>
                <w:color w:val="333333"/>
                <w:sz w:val="18"/>
                <w:szCs w:val="18"/>
              </w:rPr>
              <w:t xml:space="preserve">Days 1–30</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8"/>
                <w:szCs w:val="18"/>
              </w:rPr>
              <w:t xml:space="preserve">B: AIA Infrastructure</w:t>
            </w:r>
          </w:p>
        </w:tc>
        <w:tc>
          <w:tcPr>
            <w:tcW w:type="dxa" w:w="20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$200</w:t>
            </w:r>
          </w:p>
        </w:tc>
        <w:tc>
          <w:tcPr>
            <w:tcW w:type="dxa" w:w="20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$600</w:t>
            </w:r>
          </w:p>
        </w:tc>
        <w:tc>
          <w:tcPr>
            <w:tcW w:type="dxa" w:w="20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Days 15–60</w:t>
            </w:r>
          </w:p>
        </w:tc>
      </w:tr>
      <w:tr>
        <w:tc>
          <w:tcPr>
            <w:tcW w:type="dxa" w:w="3120"/>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b/>
                <w:bCs/>
                <w:color w:val="333333"/>
                <w:sz w:val="18"/>
                <w:szCs w:val="18"/>
              </w:rPr>
              <w:t xml:space="preserve">C: IP + International</w:t>
            </w:r>
          </w:p>
        </w:tc>
        <w:tc>
          <w:tcPr>
            <w:tcW w:type="dxa" w:w="2080"/>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color w:val="333333"/>
                <w:sz w:val="18"/>
                <w:szCs w:val="18"/>
              </w:rPr>
              <w:t xml:space="preserve">$2,645</w:t>
            </w:r>
          </w:p>
        </w:tc>
        <w:tc>
          <w:tcPr>
            <w:tcW w:type="dxa" w:w="2080"/>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color w:val="333333"/>
                <w:sz w:val="18"/>
                <w:szCs w:val="18"/>
              </w:rPr>
              <w:t xml:space="preserve">$4,195</w:t>
            </w:r>
          </w:p>
        </w:tc>
        <w:tc>
          <w:tcPr>
            <w:tcW w:type="dxa" w:w="2080"/>
            <w:tcBorders>
              <w:top w:val="single" w:color="CCCCCC" w:sz="1"/>
              <w:left w:val="single" w:color="CCCCCC" w:sz="1"/>
              <w:bottom w:val="single" w:color="CCCCCC" w:sz="1"/>
              <w:right w:val="single" w:color="CCCCCC" w:sz="1"/>
            </w:tcBorders>
            <w:shd w:fill="FFF8E1" w:val="clear"/>
            <w:tcMar>
              <w:top w:type="dxa" w:w="50"/>
              <w:left w:type="dxa" w:w="100"/>
              <w:bottom w:type="dxa" w:w="50"/>
              <w:right w:type="dxa" w:w="100"/>
            </w:tcMar>
          </w:tcPr>
          <w:p>
            <w:r>
              <w:rPr>
                <w:rFonts w:ascii="Arial" w:cs="Arial" w:eastAsia="Arial" w:hAnsi="Arial"/>
                <w:color w:val="333333"/>
                <w:sz w:val="18"/>
                <w:szCs w:val="18"/>
              </w:rPr>
              <w:t xml:space="preserve">Days 45–90</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333333"/>
                <w:sz w:val="18"/>
                <w:szCs w:val="18"/>
              </w:rPr>
              <w:t xml:space="preserve">Ongoing (3 mo): email, software, API</w:t>
            </w:r>
          </w:p>
        </w:tc>
        <w:tc>
          <w:tcPr>
            <w:tcW w:type="dxa" w:w="20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$200</w:t>
            </w:r>
          </w:p>
        </w:tc>
        <w:tc>
          <w:tcPr>
            <w:tcW w:type="dxa" w:w="20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$500</w:t>
            </w:r>
          </w:p>
        </w:tc>
        <w:tc>
          <w:tcPr>
            <w:tcW w:type="dxa" w:w="208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333333"/>
                <w:sz w:val="18"/>
                <w:szCs w:val="18"/>
              </w:rPr>
              <w:t xml:space="preserve">Months 1–3</w:t>
            </w:r>
          </w:p>
        </w:tc>
      </w:tr>
      <w:tr>
        <w:tc>
          <w:tcPr>
            <w:tcW w:type="dxa" w:w="312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b/>
                <w:bCs/>
                <w:color w:val="333333"/>
                <w:sz w:val="18"/>
                <w:szCs w:val="18"/>
              </w:rPr>
              <w:t xml:space="preserve">Reserve / contingency</w:t>
            </w:r>
          </w:p>
        </w:tc>
        <w:tc>
          <w:tcPr>
            <w:tcW w:type="dxa" w:w="2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$500</w:t>
            </w:r>
          </w:p>
        </w:tc>
        <w:tc>
          <w:tcPr>
            <w:tcW w:type="dxa" w:w="2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$1,000</w:t>
            </w:r>
          </w:p>
        </w:tc>
        <w:tc>
          <w:tcPr>
            <w:tcW w:type="dxa" w:w="2080"/>
            <w:tcBorders>
              <w:top w:val="single" w:color="CCCCCC" w:sz="1"/>
              <w:left w:val="single" w:color="CCCCCC" w:sz="1"/>
              <w:bottom w:val="single" w:color="CCCCCC" w:sz="1"/>
              <w:right w:val="single" w:color="CCCCCC" w:sz="1"/>
            </w:tcBorders>
            <w:shd w:fill="F2F2F2" w:val="clear"/>
            <w:tcMar>
              <w:top w:type="dxa" w:w="50"/>
              <w:left w:type="dxa" w:w="100"/>
              <w:bottom w:type="dxa" w:w="50"/>
              <w:right w:type="dxa" w:w="100"/>
            </w:tcMar>
          </w:tcPr>
          <w:p>
            <w:r>
              <w:rPr>
                <w:rFonts w:ascii="Arial" w:cs="Arial" w:eastAsia="Arial" w:hAnsi="Arial"/>
                <w:color w:val="333333"/>
                <w:sz w:val="18"/>
                <w:szCs w:val="18"/>
              </w:rPr>
              <w:t xml:space="preserve">—</w:t>
            </w:r>
          </w:p>
        </w:tc>
      </w:tr>
      <w:tr>
        <w:tc>
          <w:tcPr>
            <w:tcW w:type="dxa" w:w="312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333333"/>
                <w:sz w:val="18"/>
                <w:szCs w:val="18"/>
              </w:rPr>
              <w:t xml:space="preserve">GRAND TOTAL</w:t>
            </w:r>
          </w:p>
        </w:tc>
        <w:tc>
          <w:tcPr>
            <w:tcW w:type="dxa" w:w="2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$5,124</w:t>
            </w:r>
          </w:p>
        </w:tc>
        <w:tc>
          <w:tcPr>
            <w:tcW w:type="dxa" w:w="2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$9,770</w:t>
            </w:r>
          </w:p>
        </w:tc>
        <w:tc>
          <w:tcPr>
            <w:tcW w:type="dxa" w:w="2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90 days</w:t>
            </w:r>
          </w:p>
        </w:tc>
      </w:tr>
    </w:tbl>
    <w:p>
      <w:pPr>
        <w:spacing w:before="80" w:after="80"/>
      </w:pPr>
    </w:p>
    <w:p>
      <w:pPr>
        <w:spacing w:after="160" w:line="300"/>
        <w:jc w:val="both"/>
      </w:pPr>
      <w:r>
        <w:rPr>
          <w:rFonts w:ascii="Arial" w:cs="Arial" w:eastAsia="Arial" w:hAnsi="Arial"/>
          <w:color w:val="333333"/>
          <w:sz w:val="21"/>
          <w:szCs w:val="21"/>
        </w:rPr>
        <w:t xml:space="preserve">The lean path completes all three phases for approximately $5,100–$9,800, well within the $12,000 operating budget. The remaining buffer ($2,200–$6,900) provides runway for months 4–6 operating costs (API usage, DIFC desk, domain renewals) while accelerator decisions and cloud credit approvals come through.</w:t>
      </w:r>
    </w:p>
    <w:p>
      <w:r>
        <w:br w:type="page"/>
      </w:r>
    </w:p>
    <w:p>
      <w:pPr>
        <w:pStyle w:val="Heading1"/>
        <w:pBdr>
          <w:bottom w:val="single" w:color="C5922E" w:sz="4" w:space="8"/>
        </w:pBdr>
        <w:spacing w:before="360" w:after="200"/>
      </w:pPr>
      <w:r>
        <w:rPr>
          <w:rFonts w:ascii="Georgia" w:cs="Georgia" w:eastAsia="Georgia" w:hAnsi="Georgia"/>
          <w:b/>
          <w:bCs/>
          <w:color w:val="1B2A4A"/>
          <w:sz w:val="32"/>
          <w:szCs w:val="32"/>
        </w:rPr>
        <w:t xml:space="preserve">Day 90: State of the Operation</w:t>
      </w:r>
    </w:p>
    <w:p>
      <w:pPr>
        <w:spacing w:after="160" w:line="300"/>
        <w:jc w:val="both"/>
      </w:pPr>
      <w:r>
        <w:rPr>
          <w:rFonts w:ascii="Arial" w:cs="Arial" w:eastAsia="Arial" w:hAnsi="Arial"/>
          <w:color w:val="333333"/>
          <w:sz w:val="21"/>
          <w:szCs w:val="21"/>
        </w:rPr>
        <w:t xml:space="preserve">At the close of this calendar, Eden Intelligence Group will have:</w:t>
      </w:r>
    </w:p>
    <w:p>
      <w:pPr>
        <w:pStyle w:val="ListParagraph"/>
        <w:numPr>
          <w:ilvl w:val="0"/>
          <w:numId w:val="3"/>
        </w:numPr>
        <w:spacing w:after="80" w:line="280"/>
      </w:pPr>
      <w:r>
        <w:rPr>
          <w:rFonts w:ascii="Arial" w:cs="Arial" w:eastAsia="Arial" w:hAnsi="Arial"/>
          <w:b/>
          <w:bCs/>
          <w:color w:val="333333"/>
          <w:sz w:val="21"/>
          <w:szCs w:val="21"/>
        </w:rPr>
        <w:t xml:space="preserve">Legal: </w:t>
      </w:r>
      <w:r>
        <w:rPr>
          <w:rFonts w:ascii="Arial" w:cs="Arial" w:eastAsia="Arial" w:hAnsi="Arial"/>
          <w:color w:val="333333"/>
          <w:sz w:val="21"/>
          <w:szCs w:val="21"/>
        </w:rPr>
        <w:t xml:space="preserve">Delaware C-Corp holding company, Georgia LLC operating subsidiary, IP assignment and intercompany license agreements, founder stock issued, business bank accounts operational.</w:t>
      </w:r>
    </w:p>
    <w:p>
      <w:pPr>
        <w:pStyle w:val="ListParagraph"/>
        <w:numPr>
          <w:ilvl w:val="0"/>
          <w:numId w:val="3"/>
        </w:numPr>
        <w:spacing w:after="80" w:line="280"/>
      </w:pPr>
      <w:r>
        <w:rPr>
          <w:rFonts w:ascii="Arial" w:cs="Arial" w:eastAsia="Arial" w:hAnsi="Arial"/>
          <w:b/>
          <w:bCs/>
          <w:color w:val="333333"/>
          <w:sz w:val="21"/>
          <w:szCs w:val="21"/>
        </w:rPr>
        <w:t xml:space="preserve">Technology: </w:t>
      </w:r>
      <w:r>
        <w:rPr>
          <w:rFonts w:ascii="Arial" w:cs="Arial" w:eastAsia="Arial" w:hAnsi="Arial"/>
          <w:color w:val="333333"/>
          <w:sz w:val="21"/>
          <w:szCs w:val="21"/>
        </w:rPr>
        <w:t xml:space="preserve">Complete platform running on sovereign AI infrastructure (Claude, GPT, Gemini direct integrations). Zero third-party aggregator dependency. Audit trails, RBAC, permission cascades, and memory management operational. Docker-packaged and NAS-ready.</w:t>
      </w:r>
    </w:p>
    <w:p>
      <w:pPr>
        <w:pStyle w:val="ListParagraph"/>
        <w:numPr>
          <w:ilvl w:val="0"/>
          <w:numId w:val="3"/>
        </w:numPr>
        <w:spacing w:after="80" w:line="280"/>
      </w:pPr>
      <w:r>
        <w:rPr>
          <w:rFonts w:ascii="Arial" w:cs="Arial" w:eastAsia="Arial" w:hAnsi="Arial"/>
          <w:b/>
          <w:bCs/>
          <w:color w:val="333333"/>
          <w:sz w:val="21"/>
          <w:szCs w:val="21"/>
        </w:rPr>
        <w:t xml:space="preserve">Intellectual Property: </w:t>
      </w:r>
      <w:r>
        <w:rPr>
          <w:rFonts w:ascii="Arial" w:cs="Arial" w:eastAsia="Arial" w:hAnsi="Arial"/>
          <w:color w:val="333333"/>
          <w:sz w:val="21"/>
          <w:szCs w:val="21"/>
        </w:rPr>
        <w:t xml:space="preserve">Three provisional patents filed and pending, covering the Financial Positioning System methodology, Trust Index scoring framework, and governance-not-guardrails AI architecture. 12-month priority window active.</w:t>
      </w:r>
    </w:p>
    <w:p>
      <w:pPr>
        <w:pStyle w:val="ListParagraph"/>
        <w:numPr>
          <w:ilvl w:val="0"/>
          <w:numId w:val="3"/>
        </w:numPr>
        <w:spacing w:after="80" w:line="280"/>
      </w:pPr>
      <w:r>
        <w:rPr>
          <w:rFonts w:ascii="Arial" w:cs="Arial" w:eastAsia="Arial" w:hAnsi="Arial"/>
          <w:b/>
          <w:bCs/>
          <w:color w:val="333333"/>
          <w:sz w:val="21"/>
          <w:szCs w:val="21"/>
        </w:rPr>
        <w:t xml:space="preserve">International: </w:t>
      </w:r>
      <w:r>
        <w:rPr>
          <w:rFonts w:ascii="Arial" w:cs="Arial" w:eastAsia="Arial" w:hAnsi="Arial"/>
          <w:color w:val="333333"/>
          <w:sz w:val="21"/>
          <w:szCs w:val="21"/>
        </w:rPr>
        <w:t xml:space="preserve">DIFC Innovation License active. Physical presence in Dubai’s premier financial and innovation hub. Access to FinTech Hive accelerator, Innovation Hub community, and Middle East/Africa/South Asia market ecosystem.</w:t>
      </w:r>
    </w:p>
    <w:p>
      <w:pPr>
        <w:pStyle w:val="ListParagraph"/>
        <w:numPr>
          <w:ilvl w:val="0"/>
          <w:numId w:val="3"/>
        </w:numPr>
        <w:spacing w:after="80" w:line="280"/>
      </w:pPr>
      <w:r>
        <w:rPr>
          <w:rFonts w:ascii="Arial" w:cs="Arial" w:eastAsia="Arial" w:hAnsi="Arial"/>
          <w:b/>
          <w:bCs/>
          <w:color w:val="333333"/>
          <w:sz w:val="21"/>
          <w:szCs w:val="21"/>
        </w:rPr>
        <w:t xml:space="preserve">Pipeline: </w:t>
      </w:r>
      <w:r>
        <w:rPr>
          <w:rFonts w:ascii="Arial" w:cs="Arial" w:eastAsia="Arial" w:hAnsi="Arial"/>
          <w:color w:val="333333"/>
          <w:sz w:val="21"/>
          <w:szCs w:val="21"/>
        </w:rPr>
        <w:t xml:space="preserve">Hub71 application submitted (SWF access pathway). Domestic accelerator applications in process. Cloud credit applications submitted ($600K potential). Flourish Ventures engagement initiated.</w:t>
      </w:r>
    </w:p>
    <w:p>
      <w:pPr>
        <w:pStyle w:val="ListParagraph"/>
        <w:numPr>
          <w:ilvl w:val="0"/>
          <w:numId w:val="3"/>
        </w:numPr>
        <w:spacing w:after="80" w:line="280"/>
      </w:pPr>
      <w:r>
        <w:rPr>
          <w:rFonts w:ascii="Arial" w:cs="Arial" w:eastAsia="Arial" w:hAnsi="Arial"/>
          <w:b/>
          <w:bCs/>
          <w:color w:val="333333"/>
          <w:sz w:val="21"/>
          <w:szCs w:val="21"/>
        </w:rPr>
        <w:t xml:space="preserve">Capital Position: </w:t>
      </w:r>
      <w:r>
        <w:rPr>
          <w:rFonts w:ascii="Arial" w:cs="Arial" w:eastAsia="Arial" w:hAnsi="Arial"/>
          <w:color w:val="333333"/>
          <w:sz w:val="21"/>
          <w:szCs w:val="21"/>
        </w:rPr>
        <w:t xml:space="preserve">Approximately $2,000–$7,000 remaining from initial budget, supplemented by incoming cloud credits and potential accelerator capital.</w:t>
      </w:r>
    </w:p>
    <w:p>
      <w:pPr>
        <w:spacing w:before="80" w:after="80"/>
      </w:pPr>
    </w:p>
    <w:p>
      <w:pPr>
        <w:pBdr>
          <w:left w:val="single" w:color="C5922E" w:sz="12" w:space="12"/>
        </w:pBdr>
        <w:spacing w:before="200" w:after="200" w:line="300"/>
        <w:ind w:left="360" w:right="360"/>
      </w:pPr>
      <w:r>
        <w:rPr>
          <w:rFonts w:ascii="Arial" w:cs="Arial" w:eastAsia="Arial" w:hAnsi="Arial"/>
          <w:b/>
          <w:bCs/>
          <w:i/>
          <w:iCs/>
          <w:color w:val="1B2A4A"/>
          <w:sz w:val="21"/>
          <w:szCs w:val="21"/>
        </w:rPr>
        <w:t xml:space="preserve">This is no longer a concept. This is a registered, protected, internationally positioned technology company with operational infrastructure, pending intellectual property, and active capital pipeline — built for under $10,000.</w:t>
      </w:r>
    </w:p>
    <w:p>
      <w:r>
        <w:br w:type="page"/>
      </w:r>
    </w:p>
    <w:p>
      <w:pPr>
        <w:pStyle w:val="Heading1"/>
        <w:pBdr>
          <w:bottom w:val="single" w:color="C5922E" w:sz="4" w:space="8"/>
        </w:pBdr>
        <w:spacing w:before="360" w:after="200"/>
      </w:pPr>
      <w:r>
        <w:rPr>
          <w:rFonts w:ascii="Georgia" w:cs="Georgia" w:eastAsia="Georgia" w:hAnsi="Georgia"/>
          <w:b/>
          <w:bCs/>
          <w:color w:val="1B2A4A"/>
          <w:sz w:val="32"/>
          <w:szCs w:val="32"/>
        </w:rPr>
        <w:t xml:space="preserve">Post-90-Day: Months 4–6 Priorities</w:t>
      </w:r>
    </w:p>
    <w:p>
      <w:pPr>
        <w:spacing w:after="160" w:line="300"/>
        <w:jc w:val="both"/>
      </w:pPr>
      <w:r>
        <w:rPr>
          <w:rFonts w:ascii="Arial" w:cs="Arial" w:eastAsia="Arial" w:hAnsi="Arial"/>
          <w:color w:val="333333"/>
          <w:sz w:val="21"/>
          <w:szCs w:val="21"/>
        </w:rPr>
        <w:t xml:space="preserve">The 90-day calendar establishes the foundation. The following priorities immediately follow, funded by accelerator capital, cloud credits, and early revenue:</w:t>
      </w:r>
    </w:p>
    <w:p>
      <w:pPr>
        <w:pStyle w:val="Heading3"/>
        <w:spacing w:before="200" w:after="120"/>
      </w:pPr>
      <w:r>
        <w:rPr>
          <w:rFonts w:ascii="Arial" w:cs="Arial" w:eastAsia="Arial" w:hAnsi="Arial"/>
          <w:b/>
          <w:bCs/>
          <w:color w:val="1B2A4A"/>
          <w:sz w:val="22"/>
          <w:szCs w:val="22"/>
        </w:rPr>
        <w:t xml:space="preserve">Month 4: Revenue Initiation</w:t>
      </w:r>
    </w:p>
    <w:p>
      <w:pPr>
        <w:pStyle w:val="ListParagraph"/>
        <w:numPr>
          <w:ilvl w:val="0"/>
          <w:numId w:val="3"/>
        </w:numPr>
        <w:spacing w:after="80" w:line="280"/>
      </w:pPr>
      <w:r>
        <w:rPr>
          <w:rFonts w:ascii="Arial" w:cs="Arial" w:eastAsia="Arial" w:hAnsi="Arial"/>
          <w:b/>
          <w:bCs/>
          <w:color w:val="333333"/>
          <w:sz w:val="21"/>
          <w:szCs w:val="21"/>
        </w:rPr>
        <w:t xml:space="preserve">Launch WayPoint Core MVP </w:t>
      </w:r>
      <w:r>
        <w:rPr>
          <w:rFonts w:ascii="Arial" w:cs="Arial" w:eastAsia="Arial" w:hAnsi="Arial"/>
          <w:color w:val="333333"/>
          <w:sz w:val="21"/>
          <w:szCs w:val="21"/>
        </w:rPr>
        <w:t xml:space="preserve">for small business financial positioning. Target: 10 beta customers at $50/month = $500 MRR.</w:t>
      </w:r>
    </w:p>
    <w:p>
      <w:pPr>
        <w:pStyle w:val="ListParagraph"/>
        <w:numPr>
          <w:ilvl w:val="0"/>
          <w:numId w:val="3"/>
        </w:numPr>
        <w:spacing w:after="80" w:line="280"/>
      </w:pPr>
      <w:r>
        <w:rPr>
          <w:rFonts w:ascii="Arial" w:cs="Arial" w:eastAsia="Arial" w:hAnsi="Arial"/>
          <w:b/>
          <w:bCs/>
          <w:color w:val="333333"/>
          <w:sz w:val="21"/>
          <w:szCs w:val="21"/>
        </w:rPr>
        <w:t xml:space="preserve">Begin bank partnership conversations </w:t>
      </w:r>
      <w:r>
        <w:rPr>
          <w:rFonts w:ascii="Arial" w:cs="Arial" w:eastAsia="Arial" w:hAnsi="Arial"/>
          <w:color w:val="333333"/>
          <w:sz w:val="21"/>
          <w:szCs w:val="21"/>
        </w:rPr>
        <w:t xml:space="preserve">with Column or Coastal Community Bank using corporate structure, patent-pending IP, and operational platform as credibility.</w:t>
      </w:r>
    </w:p>
    <w:p>
      <w:pPr>
        <w:pStyle w:val="Heading3"/>
        <w:spacing w:before="200" w:after="120"/>
      </w:pPr>
      <w:r>
        <w:rPr>
          <w:rFonts w:ascii="Arial" w:cs="Arial" w:eastAsia="Arial" w:hAnsi="Arial"/>
          <w:b/>
          <w:bCs/>
          <w:color w:val="1B2A4A"/>
          <w:sz w:val="22"/>
          <w:szCs w:val="22"/>
        </w:rPr>
        <w:t xml:space="preserve">Month 5: Education + Application Pipeline</w:t>
      </w:r>
    </w:p>
    <w:p>
      <w:pPr>
        <w:pStyle w:val="ListParagraph"/>
        <w:numPr>
          <w:ilvl w:val="0"/>
          <w:numId w:val="3"/>
        </w:numPr>
        <w:spacing w:after="80" w:line="280"/>
      </w:pPr>
      <w:r>
        <w:rPr>
          <w:rFonts w:ascii="Arial" w:cs="Arial" w:eastAsia="Arial" w:hAnsi="Arial"/>
          <w:b/>
          <w:bCs/>
          <w:color w:val="333333"/>
          <w:sz w:val="21"/>
          <w:szCs w:val="21"/>
        </w:rPr>
        <w:t xml:space="preserve">Launch Crown’s Eye beta </w:t>
      </w:r>
      <w:r>
        <w:rPr>
          <w:rFonts w:ascii="Arial" w:cs="Arial" w:eastAsia="Arial" w:hAnsi="Arial"/>
          <w:color w:val="333333"/>
          <w:sz w:val="21"/>
          <w:szCs w:val="21"/>
        </w:rPr>
        <w:t xml:space="preserve">for business owner financial education (no financial licensing required).</w:t>
      </w:r>
    </w:p>
    <w:p>
      <w:pPr>
        <w:pStyle w:val="ListParagraph"/>
        <w:numPr>
          <w:ilvl w:val="0"/>
          <w:numId w:val="3"/>
        </w:numPr>
        <w:spacing w:after="80" w:line="280"/>
      </w:pPr>
      <w:r>
        <w:rPr>
          <w:rFonts w:ascii="Arial" w:cs="Arial" w:eastAsia="Arial" w:hAnsi="Arial"/>
          <w:b/>
          <w:bCs/>
          <w:color w:val="333333"/>
          <w:sz w:val="21"/>
          <w:szCs w:val="21"/>
        </w:rPr>
        <w:t xml:space="preserve">Attend DIFC Innovation Hub programming </w:t>
      </w:r>
      <w:r>
        <w:rPr>
          <w:rFonts w:ascii="Arial" w:cs="Arial" w:eastAsia="Arial" w:hAnsi="Arial"/>
          <w:color w:val="333333"/>
          <w:sz w:val="21"/>
          <w:szCs w:val="21"/>
        </w:rPr>
        <w:t xml:space="preserve">— FinTech Hive events, investor meetups, family office networking.</w:t>
      </w:r>
    </w:p>
    <w:p>
      <w:pPr>
        <w:pStyle w:val="ListParagraph"/>
        <w:numPr>
          <w:ilvl w:val="0"/>
          <w:numId w:val="3"/>
        </w:numPr>
        <w:spacing w:after="80" w:line="280"/>
      </w:pPr>
      <w:r>
        <w:rPr>
          <w:rFonts w:ascii="Arial" w:cs="Arial" w:eastAsia="Arial" w:hAnsi="Arial"/>
          <w:b/>
          <w:bCs/>
          <w:color w:val="333333"/>
          <w:sz w:val="21"/>
          <w:szCs w:val="21"/>
        </w:rPr>
        <w:t xml:space="preserve">Follow up on all accelerator and cloud credit applications.</w:t>
      </w:r>
      <w:r>
        <w:rPr>
          <w:rFonts w:ascii="Arial" w:cs="Arial" w:eastAsia="Arial" w:hAnsi="Arial"/>
          <w:color w:val="333333"/>
          <w:sz w:val="21"/>
          <w:szCs w:val="21"/>
        </w:rPr>
      </w:r>
    </w:p>
    <w:p>
      <w:pPr>
        <w:pStyle w:val="Heading3"/>
        <w:spacing w:before="200" w:after="120"/>
      </w:pPr>
      <w:r>
        <w:rPr>
          <w:rFonts w:ascii="Arial" w:cs="Arial" w:eastAsia="Arial" w:hAnsi="Arial"/>
          <w:b/>
          <w:bCs/>
          <w:color w:val="1B2A4A"/>
          <w:sz w:val="22"/>
          <w:szCs w:val="22"/>
        </w:rPr>
        <w:t xml:space="preserve">Month 6: Scale Preparation</w:t>
      </w:r>
    </w:p>
    <w:p>
      <w:pPr>
        <w:pStyle w:val="ListParagraph"/>
        <w:numPr>
          <w:ilvl w:val="0"/>
          <w:numId w:val="3"/>
        </w:numPr>
        <w:spacing w:after="80" w:line="280"/>
      </w:pPr>
      <w:r>
        <w:rPr>
          <w:rFonts w:ascii="Arial" w:cs="Arial" w:eastAsia="Arial" w:hAnsi="Arial"/>
          <w:b/>
          <w:bCs/>
          <w:color w:val="333333"/>
          <w:sz w:val="21"/>
          <w:szCs w:val="21"/>
        </w:rPr>
        <w:t xml:space="preserve">Target: 50 WayPoint Core customers, $2,500 MRR.</w:t>
      </w:r>
      <w:r>
        <w:rPr>
          <w:rFonts w:ascii="Arial" w:cs="Arial" w:eastAsia="Arial" w:hAnsi="Arial"/>
          <w:color w:val="333333"/>
          <w:sz w:val="21"/>
          <w:szCs w:val="21"/>
        </w:rPr>
      </w:r>
    </w:p>
    <w:p>
      <w:pPr>
        <w:pStyle w:val="ListParagraph"/>
        <w:numPr>
          <w:ilvl w:val="0"/>
          <w:numId w:val="3"/>
        </w:numPr>
        <w:spacing w:after="80" w:line="280"/>
      </w:pPr>
      <w:r>
        <w:rPr>
          <w:rFonts w:ascii="Arial" w:cs="Arial" w:eastAsia="Arial" w:hAnsi="Arial"/>
          <w:b/>
          <w:bCs/>
          <w:color w:val="333333"/>
          <w:sz w:val="21"/>
          <w:szCs w:val="21"/>
        </w:rPr>
        <w:t xml:space="preserve">Prepare for UK entity formation </w:t>
      </w:r>
      <w:r>
        <w:rPr>
          <w:rFonts w:ascii="Arial" w:cs="Arial" w:eastAsia="Arial" w:hAnsi="Arial"/>
          <w:color w:val="333333"/>
          <w:sz w:val="21"/>
          <w:szCs w:val="21"/>
        </w:rPr>
        <w:t xml:space="preserve">if FCA Sandbox or Horizon Europe application is ready.</w:t>
      </w:r>
    </w:p>
    <w:p>
      <w:pPr>
        <w:pStyle w:val="ListParagraph"/>
        <w:numPr>
          <w:ilvl w:val="0"/>
          <w:numId w:val="3"/>
        </w:numPr>
        <w:spacing w:after="80" w:line="280"/>
      </w:pPr>
      <w:r>
        <w:rPr>
          <w:rFonts w:ascii="Arial" w:cs="Arial" w:eastAsia="Arial" w:hAnsi="Arial"/>
          <w:b/>
          <w:bCs/>
          <w:color w:val="333333"/>
          <w:sz w:val="21"/>
          <w:szCs w:val="21"/>
        </w:rPr>
        <w:t xml:space="preserve">Begin Series Seed fundraising materials </w:t>
      </w:r>
      <w:r>
        <w:rPr>
          <w:rFonts w:ascii="Arial" w:cs="Arial" w:eastAsia="Arial" w:hAnsi="Arial"/>
          <w:color w:val="333333"/>
          <w:sz w:val="21"/>
          <w:szCs w:val="21"/>
        </w:rPr>
        <w:t xml:space="preserve">— using MCR-2026-001, operational metrics, patent-pending portfolio, and DIFC international presence.</w:t>
      </w:r>
    </w:p>
    <w:p>
      <w:pPr>
        <w:pStyle w:val="ListParagraph"/>
        <w:numPr>
          <w:ilvl w:val="0"/>
          <w:numId w:val="3"/>
        </w:numPr>
        <w:spacing w:after="80" w:line="280"/>
      </w:pPr>
      <w:r>
        <w:rPr>
          <w:rFonts w:ascii="Arial" w:cs="Arial" w:eastAsia="Arial" w:hAnsi="Arial"/>
          <w:b/>
          <w:bCs/>
          <w:color w:val="333333"/>
          <w:sz w:val="21"/>
          <w:szCs w:val="21"/>
        </w:rPr>
        <w:t xml:space="preserve">Apply to Fearless Fund Global Initiative </w:t>
      </w:r>
      <w:r>
        <w:rPr>
          <w:rFonts w:ascii="Arial" w:cs="Arial" w:eastAsia="Arial" w:hAnsi="Arial"/>
          <w:color w:val="333333"/>
          <w:sz w:val="21"/>
          <w:szCs w:val="21"/>
        </w:rPr>
        <w:t xml:space="preserve">($200M debt fund) if timing aligns.</w:t>
      </w:r>
    </w:p>
    <w:p>
      <w:pPr>
        <w:spacing w:before="80" w:after="80"/>
      </w:pPr>
    </w:p>
    <w:p>
      <w:pPr>
        <w:spacing w:before="80" w:after="80"/>
      </w:pPr>
    </w:p>
    <w:p>
      <w:pPr>
        <w:spacing w:before="600"/>
        <w:jc w:val="center"/>
      </w:pPr>
      <w:r>
        <w:rPr>
          <w:rFonts w:ascii="Georgia" w:cs="Georgia" w:eastAsia="Georgia" w:hAnsi="Georgia"/>
          <w:i/>
          <w:iCs/>
          <w:color w:val="666666"/>
          <w:sz w:val="22"/>
          <w:szCs w:val="22"/>
        </w:rPr>
        <w:t xml:space="preserve">— End of Calendar —</w:t>
      </w:r>
    </w:p>
    <w:p>
      <w:pPr>
        <w:spacing w:before="120"/>
        <w:jc w:val="center"/>
      </w:pPr>
      <w:r>
        <w:rPr>
          <w:rFonts w:ascii="Arial" w:cs="Arial" w:eastAsia="Arial" w:hAnsi="Arial"/>
          <w:color w:val="666666"/>
          <w:sz w:val="20"/>
          <w:szCs w:val="20"/>
        </w:rPr>
        <w:t xml:space="preserve">R&amp;D / Business Development Division</w:t>
      </w:r>
    </w:p>
    <w:p>
      <w:pPr>
        <w:spacing w:before="60"/>
        <w:jc w:val="center"/>
      </w:pPr>
      <w:r>
        <w:rPr>
          <w:rFonts w:ascii="Arial" w:cs="Arial" w:eastAsia="Arial" w:hAnsi="Arial"/>
          <w:color w:val="666666"/>
          <w:sz w:val="20"/>
          <w:szCs w:val="20"/>
        </w:rPr>
        <w:t xml:space="preserve">Eden Intelligence Group</w:t>
      </w:r>
    </w:p>
    <w:p>
      <w:pPr>
        <w:spacing w:before="60"/>
        <w:jc w:val="center"/>
      </w:pPr>
      <w:r>
        <w:rPr>
          <w:rFonts w:ascii="Arial" w:cs="Arial" w:eastAsia="Arial" w:hAnsi="Arial"/>
          <w:color w:val="666666"/>
          <w:sz w:val="20"/>
          <w:szCs w:val="20"/>
        </w:rPr>
        <w:t xml:space="preserve">February 21,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922E" w:sz="2" w:space="4"/>
      </w:pBdr>
      <w:tabs>
        <w:tab w:val="right" w:pos="9026"/>
      </w:tabs>
    </w:pPr>
    <w:r>
      <w:rPr>
        <w:rFonts w:ascii="Arial" w:cs="Arial" w:eastAsia="Arial" w:hAnsi="Arial"/>
        <w:color w:val="666666"/>
        <w:sz w:val="14"/>
        <w:szCs w:val="14"/>
      </w:rPr>
      <w:t xml:space="preserve">CONFIDENTIAL — Eden Intelligence Group</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922E" w:sz="2" w:space="4"/>
      </w:pBdr>
      <w:tabs>
        <w:tab w:val="right" w:pos="9026"/>
      </w:tabs>
    </w:pPr>
    <w:r>
      <w:rPr>
        <w:rFonts w:ascii="Arial" w:cs="Arial" w:eastAsia="Arial" w:hAnsi="Arial"/>
        <w:b/>
        <w:bCs/>
        <w:color w:val="666666"/>
        <w:sz w:val="16"/>
        <w:szCs w:val="16"/>
      </w:rPr>
      <w:t xml:space="preserve">EDEN INTELLIGENCE GROUP — 90-DAY EXECUTION CALENDAR</w:t>
    </w:r>
    <w:r>
      <w:rPr>
        <w:rFonts w:ascii="Arial" w:cs="Arial" w:eastAsia="Arial" w:hAnsi="Arial"/>
        <w:color w:val="666666"/>
        <w:sz w:val="16"/>
        <w:szCs w:val="16"/>
      </w:rPr>
      <w:t xml:space="preserve">	EIG-CAL-2026-001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A4A"/>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2E5E8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2026-02-21T06:04:37.676Z</dcterms:created>
  <dcterms:modified xsi:type="dcterms:W3CDTF">2026-02-21T06:04:37.677Z</dcterms:modified>
</cp:coreProperties>
</file>

<file path=docProps/custom.xml><?xml version="1.0" encoding="utf-8"?>
<Properties xmlns="http://schemas.openxmlformats.org/officeDocument/2006/custom-properties" xmlns:vt="http://schemas.openxmlformats.org/officeDocument/2006/docPropsVTypes"/>
</file>