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after="80"/>
        <w:jc w:val="center"/>
      </w:pPr>
      <w:r>
        <w:rPr>
          <w:rFonts w:ascii="Georgia" w:cs="Georgia" w:eastAsia="Georgia" w:hAnsi="Georgia"/>
          <w:b/>
          <w:bCs/>
          <w:color w:val="0D1018"/>
          <w:sz w:val="64"/>
          <w:szCs w:val="64"/>
        </w:rPr>
        <w:t xml:space="preserve">MERIDIA</w:t>
      </w:r>
    </w:p>
    <w:p>
      <w:pPr>
        <w:spacing w:after="80"/>
        <w:jc w:val="center"/>
      </w:pPr>
      <w:r>
        <w:rPr>
          <w:rFonts w:ascii="Georgia" w:cs="Georgia" w:eastAsia="Georgia" w:hAnsi="Georgia"/>
          <w:color w:val="C9A84C"/>
          <w:sz w:val="28"/>
          <w:szCs w:val="28"/>
        </w:rPr>
        <w:t xml:space="preserve">System Architecture &amp; Technical Brief</w:t>
      </w:r>
    </w:p>
    <w:p>
      <w:pPr>
        <w:spacing w:after="40"/>
        <w:jc w:val="center"/>
      </w:pPr>
      <w:r>
        <w:rPr>
          <w:rFonts w:ascii="Calibri" w:cs="Calibri" w:eastAsia="Calibri" w:hAnsi="Calibri"/>
          <w:color w:val="4A4A5A"/>
          <w:sz w:val="20"/>
          <w:szCs w:val="20"/>
        </w:rPr>
        <w:t xml:space="preserve">Prepared for Keith Mosley · Enterprise Architect</w:t>
      </w:r>
    </w:p>
    <w:p>
      <w:pPr>
        <w:spacing w:after="200"/>
        <w:jc w:val="center"/>
      </w:pPr>
      <w:r>
        <w:rPr>
          <w:rFonts w:ascii="Calibri" w:cs="Calibri" w:eastAsia="Calibri" w:hAnsi="Calibri"/>
          <w:color w:val="4A4A5A"/>
          <w:sz w:val="18"/>
          <w:szCs w:val="18"/>
        </w:rPr>
        <w:t xml:space="preserve">March 2026  ·  Confidential</w:t>
      </w:r>
    </w:p>
    <w:p>
      <w:pPr>
        <w:pBdr>
          <w:bottom w:val="single" w:color="C9A84C" w:sz="2" w:space="1"/>
        </w:pBdr>
        <w:spacing w:before="80" w:after="80"/>
      </w:pPr>
      <w:r>
        <w:t xml:space="preserve"/>
      </w:r>
    </w:p>
    <w:p>
      <w:pPr>
        <w:spacing w:before="0" w:after="160"/>
      </w:pPr>
      <w:r>
        <w:t xml:space="preserve"/>
      </w:r>
    </w:p>
    <w:p>
      <w:pPr>
        <w:pBdr>
          <w:left w:val="single" w:color="C9A84C" w:sz="12" w:space="10"/>
        </w:pBdr>
        <w:shd w:fill="F5F0E8" w:val="clear"/>
        <w:spacing w:before="100" w:after="100"/>
        <w:ind w:left="360" w:right="360"/>
      </w:pPr>
      <w:r>
        <w:rPr>
          <w:rFonts w:ascii="Georgia" w:cs="Georgia" w:eastAsia="Georgia" w:hAnsi="Georgia"/>
          <w:i/>
          <w:iCs/>
          <w:color w:val="0D1018"/>
          <w:sz w:val="19"/>
          <w:szCs w:val="19"/>
        </w:rPr>
        <w:t xml:space="preserve">The question you asked was: "Can we actually build this, and what breaks?" This document answers that question directly — layer by layer, component by component, with explicit identification of where the bottlenecks are by design.</w:t>
      </w:r>
    </w:p>
    <w:p>
      <w:pPr>
        <w:spacing w:before="0" w:after="400"/>
      </w:pPr>
      <w:r>
        <w:t xml:space="preserve"/>
      </w:r>
    </w:p>
    <w:p>
      <w:r>
        <w:br w:type="page"/>
      </w:r>
    </w:p>
    <w:p>
      <w:pPr>
        <w:pStyle w:val="Heading1"/>
        <w:pBdr>
          <w:bottom w:val="single" w:color="C9A84C" w:sz="4" w:space="6"/>
        </w:pBdr>
        <w:spacing w:before="400" w:after="160"/>
      </w:pPr>
      <w:r>
        <w:rPr>
          <w:rFonts w:ascii="Georgia" w:cs="Georgia" w:eastAsia="Georgia" w:hAnsi="Georgia"/>
          <w:b/>
          <w:bCs/>
          <w:color w:val="0D1018"/>
          <w:sz w:val="28"/>
          <w:szCs w:val="28"/>
        </w:rPr>
        <w:t xml:space="preserve">1. System Overview</w:t>
      </w:r>
    </w:p>
    <w:p>
      <w:pPr>
        <w:spacing w:before="40" w:after="80"/>
        <w:jc w:val="left"/>
      </w:pPr>
      <w:r>
        <w:rPr>
          <w:rFonts w:ascii="Calibri" w:cs="Calibri" w:eastAsia="Calibri" w:hAnsi="Calibri"/>
          <w:color w:val="333333"/>
          <w:sz w:val="20"/>
          <w:szCs w:val="20"/>
        </w:rPr>
        <w:t xml:space="preserve">Meridia is a governed cognitive infrastructure platform built on five architectural layers. The system reads the financial position of any entity — individual, household, business, or institution — and produces differentiated intelligence outputs depending on who is asking and why.</w:t>
      </w:r>
    </w:p>
    <w:p>
      <w:pPr>
        <w:spacing w:before="0" w:after="160"/>
      </w:pPr>
      <w:r>
        <w:t xml:space="preserve"/>
      </w:r>
    </w:p>
    <w:p>
      <w:pPr>
        <w:spacing w:before="40" w:after="80"/>
        <w:jc w:val="left"/>
      </w:pPr>
      <w:r>
        <w:rPr>
          <w:rFonts w:ascii="Calibri" w:cs="Calibri" w:eastAsia="Calibri" w:hAnsi="Calibri"/>
          <w:color w:val="333333"/>
          <w:sz w:val="20"/>
          <w:szCs w:val="20"/>
        </w:rPr>
        <w:t xml:space="preserve">The bilateral read is the architectural differentiator: the same calculation engine reads the client's position toward the institution and the institution's exposure toward the client simultaneously. This is not a feature. It is the design principle the entire system is built around.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Component</w:t>
            </w:r>
          </w:p>
        </w:tc>
        <w:tc>
          <w:tcPr>
            <w:tcW w:type="dxa" w:w="576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Purpose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Integra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Orchestration engine — routes, calculates, governs</w:t>
            </w:r>
          </w:p>
        </w:tc>
      </w:tr>
      <w:tr>
        <w:tc>
          <w:tcPr>
            <w:tcW w:type="dxa" w:w="36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Aletheia</w:t>
            </w:r>
          </w:p>
        </w:tc>
        <w:tc>
          <w:tcPr>
            <w:tcW w:type="dxa" w:w="57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Intelligence interface — what users interact with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WayPoint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Consumer-facing product — four tiers (Core, Edge, Renaissance, Crown)</w:t>
            </w:r>
          </w:p>
        </w:tc>
      </w:tr>
      <w:tr>
        <w:tc>
          <w:tcPr>
            <w:tcW w:type="dxa" w:w="36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Vantage Console</w:t>
            </w:r>
          </w:p>
        </w:tc>
        <w:tc>
          <w:tcPr>
            <w:tcW w:type="dxa" w:w="57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Institutional interface — the institution's view of its book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Index8</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Crown-tier prototype — current Keith demo target</w:t>
            </w:r>
          </w:p>
        </w:tc>
      </w:tr>
      <w:tr>
        <w:tc>
          <w:tcPr>
            <w:tcW w:type="dxa" w:w="36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Feed Layer</w:t>
            </w:r>
          </w:p>
        </w:tc>
        <w:tc>
          <w:tcPr>
            <w:tcW w:type="dxa" w:w="57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Data ingestion pipeline — FFIEC, HMDA, FRED, Census, FDIC, CFPB</w:t>
            </w:r>
          </w:p>
        </w:tc>
      </w:tr>
    </w:tbl>
    <w:p>
      <w:pPr>
        <w:spacing w:before="0" w:after="200"/>
      </w:pPr>
      <w:r>
        <w:t xml:space="preserve"/>
      </w:r>
    </w:p>
    <w:p>
      <w:pPr>
        <w:pStyle w:val="Heading1"/>
        <w:pBdr>
          <w:bottom w:val="single" w:color="C9A84C" w:sz="4" w:space="6"/>
        </w:pBdr>
        <w:spacing w:before="400" w:after="160"/>
      </w:pPr>
      <w:r>
        <w:rPr>
          <w:rFonts w:ascii="Georgia" w:cs="Georgia" w:eastAsia="Georgia" w:hAnsi="Georgia"/>
          <w:b/>
          <w:bCs/>
          <w:color w:val="0D1018"/>
          <w:sz w:val="28"/>
          <w:szCs w:val="28"/>
        </w:rPr>
        <w:t xml:space="preserve">2. Five-Layer Architecture</w:t>
      </w:r>
    </w:p>
    <w:p>
      <w:pPr>
        <w:spacing w:before="40" w:after="80"/>
        <w:jc w:val="left"/>
      </w:pPr>
      <w:r>
        <w:rPr>
          <w:rFonts w:ascii="Calibri" w:cs="Calibri" w:eastAsia="Calibri" w:hAnsi="Calibri"/>
          <w:color w:val="333333"/>
          <w:sz w:val="20"/>
          <w:szCs w:val="20"/>
        </w:rPr>
        <w:t xml:space="preserve">The system is organized into five layers. Data flows upward from external sources through the pipeline, into storage, through the calculation engine, and out to presentation. Security is not a layer — it runs perpendicular through all five simultaneously.</w:t>
      </w:r>
    </w:p>
    <w:p>
      <w:pPr>
        <w:spacing w:before="0" w:after="160"/>
      </w:pPr>
      <w:r>
        <w:t xml:space="preserve"/>
      </w:r>
    </w:p>
    <w:p>
      <w:pPr>
        <w:spacing w:before="200" w:after="80"/>
      </w:pPr>
      <w:r>
        <w:rPr>
          <w:rFonts w:ascii="Georgia" w:cs="Georgia" w:eastAsia="Georgia" w:hAnsi="Georgia"/>
          <w:b/>
          <w:bCs/>
          <w:color w:val="0D1018"/>
          <w:sz w:val="22"/>
          <w:szCs w:val="22"/>
        </w:rPr>
        <w:t xml:space="preserve">Layer 1 — External Sources</w:t>
      </w:r>
    </w:p>
    <w:p>
      <w:pPr>
        <w:spacing w:before="40" w:after="80"/>
        <w:jc w:val="left"/>
      </w:pPr>
      <w:r>
        <w:rPr>
          <w:rFonts w:ascii="Calibri" w:cs="Calibri" w:eastAsia="Calibri" w:hAnsi="Calibri"/>
          <w:color w:val="333333"/>
          <w:sz w:val="20"/>
          <w:szCs w:val="20"/>
        </w:rPr>
        <w:t xml:space="preserve">Six primary external data sources feed the system. All are public, regulatory, or government-maintained. No proprietary data dependencies in the initial build.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Source</w:t>
            </w:r>
          </w:p>
        </w:tc>
        <w:tc>
          <w:tcPr>
            <w:tcW w:type="dxa" w:w="22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Data Type</w:t>
            </w:r>
          </w:p>
        </w:tc>
        <w:tc>
          <w:tcPr>
            <w:tcW w:type="dxa" w:w="22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Access</w:t>
            </w:r>
          </w:p>
        </w:tc>
        <w:tc>
          <w:tcPr>
            <w:tcW w:type="dxa" w:w="216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Update Cycle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FFIEC Census Files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Tract-level CRA flags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Direct download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Quarterly</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HMDA / CFPB</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Loan-level disclosure</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REST API (no key)</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Annual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FRED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Macro economic indicators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API key (active)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Monthly</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Census ACS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Demographic / income</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API key (active)</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5-Year ACS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FDIC Deposits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Branch + deposit data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REST API (no key)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Annual</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CFPB Complaints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Consumer complaint signals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Public API</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Daily</w:t>
            </w:r>
          </w:p>
        </w:tc>
      </w:tr>
    </w:tbl>
    <w:p>
      <w:pPr>
        <w:spacing w:before="0" w:after="200"/>
      </w:pPr>
      <w:r>
        <w:t xml:space="preserve"/>
      </w:r>
    </w:p>
    <w:p>
      <w:pPr>
        <w:spacing w:before="200" w:after="80"/>
      </w:pPr>
      <w:r>
        <w:rPr>
          <w:rFonts w:ascii="Georgia" w:cs="Georgia" w:eastAsia="Georgia" w:hAnsi="Georgia"/>
          <w:b/>
          <w:bCs/>
          <w:color w:val="0D1018"/>
          <w:sz w:val="22"/>
          <w:szCs w:val="22"/>
        </w:rPr>
        <w:t xml:space="preserve">Layer 2 — Feed Layer (Data Pipeline)</w:t>
      </w:r>
    </w:p>
    <w:p>
      <w:pPr>
        <w:spacing w:before="40" w:after="80"/>
        <w:jc w:val="left"/>
      </w:pPr>
      <w:r>
        <w:rPr>
          <w:rFonts w:ascii="Calibri" w:cs="Calibri" w:eastAsia="Calibri" w:hAnsi="Calibri"/>
          <w:color w:val="333333"/>
          <w:sz w:val="20"/>
          <w:szCs w:val="20"/>
        </w:rPr>
        <w:t xml:space="preserve">The Feed Layer sits between external APIs and the database. Pull-based ingestion with source-specific adapters, Pydantic validation before every write, and a scheduler running on the NAS. No external orchestrator required in Phase 1.</w:t>
      </w:r>
    </w:p>
    <w:p>
      <w:pPr>
        <w:spacing w:before="0" w:after="160"/>
      </w:pPr>
      <w:r>
        <w:t xml:space="preserve"/>
      </w:r>
    </w:p>
    <w:p>
      <w:pPr>
        <w:pBdr>
          <w:left w:val="single" w:color="C9A84C" w:sz="8" w:space="8"/>
        </w:pBdr>
        <w:shd w:fill="F0F4F0" w:val="clear"/>
        <w:spacing w:before="80" w:after="80"/>
        <w:ind w:left="360"/>
      </w:pPr>
      <w:r>
        <w:rPr>
          <w:rFonts w:ascii="Courier New" w:cs="Courier New" w:eastAsia="Courier New" w:hAnsi="Courier New"/>
          <w:color w:val="1A3A1A"/>
          <w:sz w:val="16"/>
          <w:szCs w:val="16"/>
        </w:rPr>
        <w:t xml:space="preserve"># Each source runs on its own pull cycle
scheduler.add_job(pull_ffiec,   "cron", month="*/3")
scheduler.add_job(pull_hmda,    "cron", month=1)
scheduler.add_job(pull_fred,    "cron", day=1)
scheduler.add_job(pull_bls,     "cron", day=1)
scheduler.add_job(pull_cfpb,    "cron", hour=2)
# Data flow per source
# External API → Adapter → Pydantic Model → Validation → PostgreSQL
# Failed pulls: logged, retried, never silently dropped</w:t>
      </w:r>
    </w:p>
    <w:p>
      <w:pPr>
        <w:spacing w:before="0" w:after="160"/>
      </w:pPr>
      <w:r>
        <w:t xml:space="preserve"/>
      </w:r>
    </w:p>
    <w:p>
      <w:pPr>
        <w:spacing w:before="40" w:after="80"/>
        <w:jc w:val="left"/>
      </w:pPr>
      <w:r>
        <w:rPr>
          <w:rFonts w:ascii="Calibri" w:cs="Calibri" w:eastAsia="Calibri" w:hAnsi="Calibri"/>
          <w:color w:val="333333"/>
          <w:sz w:val="20"/>
          <w:szCs w:val="20"/>
        </w:rPr>
        <w:t xml:space="preserve">The fred_data_pull.py script is already written and tested. The same pattern extends to all six sources — the adapter interface is standardized.</w:t>
      </w:r>
    </w:p>
    <w:p>
      <w:pPr>
        <w:spacing w:before="0" w:after="200"/>
      </w:pPr>
      <w:r>
        <w:t xml:space="preserve"/>
      </w:r>
    </w:p>
    <w:p>
      <w:pPr>
        <w:spacing w:before="200" w:after="80"/>
      </w:pPr>
      <w:r>
        <w:rPr>
          <w:rFonts w:ascii="Georgia" w:cs="Georgia" w:eastAsia="Georgia" w:hAnsi="Georgia"/>
          <w:b/>
          <w:bCs/>
          <w:color w:val="0D1018"/>
          <w:sz w:val="22"/>
          <w:szCs w:val="22"/>
        </w:rPr>
        <w:t xml:space="preserve">Layer 3 — PostgreSQL Data Store</w:t>
      </w:r>
    </w:p>
    <w:p>
      <w:pPr>
        <w:spacing w:before="40" w:after="80"/>
        <w:jc w:val="left"/>
      </w:pPr>
      <w:r>
        <w:rPr>
          <w:rFonts w:ascii="Calibri" w:cs="Calibri" w:eastAsia="Calibri" w:hAnsi="Calibri"/>
          <w:color w:val="333333"/>
          <w:sz w:val="20"/>
          <w:szCs w:val="20"/>
        </w:rPr>
        <w:t xml:space="preserve">PostgreSQL running as a container on the Meridia Core NAS (Synology DS925+). Two schemas: meridia_market for financial and CRA data, meridia_edu for 6,030 Georgia education standards already loaded.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Schema</w:t>
            </w:r>
          </w:p>
        </w:tc>
        <w:tc>
          <w:tcPr>
            <w:tcW w:type="dxa" w:w="22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Table</w:t>
            </w:r>
          </w:p>
        </w:tc>
        <w:tc>
          <w:tcPr>
            <w:tcW w:type="dxa" w:w="22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Primary Key</w:t>
            </w:r>
          </w:p>
        </w:tc>
        <w:tc>
          <w:tcPr>
            <w:tcW w:type="dxa" w:w="216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meridia_market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entities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entity_id (UUID)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All tracked entities with tier</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meridia_market</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positions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entity_id + period</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FPS history per entity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meridia_market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trust_scores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entity_id + period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Trust Index readings</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meridia_market</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relationships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rel_id (UUID)</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Bilateral mapping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meridia_market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cra_activity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event_id (UUID)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CRA qualifying events log</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meridia_market</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census_tracts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geoid (FIPS)</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FFIEC + HMDA + ACS overlay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meridia_edu</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standards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standard_id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6,030 GA K-12 standards</w:t>
            </w:r>
          </w:p>
        </w:tc>
      </w:tr>
    </w:tbl>
    <w:p>
      <w:pPr>
        <w:spacing w:before="0" w:after="200"/>
      </w:pPr>
      <w:r>
        <w:t xml:space="preserve"/>
      </w:r>
    </w:p>
    <w:p>
      <w:pPr>
        <w:spacing w:before="200" w:after="80"/>
      </w:pPr>
      <w:r>
        <w:rPr>
          <w:rFonts w:ascii="Georgia" w:cs="Georgia" w:eastAsia="Georgia" w:hAnsi="Georgia"/>
          <w:b/>
          <w:bCs/>
          <w:color w:val="0D1018"/>
          <w:sz w:val="22"/>
          <w:szCs w:val="22"/>
        </w:rPr>
        <w:t xml:space="preserve">Layer 4 — Integra Intelligence Engine</w:t>
      </w:r>
    </w:p>
    <w:p>
      <w:pPr>
        <w:spacing w:before="40" w:after="80"/>
        <w:jc w:val="left"/>
      </w:pPr>
      <w:r>
        <w:rPr>
          <w:rFonts w:ascii="Calibri" w:cs="Calibri" w:eastAsia="Calibri" w:hAnsi="Calibri"/>
          <w:color w:val="333333"/>
          <w:sz w:val="20"/>
          <w:szCs w:val="20"/>
        </w:rPr>
        <w:t xml:space="preserve">Three-layer calculation engine. Layer 1 computes the Financial Position Score. Layer 2 runs the Causal Model and Trust Index simultaneously. Layer 3 generates differentiated report outputs.</w:t>
      </w:r>
    </w:p>
    <w:p>
      <w:pPr>
        <w:spacing w:before="0" w:after="160"/>
      </w:pPr>
      <w:r>
        <w:t xml:space="preserve"/>
      </w:r>
    </w:p>
    <w:p>
      <w:pPr>
        <w:spacing w:before="200" w:after="80"/>
      </w:pPr>
      <w:r>
        <w:rPr>
          <w:rFonts w:ascii="Calibri" w:cs="Calibri" w:eastAsia="Calibri" w:hAnsi="Calibri"/>
          <w:b/>
          <w:bCs/>
          <w:color w:val="0D1018"/>
          <w:sz w:val="20"/>
          <w:szCs w:val="20"/>
        </w:rPr>
        <w:t xml:space="preserve">Position Engine (Layer 1)</w:t>
      </w:r>
    </w:p>
    <w:p>
      <w:pPr>
        <w:spacing w:before="40" w:after="80"/>
        <w:jc w:val="left"/>
      </w:pPr>
      <w:r>
        <w:rPr>
          <w:rFonts w:ascii="Calibri" w:cs="Calibri" w:eastAsia="Calibri" w:hAnsi="Calibri"/>
          <w:color w:val="333333"/>
          <w:sz w:val="20"/>
          <w:szCs w:val="20"/>
        </w:rPr>
        <w:t xml:space="preserve">Stateless FPS calculation from five weighted dimensions. Designed for horizontal scaling — no session dependency, no stateful computation. Each call is self-contained.</w:t>
      </w:r>
    </w:p>
    <w:p>
      <w:pPr>
        <w:pBdr>
          <w:left w:val="single" w:color="C9A84C" w:sz="8" w:space="8"/>
        </w:pBdr>
        <w:shd w:fill="F0F4F0" w:val="clear"/>
        <w:spacing w:before="80" w:after="80"/>
        <w:ind w:left="360"/>
      </w:pPr>
      <w:r>
        <w:rPr>
          <w:rFonts w:ascii="Courier New" w:cs="Courier New" w:eastAsia="Courier New" w:hAnsi="Courier New"/>
          <w:color w:val="1A3A1A"/>
          <w:sz w:val="16"/>
          <w:szCs w:val="16"/>
        </w:rPr>
        <w:t xml:space="preserve">FPS = (net_position * 0.25)
    + (liquidity_coverage * 0.25)
    + (dscr * 0.15)
    + (runway_months * 0.20)
    + (distribution_alignment * 0.15)
# Response time target: &lt;50ms p99
# Horizontal scaling: trivial — stateless by design
# At 100M concurrent requests: follows Home Depot payments pattern</w:t>
      </w:r>
    </w:p>
    <w:p>
      <w:pPr>
        <w:spacing w:before="0" w:after="160"/>
      </w:pPr>
      <w:r>
        <w:t xml:space="preserve"/>
      </w:r>
    </w:p>
    <w:p>
      <w:pPr>
        <w:spacing w:before="200" w:after="80"/>
      </w:pPr>
      <w:r>
        <w:rPr>
          <w:rFonts w:ascii="Calibri" w:cs="Calibri" w:eastAsia="Calibri" w:hAnsi="Calibri"/>
          <w:b/>
          <w:bCs/>
          <w:color w:val="0D1018"/>
          <w:sz w:val="20"/>
          <w:szCs w:val="20"/>
        </w:rPr>
        <w:t xml:space="preserve">Causal Model + Trust Index (Layer 2)</w:t>
      </w:r>
    </w:p>
    <w:p>
      <w:pPr>
        <w:spacing w:before="40" w:after="80"/>
        <w:jc w:val="left"/>
      </w:pPr>
      <w:r>
        <w:rPr>
          <w:rFonts w:ascii="Calibri" w:cs="Calibri" w:eastAsia="Calibri" w:hAnsi="Calibri"/>
          <w:color w:val="333333"/>
          <w:sz w:val="20"/>
          <w:szCs w:val="20"/>
        </w:rPr>
        <w:t xml:space="preserve">The Causal Model reads cross-entity impact — how a change in one entity propagates to all connected entities. The Trust Index scores behavioral consistency across four dimensions. Both run simultaneously on the same data read.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Causal Model</w:t>
            </w:r>
          </w:p>
        </w:tc>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Trust Index</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Cross-entity cascade propagation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Behavioral Consistency dimension</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Bilateral risk direction classification</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Governance Adherence dimension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Portfolio-level event propagation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Communication Reliability dimension</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CRA recalculation on position change</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Commitment Fulfillment dimension</w:t>
            </w:r>
          </w:p>
        </w:tc>
      </w:tr>
    </w:tbl>
    <w:p>
      <w:pPr>
        <w:spacing w:before="0" w:after="160"/>
      </w:pPr>
      <w:r>
        <w:t xml:space="preserve"/>
      </w:r>
    </w:p>
    <w:p>
      <w:pPr>
        <w:spacing w:before="200" w:after="80"/>
      </w:pPr>
      <w:r>
        <w:rPr>
          <w:rFonts w:ascii="Calibri" w:cs="Calibri" w:eastAsia="Calibri" w:hAnsi="Calibri"/>
          <w:b/>
          <w:bCs/>
          <w:color w:val="0D1018"/>
          <w:sz w:val="20"/>
          <w:szCs w:val="20"/>
        </w:rPr>
        <w:t xml:space="preserve">Report Generator (Layer 3)</w:t>
      </w:r>
    </w:p>
    <w:p>
      <w:pPr>
        <w:spacing w:before="40" w:after="80"/>
        <w:jc w:val="left"/>
      </w:pPr>
      <w:r>
        <w:rPr>
          <w:rFonts w:ascii="Calibri" w:cs="Calibri" w:eastAsia="Calibri" w:hAnsi="Calibri"/>
          <w:color w:val="333333"/>
          <w:sz w:val="20"/>
          <w:szCs w:val="20"/>
        </w:rPr>
        <w:t xml:space="preserve">Five differentiated reports from the same underlying data. The audience parameter routes identical input through different presentation lenses. One data read. Five outputs. No separate data pulls per audience.</w:t>
      </w:r>
    </w:p>
    <w:p>
      <w:pPr>
        <w:spacing w:before="0" w:after="160"/>
      </w:pPr>
      <w:r>
        <w:t xml:space="preserve"/>
      </w:r>
    </w:p>
    <w:p>
      <w:pPr>
        <w:pBdr>
          <w:left w:val="single" w:color="C9A84C" w:sz="8" w:space="8"/>
        </w:pBdr>
        <w:shd w:fill="F0F4F0" w:val="clear"/>
        <w:spacing w:before="80" w:after="80"/>
        <w:ind w:left="360"/>
      </w:pPr>
      <w:r>
        <w:rPr>
          <w:rFonts w:ascii="Courier New" w:cs="Courier New" w:eastAsia="Courier New" w:hAnsi="Courier New"/>
          <w:color w:val="1A3A1A"/>
          <w:sz w:val="16"/>
          <w:szCs w:val="16"/>
        </w:rPr>
        <w:t xml:space="preserve">GET /api/v1/reports/{audience}
# Audience options:
# board      — strategic summary, risk indicators, recommendations
# technical  — data lineage, calculation methodology, API health
# regulator  — compliance status, audit trail, policy adherence
# family     — plain language, action items, Aletheia guidance
# governance — people + entities + institutions, dual-creation rule
# Same PostgreSQL read for all five — differentiated at serialization layer</w:t>
      </w:r>
    </w:p>
    <w:p>
      <w:pPr>
        <w:spacing w:before="0" w:after="200"/>
      </w:pPr>
      <w:r>
        <w:t xml:space="preserve"/>
      </w:r>
    </w:p>
    <w:p>
      <w:pPr>
        <w:spacing w:before="200" w:after="80"/>
      </w:pPr>
      <w:r>
        <w:rPr>
          <w:rFonts w:ascii="Georgia" w:cs="Georgia" w:eastAsia="Georgia" w:hAnsi="Georgia"/>
          <w:b/>
          <w:bCs/>
          <w:color w:val="0D1018"/>
          <w:sz w:val="22"/>
          <w:szCs w:val="22"/>
        </w:rPr>
        <w:t xml:space="preserve">Layer 5 — Presentation</w:t>
      </w:r>
    </w:p>
    <w:p>
      <w:pPr>
        <w:spacing w:before="40" w:after="80"/>
        <w:jc w:val="left"/>
      </w:pPr>
      <w:r>
        <w:rPr>
          <w:rFonts w:ascii="Calibri" w:cs="Calibri" w:eastAsia="Calibri" w:hAnsi="Calibri"/>
          <w:color w:val="333333"/>
          <w:sz w:val="20"/>
          <w:szCs w:val="20"/>
        </w:rPr>
        <w:t xml:space="preserve">Three interfaces currently built. Each reads the same Integra API surface from a different angle.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Interface</w:t>
            </w:r>
          </w:p>
        </w:tc>
        <w:tc>
          <w:tcPr>
            <w:tcW w:type="dxa" w:w="22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Audience</w:t>
            </w:r>
          </w:p>
        </w:tc>
        <w:tc>
          <w:tcPr>
            <w:tcW w:type="dxa" w:w="22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Primary View</w:t>
            </w:r>
          </w:p>
        </w:tc>
        <w:tc>
          <w:tcPr>
            <w:tcW w:type="dxa" w:w="216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Status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Index8.html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Crown / UHNW</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FPS Console + Governance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Demo Ready</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WayPoint Adaptive</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All four tiers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Tier-configured on auth</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Built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Vantage Console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Institutions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Portfolio + Bilateral Risk</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Built</w:t>
            </w:r>
          </w:p>
        </w:tc>
      </w:tr>
    </w:tbl>
    <w:p>
      <w:pPr>
        <w:spacing w:before="0" w:after="200"/>
      </w:pPr>
      <w:r>
        <w:t xml:space="preserve"/>
      </w:r>
    </w:p>
    <w:p>
      <w:r>
        <w:br w:type="page"/>
      </w:r>
    </w:p>
    <w:p>
      <w:pPr>
        <w:pStyle w:val="Heading1"/>
        <w:pBdr>
          <w:bottom w:val="single" w:color="C9A84C" w:sz="4" w:space="6"/>
        </w:pBdr>
        <w:spacing w:before="400" w:after="160"/>
      </w:pPr>
      <w:r>
        <w:rPr>
          <w:rFonts w:ascii="Georgia" w:cs="Georgia" w:eastAsia="Georgia" w:hAnsi="Georgia"/>
          <w:b/>
          <w:bCs/>
          <w:color w:val="0D1018"/>
          <w:sz w:val="28"/>
          <w:szCs w:val="28"/>
        </w:rPr>
        <w:t xml:space="preserve">3. Data Pipelines — How Banks Share Information</w:t>
      </w:r>
    </w:p>
    <w:p>
      <w:pPr>
        <w:spacing w:before="40" w:after="80"/>
        <w:jc w:val="left"/>
      </w:pPr>
      <w:r>
        <w:rPr>
          <w:rFonts w:ascii="Calibri" w:cs="Calibri" w:eastAsia="Calibri" w:hAnsi="Calibri"/>
          <w:color w:val="333333"/>
          <w:sz w:val="20"/>
          <w:szCs w:val="20"/>
        </w:rPr>
        <w:t xml:space="preserve">This was your direct question in our first meeting, and it deserves a direct answer. Banks don't push data to Meridia. Meridia pulls, with permission, using established open banking standards and regulatory data infrastructure.</w:t>
      </w:r>
    </w:p>
    <w:p>
      <w:pPr>
        <w:spacing w:before="0" w:after="160"/>
      </w:pPr>
      <w:r>
        <w:t xml:space="preserve"/>
      </w:r>
    </w:p>
    <w:p>
      <w:pPr>
        <w:pStyle w:val="Heading2"/>
        <w:spacing w:before="280" w:after="100"/>
      </w:pPr>
      <w:r>
        <w:rPr>
          <w:rFonts w:ascii="Georgia" w:cs="Georgia" w:eastAsia="Georgia" w:hAnsi="Georgia"/>
          <w:b/>
          <w:bCs/>
          <w:color w:val="0D1018"/>
          <w:sz w:val="22"/>
          <w:szCs w:val="22"/>
        </w:rPr>
        <w:t xml:space="preserve">3.1 The Pipeline Architecture</w:t>
      </w:r>
    </w:p>
    <w:p>
      <w:pPr>
        <w:spacing w:before="40" w:after="80"/>
        <w:jc w:val="left"/>
      </w:pPr>
      <w:r>
        <w:rPr>
          <w:rFonts w:ascii="Calibri" w:cs="Calibri" w:eastAsia="Calibri" w:hAnsi="Calibri"/>
          <w:color w:val="333333"/>
          <w:sz w:val="20"/>
          <w:szCs w:val="20"/>
        </w:rPr>
        <w:t xml:space="preserve">Three distinct data flows operate simultaneously:</w:t>
      </w:r>
    </w:p>
    <w:p>
      <w:pPr>
        <w:spacing w:before="0" w:after="160"/>
      </w:pPr>
      <w:r>
        <w:t xml:space="preserve"/>
      </w:r>
    </w:p>
    <w:p>
      <w:pPr>
        <w:pStyle w:val="ListParagraph"/>
        <w:numPr>
          <w:ilvl w:val="0"/>
          <w:numId w:val="2"/>
        </w:numPr>
        <w:spacing w:before="30" w:after="30"/>
      </w:pPr>
      <w:r>
        <w:rPr>
          <w:rFonts w:ascii="Calibri" w:cs="Calibri" w:eastAsia="Calibri" w:hAnsi="Calibri"/>
          <w:color w:val="333333"/>
          <w:sz w:val="20"/>
          <w:szCs w:val="20"/>
        </w:rPr>
        <w:t xml:space="preserve">Regulatory data pull</w:t>
      </w:r>
      <w:r>
        <w:rPr>
          <w:rFonts w:ascii="Calibri" w:cs="Calibri" w:eastAsia="Calibri" w:hAnsi="Calibri"/>
          <w:color w:val="4A4A5A"/>
          <w:sz w:val="18"/>
          <w:szCs w:val="18"/>
        </w:rPr>
        <w:t xml:space="preserve">  —  FFIEC, HMDA, FDIC — public infrastructure, no institution permission required</w:t>
      </w:r>
    </w:p>
    <w:p>
      <w:pPr>
        <w:pStyle w:val="ListParagraph"/>
        <w:numPr>
          <w:ilvl w:val="0"/>
          <w:numId w:val="2"/>
        </w:numPr>
        <w:spacing w:before="30" w:after="30"/>
      </w:pPr>
      <w:r>
        <w:rPr>
          <w:rFonts w:ascii="Calibri" w:cs="Calibri" w:eastAsia="Calibri" w:hAnsi="Calibri"/>
          <w:color w:val="333333"/>
          <w:sz w:val="20"/>
          <w:szCs w:val="20"/>
        </w:rPr>
        <w:t xml:space="preserve">Consumer-permissioned pull</w:t>
      </w:r>
      <w:r>
        <w:rPr>
          <w:rFonts w:ascii="Calibri" w:cs="Calibri" w:eastAsia="Calibri" w:hAnsi="Calibri"/>
          <w:color w:val="4A4A5A"/>
          <w:sz w:val="18"/>
          <w:szCs w:val="18"/>
        </w:rPr>
        <w:t xml:space="preserve">  —  Plaid or Finicity — customer authorizes connection, bank exposes via standard API</w:t>
      </w:r>
    </w:p>
    <w:p>
      <w:pPr>
        <w:pStyle w:val="ListParagraph"/>
        <w:numPr>
          <w:ilvl w:val="0"/>
          <w:numId w:val="2"/>
        </w:numPr>
        <w:spacing w:before="30" w:after="30"/>
      </w:pPr>
      <w:r>
        <w:rPr>
          <w:rFonts w:ascii="Calibri" w:cs="Calibri" w:eastAsia="Calibri" w:hAnsi="Calibri"/>
          <w:color w:val="333333"/>
          <w:sz w:val="20"/>
          <w:szCs w:val="20"/>
        </w:rPr>
        <w:t xml:space="preserve">Institution-direct integration</w:t>
      </w:r>
      <w:r>
        <w:rPr>
          <w:rFonts w:ascii="Calibri" w:cs="Calibri" w:eastAsia="Calibri" w:hAnsi="Calibri"/>
          <w:color w:val="4A4A5A"/>
          <w:sz w:val="18"/>
          <w:szCs w:val="18"/>
        </w:rPr>
        <w:t xml:space="preserve">  —  Phase 3 — direct API agreement with partner institution (Pinnacle, JPMC pilot)</w:t>
      </w:r>
    </w:p>
    <w:p>
      <w:pPr>
        <w:spacing w:before="0" w:after="160"/>
      </w:pPr>
      <w:r>
        <w:t xml:space="preserve"/>
      </w:r>
    </w:p>
    <w:p>
      <w:pPr>
        <w:pStyle w:val="Heading2"/>
        <w:spacing w:before="280" w:after="100"/>
      </w:pPr>
      <w:r>
        <w:rPr>
          <w:rFonts w:ascii="Georgia" w:cs="Georgia" w:eastAsia="Georgia" w:hAnsi="Georgia"/>
          <w:b/>
          <w:bCs/>
          <w:color w:val="0D1018"/>
          <w:sz w:val="22"/>
          <w:szCs w:val="22"/>
        </w:rPr>
        <w:t xml:space="preserve">3.2 Consumer-Permissioned Data (Phase 1-2)</w:t>
      </w:r>
    </w:p>
    <w:p>
      <w:pPr>
        <w:spacing w:before="40" w:after="80"/>
        <w:jc w:val="left"/>
      </w:pPr>
      <w:r>
        <w:rPr>
          <w:rFonts w:ascii="Calibri" w:cs="Calibri" w:eastAsia="Calibri" w:hAnsi="Calibri"/>
          <w:color w:val="333333"/>
          <w:sz w:val="20"/>
          <w:szCs w:val="20"/>
        </w:rPr>
        <w:t xml:space="preserve">For individual WayPoint users, account aggregation follows the OAuth 2.0 PKCE flow. The customer authenticates with their bank through Plaid or Finicity. The bank returns a time-limited access token. Meridia's Feed Layer uses that token to pull read-only account data on a scheduled cadence.</w:t>
      </w:r>
    </w:p>
    <w:p>
      <w:pPr>
        <w:spacing w:before="0" w:after="160"/>
      </w:pPr>
      <w:r>
        <w:t xml:space="preserve"/>
      </w:r>
    </w:p>
    <w:p>
      <w:pPr>
        <w:pBdr>
          <w:left w:val="single" w:color="C9A84C" w:sz="8" w:space="8"/>
        </w:pBdr>
        <w:shd w:fill="F0F4F0" w:val="clear"/>
        <w:spacing w:before="80" w:after="80"/>
        <w:ind w:left="360"/>
      </w:pPr>
      <w:r>
        <w:rPr>
          <w:rFonts w:ascii="Courier New" w:cs="Courier New" w:eastAsia="Courier New" w:hAnsi="Courier New"/>
          <w:color w:val="1A3A1A"/>
          <w:sz w:val="16"/>
          <w:szCs w:val="16"/>
        </w:rPr>
        <w:t xml:space="preserve"># OAuth 2.0 PKCE Flow (no client secret exposed)
1. User initiates connection in WayPoint
2. Plaid Link widget opens — user authenticates with their bank
3. Bank issues authorization code to Plaid
4. Plaid exchanges for access token (never stored by Meridia)
5. Feed Layer calls Plaid API with token — read-only
6. Raw account data → Adapter → Pydantic Model → PostgreSQL
7. Token refreshed on cadence — bank can revoke at any time</w:t>
      </w:r>
    </w:p>
    <w:p>
      <w:pPr>
        <w:spacing w:before="0" w:after="160"/>
      </w:pPr>
      <w:r>
        <w:t xml:space="preserve"/>
      </w:r>
    </w:p>
    <w:p>
      <w:pPr>
        <w:pStyle w:val="Heading2"/>
        <w:spacing w:before="280" w:after="100"/>
      </w:pPr>
      <w:r>
        <w:rPr>
          <w:rFonts w:ascii="Georgia" w:cs="Georgia" w:eastAsia="Georgia" w:hAnsi="Georgia"/>
          <w:b/>
          <w:bCs/>
          <w:color w:val="0D1018"/>
          <w:sz w:val="22"/>
          <w:szCs w:val="22"/>
        </w:rPr>
        <w:t xml:space="preserve">3.3 Institutional Data (Phase 3)</w:t>
      </w:r>
    </w:p>
    <w:p>
      <w:pPr>
        <w:spacing w:before="40" w:after="80"/>
        <w:jc w:val="left"/>
      </w:pPr>
      <w:r>
        <w:rPr>
          <w:rFonts w:ascii="Calibri" w:cs="Calibri" w:eastAsia="Calibri" w:hAnsi="Calibri"/>
          <w:color w:val="333333"/>
          <w:sz w:val="20"/>
          <w:szCs w:val="20"/>
        </w:rPr>
        <w:t xml:space="preserve">For institutional partners like Pinnacle or JPMC, the integration pattern changes. The institution exposes a data pipeline via their existing API infrastructure. Meridia registers as an authorized consumer. Data flows on a negotiated cadence — typically nightly batch for portfolio-level data, near-real-time for event-driven signals (new accounts, risk alerts, governance flags).</w:t>
      </w:r>
    </w:p>
    <w:p>
      <w:pPr>
        <w:spacing w:before="0" w:after="160"/>
      </w:pPr>
      <w:r>
        <w:t xml:space="preserve"/>
      </w:r>
    </w:p>
    <w:p>
      <w:pPr>
        <w:spacing w:before="40" w:after="80"/>
        <w:jc w:val="left"/>
      </w:pPr>
      <w:r>
        <w:rPr>
          <w:rFonts w:ascii="Calibri" w:cs="Calibri" w:eastAsia="Calibri" w:hAnsi="Calibri"/>
          <w:color w:val="333333"/>
          <w:sz w:val="20"/>
          <w:szCs w:val="20"/>
        </w:rPr>
        <w:t xml:space="preserve">This is the RelayFi pattern you referenced — a banking-as-a-service infrastructure layer where Meridia sits as the intelligence consumer, not the rail. The institution keeps its existing core banking system (FIS, Fiserv, Jack Henry). Meridia wraps around it with the intelligence layer.</w:t>
      </w:r>
    </w:p>
    <w:p>
      <w:pPr>
        <w:spacing w:before="0" w:after="160"/>
      </w:pPr>
      <w:r>
        <w:t xml:space="preserve"/>
      </w:r>
    </w:p>
    <w:p>
      <w:pPr>
        <w:pBdr>
          <w:left w:val="single" w:color="C9A84C" w:sz="12" w:space="10"/>
        </w:pBdr>
        <w:shd w:fill="F5F0E8" w:val="clear"/>
        <w:spacing w:before="100" w:after="100"/>
        <w:ind w:left="360" w:right="360"/>
      </w:pPr>
      <w:r>
        <w:rPr>
          <w:rFonts w:ascii="Georgia" w:cs="Georgia" w:eastAsia="Georgia" w:hAnsi="Georgia"/>
          <w:i/>
          <w:iCs/>
          <w:color w:val="0D1018"/>
          <w:sz w:val="19"/>
          <w:szCs w:val="19"/>
        </w:rPr>
        <w:t xml:space="preserve">Meridia is not competing with the bank's infrastructure. It is the intelligence layer that makes the bank's existing infrastructure produce differentiated output for the client and the institution simultaneously.</w:t>
      </w:r>
    </w:p>
    <w:p>
      <w:pPr>
        <w:spacing w:before="0" w:after="200"/>
      </w:pPr>
      <w:r>
        <w:t xml:space="preserve"/>
      </w:r>
    </w:p>
    <w:p>
      <w:pPr>
        <w:pStyle w:val="Heading1"/>
        <w:pBdr>
          <w:bottom w:val="single" w:color="C9A84C" w:sz="4" w:space="6"/>
        </w:pBdr>
        <w:spacing w:before="400" w:after="160"/>
      </w:pPr>
      <w:r>
        <w:rPr>
          <w:rFonts w:ascii="Georgia" w:cs="Georgia" w:eastAsia="Georgia" w:hAnsi="Georgia"/>
          <w:b/>
          <w:bCs/>
          <w:color w:val="0D1018"/>
          <w:sz w:val="28"/>
          <w:szCs w:val="28"/>
        </w:rPr>
        <w:t xml:space="preserve">4. Security Architecture</w:t>
      </w:r>
    </w:p>
    <w:p>
      <w:pPr>
        <w:spacing w:before="40" w:after="80"/>
        <w:jc w:val="left"/>
      </w:pPr>
      <w:r>
        <w:rPr>
          <w:rFonts w:ascii="Calibri" w:cs="Calibri" w:eastAsia="Calibri" w:hAnsi="Calibri"/>
          <w:color w:val="333333"/>
          <w:sz w:val="20"/>
          <w:szCs w:val="20"/>
        </w:rPr>
        <w:t xml:space="preserve">Security is not a layer on top of the system. It runs through every layer simultaneously. The NAS is the physical control point. PostgreSQL enforces encryption at the database layer. The API enforces it at transport. The governance engine enforces it at the application layer — sensitive insights do not release without human approval.</w:t>
      </w:r>
    </w:p>
    <w:p>
      <w:pPr>
        <w:spacing w:before="0" w:after="160"/>
      </w:pPr>
      <w:r>
        <w:t xml:space="preserve"/>
      </w:r>
    </w:p>
    <w:p>
      <w:pPr>
        <w:pStyle w:val="Heading2"/>
        <w:spacing w:before="280" w:after="100"/>
      </w:pPr>
      <w:r>
        <w:rPr>
          <w:rFonts w:ascii="Georgia" w:cs="Georgia" w:eastAsia="Georgia" w:hAnsi="Georgia"/>
          <w:b/>
          <w:bCs/>
          <w:color w:val="0D1018"/>
          <w:sz w:val="22"/>
          <w:szCs w:val="22"/>
        </w:rPr>
        <w:t xml:space="preserve">4.1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Layer</w:t>
            </w:r>
          </w:p>
        </w:tc>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Standard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Data at rest (NAS)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AES-256 · Btrfs encrypted filesystem</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Data at rest (PostgreSQL)</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Column-level encryption for PII fields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Data in transit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TLS 1.3 minimum — no fallback to 1.2</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API responses</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HTTPS only — HTTP requests rejected at ingress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Database connections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SSL enforced — plaintext connections rejected</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Backup encryption</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AES-256 before off-device write</w:t>
            </w:r>
          </w:p>
        </w:tc>
      </w:tr>
    </w:tbl>
    <w:p>
      <w:pPr>
        <w:spacing w:before="0" w:after="200"/>
      </w:pPr>
      <w:r>
        <w:t xml:space="preserve"/>
      </w:r>
    </w:p>
    <w:p>
      <w:pPr>
        <w:pStyle w:val="Heading2"/>
        <w:spacing w:before="280" w:after="100"/>
      </w:pPr>
      <w:r>
        <w:rPr>
          <w:rFonts w:ascii="Georgia" w:cs="Georgia" w:eastAsia="Georgia" w:hAnsi="Georgia"/>
          <w:b/>
          <w:bCs/>
          <w:color w:val="0D1018"/>
          <w:sz w:val="22"/>
          <w:szCs w:val="22"/>
        </w:rPr>
        <w:t xml:space="preserve">4.2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Control</w:t>
            </w:r>
          </w:p>
        </w:tc>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Implementation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API Authentication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OAuth 2.0 PKCE — no implicit grant, no client secret in browser</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Token lifetime</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Access: 15 minutes · Refresh: 7 days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API key rotation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90-day mandatory cycle · automated reminder</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NAS admin access</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2FA enforced — no password-only login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Database access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Role-based — no superuser in application path</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Sensitive insight release</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Governance approval required — Integra enforces before any client output</w:t>
            </w:r>
          </w:p>
        </w:tc>
      </w:tr>
    </w:tbl>
    <w:p>
      <w:pPr>
        <w:spacing w:before="0" w:after="200"/>
      </w:pPr>
      <w:r>
        <w:t xml:space="preserve"/>
      </w:r>
    </w:p>
    <w:p>
      <w:pPr>
        <w:pStyle w:val="Heading2"/>
        <w:spacing w:before="280" w:after="100"/>
      </w:pPr>
      <w:r>
        <w:rPr>
          <w:rFonts w:ascii="Georgia" w:cs="Georgia" w:eastAsia="Georgia" w:hAnsi="Georgia"/>
          <w:b/>
          <w:bCs/>
          <w:color w:val="0D1018"/>
          <w:sz w:val="22"/>
          <w:szCs w:val="22"/>
        </w:rPr>
        <w:t xml:space="preserve">4.3 PII Handling</w:t>
      </w:r>
    </w:p>
    <w:p>
      <w:pPr>
        <w:spacing w:before="40" w:after="80"/>
        <w:jc w:val="left"/>
      </w:pPr>
      <w:r>
        <w:rPr>
          <w:rFonts w:ascii="Calibri" w:cs="Calibri" w:eastAsia="Calibri" w:hAnsi="Calibri"/>
          <w:color w:val="333333"/>
          <w:sz w:val="20"/>
          <w:szCs w:val="20"/>
        </w:rPr>
        <w:t xml:space="preserve">Personally Identifiable Information follows strict handling rules throughout the pipeline. The design principle: minimize what is stored, encrypt what must be stored, never expose in transmission paths, never log in plaintext.</w:t>
      </w:r>
    </w:p>
    <w:p>
      <w:pPr>
        <w:spacing w:before="0" w:after="160"/>
      </w:pPr>
      <w:r>
        <w:t xml:space="preserve"/>
      </w:r>
    </w:p>
    <w:p>
      <w:pPr>
        <w:pStyle w:val="ListParagraph"/>
        <w:numPr>
          <w:ilvl w:val="0"/>
          <w:numId w:val="2"/>
        </w:numPr>
        <w:spacing w:before="30" w:after="30"/>
      </w:pPr>
      <w:r>
        <w:rPr>
          <w:rFonts w:ascii="Calibri" w:cs="Calibri" w:eastAsia="Calibri" w:hAnsi="Calibri"/>
          <w:color w:val="333333"/>
          <w:sz w:val="20"/>
          <w:szCs w:val="20"/>
        </w:rPr>
        <w:t xml:space="preserve">No PII in URL parameters or query strings</w:t>
      </w:r>
    </w:p>
    <w:p>
      <w:pPr>
        <w:pStyle w:val="ListParagraph"/>
        <w:numPr>
          <w:ilvl w:val="0"/>
          <w:numId w:val="2"/>
        </w:numPr>
        <w:spacing w:before="30" w:after="30"/>
      </w:pPr>
      <w:r>
        <w:rPr>
          <w:rFonts w:ascii="Calibri" w:cs="Calibri" w:eastAsia="Calibri" w:hAnsi="Calibri"/>
          <w:color w:val="333333"/>
          <w:sz w:val="20"/>
          <w:szCs w:val="20"/>
        </w:rPr>
        <w:t xml:space="preserve">No PII in application logs — reference tokens only</w:t>
      </w:r>
    </w:p>
    <w:p>
      <w:pPr>
        <w:pStyle w:val="ListParagraph"/>
        <w:numPr>
          <w:ilvl w:val="0"/>
          <w:numId w:val="2"/>
        </w:numPr>
        <w:spacing w:before="30" w:after="30"/>
      </w:pPr>
      <w:r>
        <w:rPr>
          <w:rFonts w:ascii="Calibri" w:cs="Calibri" w:eastAsia="Calibri" w:hAnsi="Calibri"/>
          <w:color w:val="333333"/>
          <w:sz w:val="20"/>
          <w:szCs w:val="20"/>
        </w:rPr>
        <w:t xml:space="preserve">Account numbers hashed at ingest — Meridia never stores raw account numbers</w:t>
      </w:r>
    </w:p>
    <w:p>
      <w:pPr>
        <w:pStyle w:val="ListParagraph"/>
        <w:numPr>
          <w:ilvl w:val="0"/>
          <w:numId w:val="2"/>
        </w:numPr>
        <w:spacing w:before="30" w:after="30"/>
      </w:pPr>
      <w:r>
        <w:rPr>
          <w:rFonts w:ascii="Calibri" w:cs="Calibri" w:eastAsia="Calibri" w:hAnsi="Calibri"/>
          <w:color w:val="333333"/>
          <w:sz w:val="20"/>
          <w:szCs w:val="20"/>
        </w:rPr>
        <w:t xml:space="preserve">Data residency: US-only in Phase 1 — no cross-border transfer</w:t>
      </w:r>
    </w:p>
    <w:p>
      <w:pPr>
        <w:pStyle w:val="ListParagraph"/>
        <w:numPr>
          <w:ilvl w:val="0"/>
          <w:numId w:val="2"/>
        </w:numPr>
        <w:spacing w:before="30" w:after="30"/>
      </w:pPr>
      <w:r>
        <w:rPr>
          <w:rFonts w:ascii="Calibri" w:cs="Calibri" w:eastAsia="Calibri" w:hAnsi="Calibri"/>
          <w:color w:val="333333"/>
          <w:sz w:val="20"/>
          <w:szCs w:val="20"/>
        </w:rPr>
        <w:t xml:space="preserve">Audit log: every PII access event recorded immutably with timestamp and user</w:t>
      </w:r>
    </w:p>
    <w:p>
      <w:pPr>
        <w:spacing w:before="0" w:after="160"/>
      </w:pPr>
      <w:r>
        <w:t xml:space="preserve"/>
      </w:r>
    </w:p>
    <w:p>
      <w:pPr>
        <w:pStyle w:val="Heading2"/>
        <w:spacing w:before="280" w:after="100"/>
      </w:pPr>
      <w:r>
        <w:rPr>
          <w:rFonts w:ascii="Georgia" w:cs="Georgia" w:eastAsia="Georgia" w:hAnsi="Georgia"/>
          <w:b/>
          <w:bCs/>
          <w:color w:val="0D1018"/>
          <w:sz w:val="22"/>
          <w:szCs w:val="22"/>
        </w:rPr>
        <w:t xml:space="preserve">4.4 Compliance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Standard</w:t>
            </w:r>
          </w:p>
        </w:tc>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Phase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GLBA Safeguards Rule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Phase 1 — financial data handling compliant at build</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SOC 2 Type II</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Phase 3 — institutional partnership prerequisite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PCI DSS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Phase 3 — payment rail integration scope</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CCPA / State Privacy</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Phase 1 — built into data model from inception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FFIEC IT Examination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Phase 3 — institutional partner audit readiness</w:t>
            </w:r>
          </w:p>
        </w:tc>
      </w:tr>
    </w:tbl>
    <w:p>
      <w:pPr>
        <w:spacing w:before="0" w:after="200"/>
      </w:pPr>
      <w:r>
        <w:t xml:space="preserve"/>
      </w:r>
    </w:p>
    <w:p>
      <w:r>
        <w:br w:type="page"/>
      </w:r>
    </w:p>
    <w:p>
      <w:pPr>
        <w:pStyle w:val="Heading1"/>
        <w:pBdr>
          <w:bottom w:val="single" w:color="C9A84C" w:sz="4" w:space="6"/>
        </w:pBdr>
        <w:spacing w:before="400" w:after="160"/>
      </w:pPr>
      <w:r>
        <w:rPr>
          <w:rFonts w:ascii="Georgia" w:cs="Georgia" w:eastAsia="Georgia" w:hAnsi="Georgia"/>
          <w:b/>
          <w:bCs/>
          <w:color w:val="0D1018"/>
          <w:sz w:val="28"/>
          <w:szCs w:val="28"/>
        </w:rPr>
        <w:t xml:space="preserve">5. Scale Design</w:t>
      </w:r>
    </w:p>
    <w:p>
      <w:pPr>
        <w:spacing w:before="40" w:after="80"/>
        <w:jc w:val="left"/>
      </w:pPr>
      <w:r>
        <w:rPr>
          <w:rFonts w:ascii="Calibri" w:cs="Calibri" w:eastAsia="Calibri" w:hAnsi="Calibri"/>
          <w:color w:val="333333"/>
          <w:sz w:val="20"/>
          <w:szCs w:val="20"/>
        </w:rPr>
        <w:t xml:space="preserve">You built payment systems at Home Depot processing 100 million concurrent requests daily. The following is how Meridia is designed to operate at institutional scale — and where the honest bottlenecks are.</w:t>
      </w:r>
    </w:p>
    <w:p>
      <w:pPr>
        <w:spacing w:before="0" w:after="160"/>
      </w:pPr>
      <w:r>
        <w:t xml:space="preserve"/>
      </w:r>
    </w:p>
    <w:p>
      <w:pPr>
        <w:pStyle w:val="Heading2"/>
        <w:spacing w:before="280" w:after="100"/>
      </w:pPr>
      <w:r>
        <w:rPr>
          <w:rFonts w:ascii="Georgia" w:cs="Georgia" w:eastAsia="Georgia" w:hAnsi="Georgia"/>
          <w:b/>
          <w:bCs/>
          <w:color w:val="0D1018"/>
          <w:sz w:val="22"/>
          <w:szCs w:val="22"/>
        </w:rPr>
        <w:t xml:space="preserve">5.1 What Scales Easily</w:t>
      </w:r>
    </w:p>
    <w:p>
      <w:pPr>
        <w:pStyle w:val="ListParagraph"/>
        <w:numPr>
          <w:ilvl w:val="0"/>
          <w:numId w:val="2"/>
        </w:numPr>
        <w:spacing w:before="30" w:after="30"/>
      </w:pPr>
      <w:r>
        <w:rPr>
          <w:rFonts w:ascii="Calibri" w:cs="Calibri" w:eastAsia="Calibri" w:hAnsi="Calibri"/>
          <w:color w:val="333333"/>
          <w:sz w:val="20"/>
          <w:szCs w:val="20"/>
        </w:rPr>
        <w:t xml:space="preserve">Position Engine</w:t>
      </w:r>
      <w:r>
        <w:rPr>
          <w:rFonts w:ascii="Calibri" w:cs="Calibri" w:eastAsia="Calibri" w:hAnsi="Calibri"/>
          <w:color w:val="4A4A5A"/>
          <w:sz w:val="18"/>
          <w:szCs w:val="18"/>
        </w:rPr>
        <w:t xml:space="preserve">  —  Stateless calculation — horizontal scaling is trivial. Add instances, put a load balancer in front, done.</w:t>
      </w:r>
    </w:p>
    <w:p>
      <w:pPr>
        <w:pStyle w:val="ListParagraph"/>
        <w:numPr>
          <w:ilvl w:val="0"/>
          <w:numId w:val="2"/>
        </w:numPr>
        <w:spacing w:before="30" w:after="30"/>
      </w:pPr>
      <w:r>
        <w:rPr>
          <w:rFonts w:ascii="Calibri" w:cs="Calibri" w:eastAsia="Calibri" w:hAnsi="Calibri"/>
          <w:color w:val="333333"/>
          <w:sz w:val="20"/>
          <w:szCs w:val="20"/>
        </w:rPr>
        <w:t xml:space="preserve">Report Generator</w:t>
      </w:r>
      <w:r>
        <w:rPr>
          <w:rFonts w:ascii="Calibri" w:cs="Calibri" w:eastAsia="Calibri" w:hAnsi="Calibri"/>
          <w:color w:val="4A4A5A"/>
          <w:sz w:val="18"/>
          <w:szCs w:val="18"/>
        </w:rPr>
        <w:t xml:space="preserve">  —  Same data read, serialization only differentiates. CPU-bound, not I/O bound. Scales horizontally.</w:t>
      </w:r>
    </w:p>
    <w:p>
      <w:pPr>
        <w:pStyle w:val="ListParagraph"/>
        <w:numPr>
          <w:ilvl w:val="0"/>
          <w:numId w:val="2"/>
        </w:numPr>
        <w:spacing w:before="30" w:after="30"/>
      </w:pPr>
      <w:r>
        <w:rPr>
          <w:rFonts w:ascii="Calibri" w:cs="Calibri" w:eastAsia="Calibri" w:hAnsi="Calibri"/>
          <w:color w:val="333333"/>
          <w:sz w:val="20"/>
          <w:szCs w:val="20"/>
        </w:rPr>
        <w:t xml:space="preserve">Feed Layer</w:t>
      </w:r>
      <w:r>
        <w:rPr>
          <w:rFonts w:ascii="Calibri" w:cs="Calibri" w:eastAsia="Calibri" w:hAnsi="Calibri"/>
          <w:color w:val="4A4A5A"/>
          <w:sz w:val="18"/>
          <w:szCs w:val="18"/>
        </w:rPr>
        <w:t xml:space="preserve">  —  Source-specific adapters run independently. Adding a new data source is a new adapter, not a system change.</w:t>
      </w:r>
    </w:p>
    <w:p>
      <w:pPr>
        <w:pStyle w:val="ListParagraph"/>
        <w:numPr>
          <w:ilvl w:val="0"/>
          <w:numId w:val="2"/>
        </w:numPr>
        <w:spacing w:before="30" w:after="30"/>
      </w:pPr>
      <w:r>
        <w:rPr>
          <w:rFonts w:ascii="Calibri" w:cs="Calibri" w:eastAsia="Calibri" w:hAnsi="Calibri"/>
          <w:color w:val="333333"/>
          <w:sz w:val="20"/>
          <w:szCs w:val="20"/>
        </w:rPr>
        <w:t xml:space="preserve">Presentation layer</w:t>
      </w:r>
      <w:r>
        <w:rPr>
          <w:rFonts w:ascii="Calibri" w:cs="Calibri" w:eastAsia="Calibri" w:hAnsi="Calibri"/>
          <w:color w:val="4A4A5A"/>
          <w:sz w:val="18"/>
          <w:szCs w:val="18"/>
        </w:rPr>
        <w:t xml:space="preserve">  —  Static HTML + API calls. CDN-distributable. Zero server scaling concern.</w:t>
      </w:r>
    </w:p>
    <w:p>
      <w:pPr>
        <w:spacing w:before="0" w:after="200"/>
      </w:pPr>
      <w:r>
        <w:t xml:space="preserve"/>
      </w:r>
    </w:p>
    <w:p>
      <w:pPr>
        <w:pStyle w:val="Heading2"/>
        <w:spacing w:before="280" w:after="100"/>
      </w:pPr>
      <w:r>
        <w:rPr>
          <w:rFonts w:ascii="Georgia" w:cs="Georgia" w:eastAsia="Georgia" w:hAnsi="Georgia"/>
          <w:b/>
          <w:bCs/>
          <w:color w:val="0D1018"/>
          <w:sz w:val="22"/>
          <w:szCs w:val="22"/>
        </w:rPr>
        <w:t xml:space="preserve">5.2 Where the Bottlenecks Are by Design</w:t>
      </w:r>
    </w:p>
    <w:p>
      <w:pPr>
        <w:spacing w:before="40" w:after="80"/>
        <w:jc w:val="left"/>
      </w:pPr>
      <w:r>
        <w:rPr>
          <w:rFonts w:ascii="Calibri" w:cs="Calibri" w:eastAsia="Calibri" w:hAnsi="Calibri"/>
          <w:color w:val="333333"/>
          <w:sz w:val="20"/>
          <w:szCs w:val="20"/>
        </w:rPr>
        <w:t xml:space="preserve">These are the honest answers. Phase 1 is built for proof-of-concept scale (hundreds of relationships). Institutional scale (millions of relationships) requires the following:</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Bottleneck</w:t>
            </w:r>
          </w:p>
        </w:tc>
        <w:tc>
          <w:tcPr>
            <w:tcW w:type="dxa" w:w="468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8"/>
                <w:szCs w:val="18"/>
              </w:rPr>
              <w:t xml:space="preserve">Resolution Path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PostgreSQL on single NAS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Phase 3: read replicas + connection pooling via PgBouncer</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Causal Model at portfolio scale</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Graph database evaluation (Neo4j) for cross-entity traversal at 500K+ relationships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HMDA/FFIEC annual data refresh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Incremental update strategy — tract-level delta loads, not full refresh</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Real-time bilateral recalculation</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Event-driven architecture (Kafka) for position change propagation — Phase 3</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Multi-tenant data isolation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Row-level security in PostgreSQL — Phase 2</w:t>
            </w:r>
          </w:p>
        </w:tc>
      </w:tr>
      <w:tr>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Report generation at JPMC volume</w:t>
            </w:r>
          </w:p>
        </w:tc>
        <w:tc>
          <w:tcPr>
            <w:tcW w:type="dxa" w:w="468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8"/>
                <w:szCs w:val="18"/>
              </w:rPr>
              <w:t xml:space="preserve">Redis caching for report snapshots — 5-minute TTL for board/regulator views</w:t>
            </w:r>
          </w:p>
        </w:tc>
      </w:tr>
    </w:tbl>
    <w:p>
      <w:pPr>
        <w:spacing w:before="0" w:after="160"/>
      </w:pPr>
      <w:r>
        <w:t xml:space="preserve"/>
      </w:r>
    </w:p>
    <w:p>
      <w:pPr>
        <w:pBdr>
          <w:left w:val="single" w:color="C9A84C" w:sz="12" w:space="10"/>
        </w:pBdr>
        <w:shd w:fill="F5F0E8" w:val="clear"/>
        <w:spacing w:before="100" w:after="100"/>
        <w:ind w:left="360" w:right="360"/>
      </w:pPr>
      <w:r>
        <w:rPr>
          <w:rFonts w:ascii="Georgia" w:cs="Georgia" w:eastAsia="Georgia" w:hAnsi="Georgia"/>
          <w:i/>
          <w:iCs/>
          <w:color w:val="0D1018"/>
          <w:sz w:val="19"/>
          <w:szCs w:val="19"/>
        </w:rPr>
        <w:t xml:space="preserve">Phase 1 is not built to handle JPMC scale. It is built to demonstrate that the architecture supports it. The bottlenecks above are known, documented, and each has a clear resolution path. That is the difference between a proof-of-concept and a prototype.</w:t>
      </w:r>
    </w:p>
    <w:p>
      <w:pPr>
        <w:spacing w:before="0" w:after="200"/>
      </w:pPr>
      <w:r>
        <w:t xml:space="preserve"/>
      </w:r>
    </w:p>
    <w:p>
      <w:pPr>
        <w:pStyle w:val="Heading2"/>
        <w:spacing w:before="280" w:after="100"/>
      </w:pPr>
      <w:r>
        <w:rPr>
          <w:rFonts w:ascii="Georgia" w:cs="Georgia" w:eastAsia="Georgia" w:hAnsi="Georgia"/>
          <w:b/>
          <w:bCs/>
          <w:color w:val="0D1018"/>
          <w:sz w:val="22"/>
          <w:szCs w:val="22"/>
        </w:rPr>
        <w:t xml:space="preserve">5.3 Concurrency Model</w:t>
      </w:r>
    </w:p>
    <w:p>
      <w:pPr>
        <w:spacing w:before="40" w:after="80"/>
        <w:jc w:val="left"/>
      </w:pPr>
      <w:r>
        <w:rPr>
          <w:rFonts w:ascii="Calibri" w:cs="Calibri" w:eastAsia="Calibri" w:hAnsi="Calibri"/>
          <w:color w:val="333333"/>
          <w:sz w:val="20"/>
          <w:szCs w:val="20"/>
        </w:rPr>
        <w:t xml:space="preserve">FastAPI uses Python's asyncio for non-blocking I/O. Database reads are non-blocking via asyncpg. The calculation engine is CPU-bound — a thread pool handles concurrent calculations without blocking the event loop.</w:t>
      </w:r>
    </w:p>
    <w:p>
      <w:pPr>
        <w:spacing w:before="0" w:after="160"/>
      </w:pPr>
      <w:r>
        <w:t xml:space="preserve"/>
      </w:r>
    </w:p>
    <w:p>
      <w:pPr>
        <w:pBdr>
          <w:left w:val="single" w:color="C9A84C" w:sz="8" w:space="8"/>
        </w:pBdr>
        <w:shd w:fill="F0F4F0" w:val="clear"/>
        <w:spacing w:before="80" w:after="80"/>
        <w:ind w:left="360"/>
      </w:pPr>
      <w:r>
        <w:rPr>
          <w:rFonts w:ascii="Courier New" w:cs="Courier New" w:eastAsia="Courier New" w:hAnsi="Courier New"/>
          <w:color w:val="1A3A1A"/>
          <w:sz w:val="16"/>
          <w:szCs w:val="16"/>
        </w:rPr>
        <w:t xml:space="preserve"># FastAPI async endpoint — non-blocking
@router.get("/api/v1/position")
async def get_position(entity_id: str, db: AsyncSession = Depends(get_db)):
    position = await db.execute(select(Entity).where(Entity.id == entity_id))
    fps = await calculate_fps(position.scalar())  # CPU-bound → thread pool
    return FPSResponse(**fps)
# CPU-bound calculation offloaded to thread pool
async def calculate_fps(entity):
    loop = asyncio.get_event_loop()
    return await loop.run_in_executor(None, _sync_fps_calculation, entity)</w:t>
      </w:r>
    </w:p>
    <w:p>
      <w:pPr>
        <w:spacing w:before="0" w:after="200"/>
      </w:pPr>
      <w:r>
        <w:t xml:space="preserve"/>
      </w:r>
    </w:p>
    <w:p>
      <w:pPr>
        <w:pStyle w:val="Heading1"/>
        <w:pBdr>
          <w:bottom w:val="single" w:color="C9A84C" w:sz="4" w:space="6"/>
        </w:pBdr>
        <w:spacing w:before="400" w:after="160"/>
      </w:pPr>
      <w:r>
        <w:rPr>
          <w:rFonts w:ascii="Georgia" w:cs="Georgia" w:eastAsia="Georgia" w:hAnsi="Georgia"/>
          <w:b/>
          <w:bCs/>
          <w:color w:val="0D1018"/>
          <w:sz w:val="28"/>
          <w:szCs w:val="28"/>
        </w:rPr>
        <w:t xml:space="preserve">6. Current Build State</w:t>
      </w:r>
    </w:p>
    <w:p>
      <w:pPr>
        <w:spacing w:before="40" w:after="80"/>
        <w:jc w:val="left"/>
      </w:pPr>
      <w:r>
        <w:rPr>
          <w:rFonts w:ascii="Calibri" w:cs="Calibri" w:eastAsia="Calibri" w:hAnsi="Calibri"/>
          <w:color w:val="333333"/>
          <w:sz w:val="20"/>
          <w:szCs w:val="20"/>
        </w:rPr>
        <w:t xml:space="preserve">This is a precise accounting of what exists today versus what is mocked or pending. No inflation. The demo is designed to show the architecture, not to pretend the system is production-ready.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Component</w:t>
            </w:r>
          </w:p>
        </w:tc>
        <w:tc>
          <w:tcPr>
            <w:tcW w:type="dxa" w:w="22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Built</w:t>
            </w:r>
          </w:p>
        </w:tc>
        <w:tc>
          <w:tcPr>
            <w:tcW w:type="dxa" w:w="220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Status</w:t>
            </w:r>
          </w:p>
        </w:tc>
        <w:tc>
          <w:tcPr>
            <w:tcW w:type="dxa" w:w="2160"/>
            <w:tcBorders>
              <w:top w:val="single" w:color="DDDDDD" w:sz="1"/>
              <w:left w:val="single" w:color="DDDDDD" w:sz="1"/>
              <w:bottom w:val="single" w:color="DDDDDD" w:sz="1"/>
              <w:right w:val="single" w:color="DDDDDD" w:sz="1"/>
            </w:tcBorders>
            <w:shd w:fill="0D1018" w:val="clear"/>
            <w:tcMar>
              <w:top w:type="dxa" w:w="80"/>
              <w:left w:type="dxa" w:w="120"/>
              <w:bottom w:type="dxa" w:w="80"/>
              <w:right w:type="dxa" w:w="120"/>
            </w:tcMar>
            <w:vAlign w:val="center"/>
          </w:tcPr>
          <w:p>
            <w:pPr>
              <w:spacing w:before="0" w:after="0"/>
            </w:pPr>
            <w:r>
              <w:rPr>
                <w:rFonts w:ascii="Calibri" w:cs="Calibri" w:eastAsia="Calibri" w:hAnsi="Calibri"/>
                <w:b/>
                <w:bCs/>
                <w:color w:val="F0E8D5"/>
                <w:sz w:val="17"/>
                <w:szCs w:val="17"/>
              </w:rPr>
              <w:t xml:space="preserve">Next Step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Index8.html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Yes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Static mock data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Wire to live API</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WayPoint Adaptive</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Yes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Static mock data</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Wire to live API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Vantage Console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Yes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Static mock data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Wire to live API</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FastAPI backend</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Yes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Mock data layer</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Connect to PostgreSQL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PostgreSQL schema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Yes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Structure only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Load real data</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Feed Layer</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Partial</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FRED pull built</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Build 5 remaining adapters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FFIEC data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No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Pending download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ffiec.gov download</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HMDA data</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No</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Pending pull</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CFPB API call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Bilateral risk engine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Yes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Logic complete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Connect real data</w:t>
            </w:r>
          </w:p>
        </w:tc>
      </w:tr>
      <w:tr>
        <w:tc>
          <w:tcPr>
            <w:tcW w:type="dxa" w:w="28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Report generator</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Yes</w:t>
            </w:r>
          </w:p>
        </w:tc>
        <w:tc>
          <w:tcPr>
            <w:tcW w:type="dxa" w:w="220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All 5 audiences</w:t>
            </w:r>
          </w:p>
        </w:tc>
        <w:tc>
          <w:tcPr>
            <w:tcW w:type="dxa" w:w="2160"/>
            <w:tcBorders>
              <w:top w:val="single" w:color="DDDDDD" w:sz="1"/>
              <w:left w:val="single" w:color="DDDDDD" w:sz="1"/>
              <w:bottom w:val="single" w:color="DDDDDD" w:sz="1"/>
              <w:right w:val="single" w:color="DDDDDD" w:sz="1"/>
            </w:tcBorders>
            <w:shd w:fill="F8F6F2"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333333"/>
                <w:sz w:val="17"/>
                <w:szCs w:val="17"/>
              </w:rPr>
              <w:t xml:space="preserve">Connect real data</w:t>
            </w:r>
          </w:p>
        </w:tc>
      </w:tr>
    </w:tbl>
    <w:p>
      <w:pPr>
        <w:spacing w:before="0" w:after="200"/>
      </w:pPr>
      <w:r>
        <w:t xml:space="preserve"/>
      </w:r>
    </w:p>
    <w:p>
      <w:pPr>
        <w:pStyle w:val="Heading1"/>
        <w:pBdr>
          <w:bottom w:val="single" w:color="C9A84C" w:sz="4" w:space="6"/>
        </w:pBdr>
        <w:spacing w:before="400" w:after="160"/>
      </w:pPr>
      <w:r>
        <w:rPr>
          <w:rFonts w:ascii="Georgia" w:cs="Georgia" w:eastAsia="Georgia" w:hAnsi="Georgia"/>
          <w:b/>
          <w:bCs/>
          <w:color w:val="0D1018"/>
          <w:sz w:val="28"/>
          <w:szCs w:val="28"/>
        </w:rPr>
        <w:t xml:space="preserve">7. What the Demo Shows</w:t>
      </w:r>
    </w:p>
    <w:p>
      <w:pPr>
        <w:spacing w:before="40" w:after="80"/>
        <w:jc w:val="left"/>
      </w:pPr>
      <w:r>
        <w:rPr>
          <w:rFonts w:ascii="Calibri" w:cs="Calibri" w:eastAsia="Calibri" w:hAnsi="Calibri"/>
          <w:color w:val="333333"/>
          <w:sz w:val="20"/>
          <w:szCs w:val="20"/>
        </w:rPr>
        <w:t xml:space="preserve">The demo is not a product walkthrough. It is a technical collaboration. The framing: here is the systems design. Tell us where the bottlenecks are.</w:t>
      </w:r>
    </w:p>
    <w:p>
      <w:pPr>
        <w:spacing w:before="0" w:after="160"/>
      </w:pPr>
      <w:r>
        <w:t xml:space="preserve"/>
      </w:r>
    </w:p>
    <w:p>
      <w:pPr>
        <w:pStyle w:val="ListParagraph"/>
        <w:numPr>
          <w:ilvl w:val="0"/>
          <w:numId w:val="2"/>
        </w:numPr>
        <w:spacing w:before="30" w:after="30"/>
      </w:pPr>
      <w:r>
        <w:rPr>
          <w:rFonts w:ascii="Calibri" w:cs="Calibri" w:eastAsia="Calibri" w:hAnsi="Calibri"/>
          <w:color w:val="333333"/>
          <w:sz w:val="20"/>
          <w:szCs w:val="20"/>
        </w:rPr>
        <w:t xml:space="preserve">Index8.html — the Crown client experience. FPS console, entity map, scenario engine, Aletheia panel.</w:t>
      </w:r>
    </w:p>
    <w:p>
      <w:pPr>
        <w:pStyle w:val="ListParagraph"/>
        <w:numPr>
          <w:ilvl w:val="0"/>
          <w:numId w:val="2"/>
        </w:numPr>
        <w:spacing w:before="30" w:after="30"/>
      </w:pPr>
      <w:r>
        <w:rPr>
          <w:rFonts w:ascii="Calibri" w:cs="Calibri" w:eastAsia="Calibri" w:hAnsi="Calibri"/>
          <w:color w:val="333333"/>
          <w:sz w:val="20"/>
          <w:szCs w:val="20"/>
        </w:rPr>
        <w:t xml:space="preserve">WayPoint Adaptive — four-tier demonstration. Renaissance through Crown, same engine, four rooms.</w:t>
      </w:r>
    </w:p>
    <w:p>
      <w:pPr>
        <w:pStyle w:val="ListParagraph"/>
        <w:numPr>
          <w:ilvl w:val="0"/>
          <w:numId w:val="2"/>
        </w:numPr>
        <w:spacing w:before="30" w:after="30"/>
      </w:pPr>
      <w:r>
        <w:rPr>
          <w:rFonts w:ascii="Calibri" w:cs="Calibri" w:eastAsia="Calibri" w:hAnsi="Calibri"/>
          <w:color w:val="333333"/>
          <w:sz w:val="20"/>
          <w:szCs w:val="20"/>
        </w:rPr>
        <w:t xml:space="preserve">Vantage Console — the institutional view. How the bank sees its book. Portfolio position, bilateral risk, CRA compliance, opportunity intelligence.</w:t>
      </w:r>
    </w:p>
    <w:p>
      <w:pPr>
        <w:pStyle w:val="ListParagraph"/>
        <w:numPr>
          <w:ilvl w:val="0"/>
          <w:numId w:val="2"/>
        </w:numPr>
        <w:spacing w:before="30" w:after="30"/>
      </w:pPr>
      <w:r>
        <w:rPr>
          <w:rFonts w:ascii="Calibri" w:cs="Calibri" w:eastAsia="Calibri" w:hAnsi="Calibri"/>
          <w:color w:val="333333"/>
          <w:sz w:val="20"/>
          <w:szCs w:val="20"/>
        </w:rPr>
        <w:t xml:space="preserve">Architecture diagram — interactive, clickable, every component inspectable with technical specifications.</w:t>
      </w:r>
    </w:p>
    <w:p>
      <w:pPr>
        <w:pStyle w:val="ListParagraph"/>
        <w:numPr>
          <w:ilvl w:val="0"/>
          <w:numId w:val="2"/>
        </w:numPr>
        <w:spacing w:before="30" w:after="30"/>
      </w:pPr>
      <w:r>
        <w:rPr>
          <w:rFonts w:ascii="Calibri" w:cs="Calibri" w:eastAsia="Calibri" w:hAnsi="Calibri"/>
          <w:color w:val="333333"/>
          <w:sz w:val="20"/>
          <w:szCs w:val="20"/>
        </w:rPr>
        <w:t xml:space="preserve">Live API call — one endpoint called in real time during the demo. Position calculation returning a real value.</w:t>
      </w:r>
    </w:p>
    <w:p>
      <w:pPr>
        <w:spacing w:before="0" w:after="160"/>
      </w:pPr>
      <w:r>
        <w:t xml:space="preserve"/>
      </w:r>
    </w:p>
    <w:p>
      <w:pPr>
        <w:pBdr>
          <w:left w:val="single" w:color="C9A84C" w:sz="12" w:space="10"/>
        </w:pBdr>
        <w:shd w:fill="F5F0E8" w:val="clear"/>
        <w:spacing w:before="100" w:after="100"/>
        <w:ind w:left="360" w:right="360"/>
      </w:pPr>
      <w:r>
        <w:rPr>
          <w:rFonts w:ascii="Georgia" w:cs="Georgia" w:eastAsia="Georgia" w:hAnsi="Georgia"/>
          <w:i/>
          <w:iCs/>
          <w:color w:val="0D1018"/>
          <w:sz w:val="19"/>
          <w:szCs w:val="19"/>
        </w:rPr>
        <w:t xml:space="preserve">The system demonstrating itself is the demo. Aletheia conducts. Ali introduces and wraps. The presentation is unreplicatable because the thing presenting was developed by the system it presents.</w:t>
      </w:r>
    </w:p>
    <w:p>
      <w:pPr>
        <w:spacing w:before="0" w:after="200"/>
      </w:pPr>
      <w:r>
        <w:t xml:space="preserve"/>
      </w:r>
    </w:p>
    <w:p>
      <w:pPr>
        <w:pBdr>
          <w:bottom w:val="single" w:color="C9A84C" w:sz="2" w:space="1"/>
        </w:pBdr>
        <w:spacing w:before="80" w:after="80"/>
      </w:pPr>
      <w:r>
        <w:t xml:space="preserve"/>
      </w:r>
    </w:p>
    <w:p>
      <w:pPr>
        <w:spacing w:before="0" w:after="160"/>
      </w:pPr>
      <w:r>
        <w:t xml:space="preserve"/>
      </w:r>
    </w:p>
    <w:p>
      <w:pPr>
        <w:spacing w:after="40"/>
        <w:jc w:val="right"/>
      </w:pPr>
      <w:r>
        <w:rPr>
          <w:rFonts w:ascii="Calibri" w:cs="Calibri" w:eastAsia="Calibri" w:hAnsi="Calibri"/>
          <w:color w:val="4A4A5A"/>
          <w:sz w:val="18"/>
          <w:szCs w:val="18"/>
        </w:rPr>
        <w:t xml:space="preserve">Prepared by Aliman Neal · Traverse Code Inc.</w:t>
      </w:r>
    </w:p>
    <w:p>
      <w:pPr>
        <w:spacing w:after="40"/>
        <w:jc w:val="right"/>
      </w:pPr>
      <w:r>
        <w:rPr>
          <w:rFonts w:ascii="Calibri" w:cs="Calibri" w:eastAsia="Calibri" w:hAnsi="Calibri"/>
          <w:color w:val="4A4A5A"/>
          <w:sz w:val="18"/>
          <w:szCs w:val="18"/>
        </w:rPr>
        <w:t xml:space="preserve">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0"/>
    </w:pPr>
    <w:r>
      <w:rPr>
        <w:rFonts w:ascii="Calibri" w:cs="Calibri" w:eastAsia="Calibri" w:hAnsi="Calibri"/>
        <w:color w:val="4A4A5A"/>
        <w:sz w:val="16"/>
        <w:szCs w:val="16"/>
      </w:rPr>
      <w:t xml:space="preserve">Meridia · Traverse Code Inc. · March 2026  |  Page </w:t>
    </w:r>
    <w:r>
      <w:rPr>
        <w:rFonts w:ascii="Calibri" w:cs="Calibri" w:eastAsia="Calibri" w:hAnsi="Calibri"/>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spacing w:after="0"/>
    </w:pPr>
    <w:r>
      <w:rPr>
        <w:rFonts w:ascii="Calibri" w:cs="Calibri" w:eastAsia="Calibri" w:hAnsi="Calibri"/>
        <w:b/>
        <w:bCs/>
        <w:color w:val="C9A84C"/>
        <w:sz w:val="16"/>
        <w:szCs w:val="16"/>
      </w:rPr>
      <w:t xml:space="preserve">MERIDIA — SYSTEM ARCHITECTURE</w:t>
    </w:r>
    <w:r>
      <w:rPr>
        <w:rFonts w:ascii="Calibri" w:cs="Calibri" w:eastAsia="Calibri" w:hAnsi="Calibri"/>
        <w:color w:val="4A4A5A"/>
        <w:sz w:val="16"/>
        <w:szCs w:val="16"/>
      </w:rPr>
      <w:t xml:space="preserve">  ·  TECHNICAL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0D1018"/>
      <w:sz w:val="28"/>
      <w:szCs w:val="28"/>
    </w:rPr>
  </w:style>
  <w:style w:type="paragraph" w:styleId="Heading2">
    <w:name w:val="Heading 2"/>
    <w:basedOn w:val="Normal"/>
    <w:next w:val="Normal"/>
    <w:qFormat/>
    <w:pPr>
      <w:spacing w:before="280" w:after="100"/>
      <w:outlineLvl w:val="1"/>
    </w:pPr>
    <w:rPr>
      <w:rFonts w:ascii="Georgia" w:cs="Georgia" w:eastAsia="Georgia" w:hAnsi="Georgia"/>
      <w:b/>
      <w:bCs/>
      <w:color w:val="0D10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2026-03-19T13:33:53.858Z</dcterms:created>
  <dcterms:modified xsi:type="dcterms:W3CDTF">2026-03-19T13:33:53.859Z</dcterms:modified>
</cp:coreProperties>
</file>

<file path=docProps/custom.xml><?xml version="1.0" encoding="utf-8"?>
<Properties xmlns="http://schemas.openxmlformats.org/officeDocument/2006/custom-properties" xmlns:vt="http://schemas.openxmlformats.org/officeDocument/2006/docPropsVTypes"/>
</file>