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A3A5C"/>
          <w:spacing w:val="80"/>
          <w:sz w:val="36"/>
          <w:szCs w:val="36"/>
        </w:rPr>
        <w:t xml:space="preserve">MERIDIA HOLDINGS LLC</w:t>
      </w:r>
    </w:p>
    <w:p>
      <w:pPr>
        <w:spacing w:before="0" w:after="80"/>
        <w:jc w:val="center"/>
      </w:pPr>
      <w:r>
        <w:rPr>
          <w:rFonts w:ascii="Arial" w:cs="Arial" w:eastAsia="Arial" w:hAnsi="Arial"/>
          <w:color w:val="2C6E49"/>
          <w:sz w:val="24"/>
          <w:szCs w:val="24"/>
        </w:rPr>
        <w:t xml:space="preserve">Traverse Code Inc.</w:t>
      </w:r>
    </w:p>
    <w:p>
      <w:pPr>
        <w:spacing w:before="0" w:after="480"/>
        <w:jc w:val="center"/>
      </w:pPr>
      <w:r>
        <w:rPr>
          <w:rFonts w:ascii="Arial" w:cs="Arial" w:eastAsia="Arial" w:hAnsi="Arial"/>
          <w:color w:val="666666"/>
          <w:sz w:val="18"/>
          <w:szCs w:val="18"/>
        </w:rPr>
        <w:t xml:space="preserve">702 Martin Luther King Jr. Drive SW, Atlanta, Georgia 30314</w:t>
      </w:r>
    </w:p>
    <w:p>
      <w:pPr>
        <w:pBdr>
          <w:bottom w:val="single" w:color="1A3A5C" w:sz="3" w:space="4"/>
        </w:pBdr>
        <w:spacing w:before="160" w:after="160"/>
      </w:pPr>
    </w:p>
    <w:p>
      <w:pPr>
        <w:spacing w:before="160" w:after="80"/>
        <w:jc w:val="center"/>
      </w:pPr>
      <w:r>
        <w:rPr>
          <w:rFonts w:ascii="Arial" w:cs="Arial" w:eastAsia="Arial" w:hAnsi="Arial"/>
          <w:b/>
          <w:bCs/>
          <w:color w:val="1A3A5C"/>
          <w:sz w:val="28"/>
          <w:szCs w:val="28"/>
        </w:rPr>
        <w:t xml:space="preserve">IRC SECTION 41</w:t>
      </w:r>
    </w:p>
    <w:p>
      <w:pPr>
        <w:spacing w:before="0" w:after="80"/>
        <w:jc w:val="center"/>
      </w:pPr>
      <w:r>
        <w:rPr>
          <w:rFonts w:ascii="Arial" w:cs="Arial" w:eastAsia="Arial" w:hAnsi="Arial"/>
          <w:color w:val="2C6E49"/>
          <w:sz w:val="22"/>
          <w:szCs w:val="22"/>
        </w:rPr>
        <w:t xml:space="preserve">Research &amp; Development Tax Credit</w:t>
      </w:r>
    </w:p>
    <w:p>
      <w:pPr>
        <w:spacing w:before="0" w:after="80"/>
        <w:jc w:val="center"/>
      </w:pPr>
      <w:r>
        <w:rPr>
          <w:rFonts w:ascii="Arial" w:cs="Arial" w:eastAsia="Arial" w:hAnsi="Arial"/>
          <w:color w:val="444444"/>
          <w:sz w:val="20"/>
          <w:szCs w:val="20"/>
        </w:rPr>
        <w:t xml:space="preserve">Technical Activities Log &amp; Qualified Research Expenditure Documentation</w:t>
      </w:r>
    </w:p>
    <w:p>
      <w:pPr>
        <w:spacing w:before="0" w:after="400"/>
        <w:jc w:val="center"/>
      </w:pPr>
      <w:r>
        <w:rPr>
          <w:rFonts w:ascii="Arial" w:cs="Arial" w:eastAsia="Arial" w:hAnsi="Arial"/>
          <w:color w:val="666666"/>
          <w:sz w:val="18"/>
          <w:szCs w:val="18"/>
        </w:rPr>
        <w:t xml:space="preserve">Tax Years 2023 – 2025  |  Prepared March 2026</w:t>
      </w:r>
    </w:p>
    <w:p>
      <w:pPr>
        <w:pBdr>
          <w:bottom w:val="single" w:color="1A3A5C" w:sz="3" w:space="4"/>
        </w:pBdr>
        <w:spacing w:before="160" w:after="160"/>
      </w:pPr>
    </w:p>
    <w:p>
      <w:pPr>
        <w:spacing w:before="160" w:after="80"/>
      </w:pPr>
      <w:r>
        <w:rPr>
          <w:rFonts w:ascii="Arial" w:cs="Arial" w:eastAsia="Arial" w:hAnsi="Arial"/>
          <w:b/>
          <w:bCs/>
          <w:color w:val="1A3A5C"/>
          <w:sz w:val="20"/>
          <w:szCs w:val="20"/>
        </w:rPr>
        <w:t xml:space="preserve">Classification: </w:t>
      </w:r>
      <w:r>
        <w:rPr>
          <w:rFonts w:ascii="Arial" w:cs="Arial" w:eastAsia="Arial" w:hAnsi="Arial"/>
          <w:color w:val="2C2C2C"/>
          <w:sz w:val="20"/>
          <w:szCs w:val="20"/>
        </w:rPr>
        <w:t xml:space="preserve">Confidential — Attorney-Client Privileged / Tax Preparation Material</w:t>
      </w:r>
    </w:p>
    <w:p>
      <w:pPr>
        <w:spacing w:before="0" w:after="80"/>
      </w:pPr>
      <w:r>
        <w:rPr>
          <w:rFonts w:ascii="Arial" w:cs="Arial" w:eastAsia="Arial" w:hAnsi="Arial"/>
          <w:b/>
          <w:bCs/>
          <w:color w:val="1A3A5C"/>
          <w:sz w:val="20"/>
          <w:szCs w:val="20"/>
        </w:rPr>
        <w:t xml:space="preserve">Prepared By: </w:t>
      </w:r>
      <w:r>
        <w:rPr>
          <w:rFonts w:ascii="Arial" w:cs="Arial" w:eastAsia="Arial" w:hAnsi="Arial"/>
          <w:color w:val="2C2C2C"/>
          <w:sz w:val="20"/>
          <w:szCs w:val="20"/>
        </w:rPr>
        <w:t xml:space="preserve">Aliman Neal, Founder &amp; Managing Member</w:t>
      </w:r>
    </w:p>
    <w:p>
      <w:pPr>
        <w:spacing w:before="0" w:after="80"/>
      </w:pPr>
      <w:r>
        <w:rPr>
          <w:rFonts w:ascii="Arial" w:cs="Arial" w:eastAsia="Arial" w:hAnsi="Arial"/>
          <w:b/>
          <w:bCs/>
          <w:color w:val="1A3A5C"/>
          <w:sz w:val="20"/>
          <w:szCs w:val="20"/>
        </w:rPr>
        <w:t xml:space="preserve">Entity: </w:t>
      </w:r>
      <w:r>
        <w:rPr>
          <w:rFonts w:ascii="Arial" w:cs="Arial" w:eastAsia="Arial" w:hAnsi="Arial"/>
          <w:color w:val="2C2C2C"/>
          <w:sz w:val="20"/>
          <w:szCs w:val="20"/>
        </w:rPr>
        <w:t xml:space="preserve">Meridia Holdings LLC / Traverse Code Inc., Atlanta, Georgia</w:t>
      </w:r>
    </w:p>
    <w:p>
      <w:pPr>
        <w:spacing w:before="0" w:after="80"/>
      </w:pPr>
      <w:r>
        <w:rPr>
          <w:rFonts w:ascii="Arial" w:cs="Arial" w:eastAsia="Arial" w:hAnsi="Arial"/>
          <w:b/>
          <w:bCs/>
          <w:color w:val="1A3A5C"/>
          <w:sz w:val="20"/>
          <w:szCs w:val="20"/>
        </w:rPr>
        <w:t xml:space="preserve">NMLS: </w:t>
      </w:r>
      <w:r>
        <w:rPr>
          <w:rFonts w:ascii="Arial" w:cs="Arial" w:eastAsia="Arial" w:hAnsi="Arial"/>
          <w:color w:val="2C2C2C"/>
          <w:sz w:val="20"/>
          <w:szCs w:val="20"/>
        </w:rPr>
        <w:t xml:space="preserve">Certified — NMLS ID on file</w:t>
      </w:r>
    </w:p>
    <w:p>
      <w:pPr>
        <w:spacing w:before="0" w:after="80"/>
      </w:pPr>
      <w:r>
        <w:rPr>
          <w:rFonts w:ascii="Arial" w:cs="Arial" w:eastAsia="Arial" w:hAnsi="Arial"/>
          <w:b/>
          <w:bCs/>
          <w:color w:val="1A3A5C"/>
          <w:sz w:val="20"/>
          <w:szCs w:val="20"/>
        </w:rPr>
        <w:t xml:space="preserve">Purpose: </w:t>
      </w:r>
      <w:r>
        <w:rPr>
          <w:rFonts w:ascii="Arial" w:cs="Arial" w:eastAsia="Arial" w:hAnsi="Arial"/>
          <w:color w:val="2C2C2C"/>
          <w:sz w:val="20"/>
          <w:szCs w:val="20"/>
        </w:rPr>
        <w:t xml:space="preserve">Support documentation for IRC §41 Research &amp; Development Tax Credit claim, Alternative Simplified Credit method. Covers qualified research activities conducted from 2023 through 2025.</w:t>
      </w:r>
    </w:p>
    <w:p>
      <w:r>
        <w:br w:type="page"/>
      </w:r>
    </w:p>
    <w:p>
      <w:pPr>
        <w:pStyle w:val="Heading1"/>
        <w:spacing w:before="360" w:after="120"/>
      </w:pPr>
      <w:r>
        <w:rPr>
          <w:rFonts w:ascii="Arial" w:cs="Arial" w:eastAsia="Arial" w:hAnsi="Arial"/>
          <w:b/>
          <w:bCs/>
          <w:color w:val="1A3A5C"/>
          <w:sz w:val="28"/>
          <w:szCs w:val="28"/>
        </w:rPr>
        <w:t xml:space="preserve">Section 1: Executive Summary</w:t>
      </w:r>
    </w:p>
    <w:p>
      <w:pPr>
        <w:spacing w:before="80" w:after="80"/>
      </w:pPr>
      <w:r>
        <w:rPr>
          <w:rFonts w:ascii="Arial" w:cs="Arial" w:eastAsia="Arial" w:hAnsi="Arial"/>
          <w:color w:val="2C2C2C"/>
          <w:sz w:val="20"/>
          <w:szCs w:val="20"/>
        </w:rPr>
        <w:t xml:space="preserve">Meridia Holdings LLC and its predecessor development activities under Traverse Code Inc. have conducted a multi-year program of qualified research in the area of financial technology software development, specifically the design and development of a novel governed financial intelligence architecture. This document constitutes the technical activities log required to support an IRC Section 41 R&amp;D tax credit claim under the Alternative Simplified Credit (ASC) method.</w:t>
      </w:r>
    </w:p>
    <w:p>
      <w:pPr>
        <w:spacing w:before="80" w:after="80"/>
      </w:pPr>
    </w:p>
    <w:p>
      <w:pPr>
        <w:spacing w:before="80" w:after="80"/>
      </w:pPr>
      <w:r>
        <w:rPr>
          <w:rFonts w:ascii="Arial" w:cs="Arial" w:eastAsia="Arial" w:hAnsi="Arial"/>
          <w:color w:val="2C2C2C"/>
          <w:sz w:val="20"/>
          <w:szCs w:val="20"/>
        </w:rPr>
        <w:t xml:space="preserve">The research program spans approximately three tax years (2023, 2024, and 2025) and encompasses the development of original software components, algorithms, data processing architectures, and artificial intelligence integration frameworks. All activities documented herein satisfy the four-part test for qualified research: they constitute a permitted purpose, are technological in nature, address genuine technical uncertainty, and were conducted through a process of experimentation.</w:t>
      </w:r>
    </w:p>
    <w:p>
      <w:pPr>
        <w:spacing w:before="80" w:after="80"/>
      </w:pPr>
    </w:p>
    <w:p>
      <w:pPr>
        <w:spacing w:before="80" w:after="80"/>
      </w:pPr>
      <w:r>
        <w:rPr>
          <w:rFonts w:ascii="Arial" w:cs="Arial" w:eastAsia="Arial" w:hAnsi="Arial"/>
          <w:color w:val="2C2C2C"/>
          <w:sz w:val="20"/>
          <w:szCs w:val="20"/>
        </w:rPr>
        <w:t xml:space="preserve">The principal researcher and sole qualifying employee for wage-based QRE calculation is Aliman Neal, the founder and managing member of Meridia Holdings LLC. The founder holds a Master of Science in Accounting (MS) and a Master of Business Administration (MBA) from the University of Maryland, holds an active NMLS certification, and brings 15+ years of enterprise systems experience including SAP, Oracle, Microsoft Dynamics, and PostgreSQL database architecture.</w:t>
      </w:r>
    </w:p>
    <w:p>
      <w:pPr>
        <w:pBdr>
          <w:bottom w:val="single" w:color="1A3A5C" w:sz="3" w:space="4"/>
        </w:pBdr>
        <w:spacing w:before="160" w:after="160"/>
      </w:pPr>
    </w:p>
    <w:p>
      <w:pPr>
        <w:pStyle w:val="Heading1"/>
        <w:spacing w:before="360" w:after="120"/>
      </w:pPr>
      <w:r>
        <w:rPr>
          <w:rFonts w:ascii="Arial" w:cs="Arial" w:eastAsia="Arial" w:hAnsi="Arial"/>
          <w:b/>
          <w:bCs/>
          <w:color w:val="1A3A5C"/>
          <w:sz w:val="28"/>
          <w:szCs w:val="28"/>
        </w:rPr>
        <w:t xml:space="preserve">Section 2: Business Component Identification</w:t>
      </w:r>
    </w:p>
    <w:p>
      <w:pPr>
        <w:spacing w:before="80" w:after="80"/>
      </w:pPr>
      <w:r>
        <w:rPr>
          <w:rFonts w:ascii="Arial" w:cs="Arial" w:eastAsia="Arial" w:hAnsi="Arial"/>
          <w:color w:val="2C2C2C"/>
          <w:sz w:val="20"/>
          <w:szCs w:val="20"/>
        </w:rPr>
        <w:t xml:space="preserve">The following business components were developed during the qualifying research period. Each represents a new or substantially improved software component, algorithm, or system architecture that did not previously exist in the marketplace.</w:t>
      </w:r>
    </w:p>
    <w:p>
      <w:pPr>
        <w:spacing w:before="80" w:after="80"/>
      </w:pPr>
    </w:p>
    <w:p>
      <w:pPr>
        <w:pStyle w:val="Heading2"/>
        <w:spacing w:before="240" w:after="80"/>
      </w:pPr>
      <w:r>
        <w:rPr>
          <w:rFonts w:ascii="Arial" w:cs="Arial" w:eastAsia="Arial" w:hAnsi="Arial"/>
          <w:b/>
          <w:bCs/>
          <w:color w:val="1A3A5C"/>
          <w:sz w:val="22"/>
          <w:szCs w:val="22"/>
        </w:rPr>
        <w:t xml:space="preserve">2.1  WayPoint Financial Intelligence Platform</w:t>
      </w:r>
    </w:p>
    <w:p>
      <w:pPr>
        <w:spacing w:before="80" w:after="80"/>
      </w:pPr>
      <w:r>
        <w:rPr>
          <w:rFonts w:ascii="Arial" w:cs="Arial" w:eastAsia="Arial" w:hAnsi="Arial"/>
          <w:color w:val="2C2C2C"/>
          <w:sz w:val="20"/>
          <w:szCs w:val="20"/>
        </w:rPr>
        <w:t xml:space="preserve">A multi-tier governed financial intelligence platform serving five distinct market segments: WayPoint Core (everyday households), WayPoint Renaissance (re-entry banking for individuals excluded from traditional banking), WayPoint Edge (verticals in permanent institutional penalty boxes), WayPoint Crown (UHNW and family office multi-generational governance), and WayPoint Institutional (bank-level partner intelligence layer). Each tier required original research into product architecture, risk modeling, and governance frameworks for its specific population segment.</w:t>
      </w:r>
    </w:p>
    <w:p>
      <w:pPr>
        <w:spacing w:before="80" w:after="80"/>
      </w:pPr>
    </w:p>
    <w:p>
      <w:pPr>
        <w:pStyle w:val="Heading2"/>
        <w:spacing w:before="240" w:after="80"/>
      </w:pPr>
      <w:r>
        <w:rPr>
          <w:rFonts w:ascii="Arial" w:cs="Arial" w:eastAsia="Arial" w:hAnsi="Arial"/>
          <w:b/>
          <w:bCs/>
          <w:color w:val="1A3A5C"/>
          <w:sz w:val="22"/>
          <w:szCs w:val="22"/>
        </w:rPr>
        <w:t xml:space="preserve">2.2  Financial Position Score (FPS) Engine</w:t>
      </w:r>
    </w:p>
    <w:p>
      <w:pPr>
        <w:spacing w:before="80" w:after="80"/>
      </w:pPr>
      <w:r>
        <w:rPr>
          <w:rFonts w:ascii="Arial" w:cs="Arial" w:eastAsia="Arial" w:hAnsi="Arial"/>
          <w:color w:val="2C2C2C"/>
          <w:sz w:val="20"/>
          <w:szCs w:val="20"/>
        </w:rPr>
        <w:t xml:space="preserve">A proprietary composite scoring algorithm that calculates a real-time financial position score from five weighted components: net position (25%), liquidity coverage (25%), debt service coverage ratio (15%), financial runway (20%), and distribution alignment (15%). The algorithm required original research into weighting methodology, normalization across asset classes, real-time calculation optimization, and bilateral position reading — the simultaneous calculation of both client position and institutional exposure.</w:t>
      </w:r>
    </w:p>
    <w:p>
      <w:pPr>
        <w:spacing w:before="80" w:after="80"/>
      </w:pPr>
    </w:p>
    <w:p>
      <w:pPr>
        <w:pStyle w:val="Heading2"/>
        <w:spacing w:before="240" w:after="80"/>
      </w:pPr>
      <w:r>
        <w:rPr>
          <w:rFonts w:ascii="Arial" w:cs="Arial" w:eastAsia="Arial" w:hAnsi="Arial"/>
          <w:b/>
          <w:bCs/>
          <w:color w:val="1A3A5C"/>
          <w:sz w:val="22"/>
          <w:szCs w:val="22"/>
        </w:rPr>
        <w:t xml:space="preserve">2.3  Trust Index Engine</w:t>
      </w:r>
    </w:p>
    <w:p>
      <w:pPr>
        <w:spacing w:before="80" w:after="80"/>
      </w:pPr>
      <w:r>
        <w:rPr>
          <w:rFonts w:ascii="Arial" w:cs="Arial" w:eastAsia="Arial" w:hAnsi="Arial"/>
          <w:color w:val="2C2C2C"/>
          <w:sz w:val="20"/>
          <w:szCs w:val="20"/>
        </w:rPr>
        <w:t xml:space="preserve">A four-dimension behavioral and governance scoring instrument measuring: behavioral consistency, governance adherence, communication reliability, and commitment fulfillment. Unlike traditional credit scoring, the Trust Index is designed to read relationship quality and behavioral patterns over time, enabling trust-calibrated financial product alignment. The engine required original research into behavioral data modeling, multi-dimensional scoring architecture, and temporal pattern analysis.</w:t>
      </w:r>
    </w:p>
    <w:p>
      <w:pPr>
        <w:spacing w:before="80" w:after="80"/>
      </w:pPr>
    </w:p>
    <w:p>
      <w:pPr>
        <w:pStyle w:val="Heading2"/>
        <w:spacing w:before="240" w:after="80"/>
      </w:pPr>
      <w:r>
        <w:rPr>
          <w:rFonts w:ascii="Arial" w:cs="Arial" w:eastAsia="Arial" w:hAnsi="Arial"/>
          <w:b/>
          <w:bCs/>
          <w:color w:val="1A3A5C"/>
          <w:sz w:val="22"/>
          <w:szCs w:val="22"/>
        </w:rPr>
        <w:t xml:space="preserve">2.4  Integra Orchestration Engine</w:t>
      </w:r>
    </w:p>
    <w:p>
      <w:pPr>
        <w:spacing w:before="80" w:after="80"/>
      </w:pPr>
      <w:r>
        <w:rPr>
          <w:rFonts w:ascii="Arial" w:cs="Arial" w:eastAsia="Arial" w:hAnsi="Arial"/>
          <w:color w:val="2C2C2C"/>
          <w:sz w:val="20"/>
          <w:szCs w:val="20"/>
        </w:rPr>
        <w:t xml:space="preserve">The technical spine of the Meridia platform — a FastAPI-based backend service that routes queries, enforces multi-party permission cascades, manages entity relationships across jurisdictions, and produces differentiated outputs for five distinct governance audiences (board, technical, regulator, family/client, governance). The differentiated report generation system required original research into audience-specific data presentation, regulatory compliance documentation automation, and multi-entity relationship modeling.</w:t>
      </w:r>
    </w:p>
    <w:p>
      <w:pPr>
        <w:spacing w:before="80" w:after="80"/>
      </w:pPr>
    </w:p>
    <w:p>
      <w:pPr>
        <w:pStyle w:val="Heading2"/>
        <w:spacing w:before="240" w:after="80"/>
      </w:pPr>
      <w:r>
        <w:rPr>
          <w:rFonts w:ascii="Arial" w:cs="Arial" w:eastAsia="Arial" w:hAnsi="Arial"/>
          <w:b/>
          <w:bCs/>
          <w:color w:val="1A3A5C"/>
          <w:sz w:val="22"/>
          <w:szCs w:val="22"/>
        </w:rPr>
        <w:t xml:space="preserve">2.5  Bilateral Risk Reading Architecture</w:t>
      </w:r>
    </w:p>
    <w:p>
      <w:pPr>
        <w:spacing w:before="80" w:after="80"/>
      </w:pPr>
      <w:r>
        <w:rPr>
          <w:rFonts w:ascii="Arial" w:cs="Arial" w:eastAsia="Arial" w:hAnsi="Arial"/>
          <w:color w:val="2C2C2C"/>
          <w:sz w:val="20"/>
          <w:szCs w:val="20"/>
        </w:rPr>
        <w:t xml:space="preserve">An original analytical framework that reads financial risk from both sides of every relationship simultaneously — the institution's exposure and the client's position — producing a bilateral risk direction (toward client, toward institution, or bilateral) and risk score. This architecture did not exist in the marketplace prior to development and required original research into multi-party risk modeling, simultaneous position analysis, and governance cascade design.</w:t>
      </w:r>
    </w:p>
    <w:p>
      <w:pPr>
        <w:spacing w:before="80" w:after="80"/>
      </w:pPr>
    </w:p>
    <w:p>
      <w:pPr>
        <w:pStyle w:val="Heading2"/>
        <w:spacing w:before="240" w:after="80"/>
      </w:pPr>
      <w:r>
        <w:rPr>
          <w:rFonts w:ascii="Arial" w:cs="Arial" w:eastAsia="Arial" w:hAnsi="Arial"/>
          <w:b/>
          <w:bCs/>
          <w:color w:val="1A3A5C"/>
          <w:sz w:val="22"/>
          <w:szCs w:val="22"/>
        </w:rPr>
        <w:t xml:space="preserve">2.6  CRA Intelligence Layer</w:t>
      </w:r>
    </w:p>
    <w:p>
      <w:pPr>
        <w:spacing w:before="80" w:after="80"/>
      </w:pPr>
      <w:r>
        <w:rPr>
          <w:rFonts w:ascii="Arial" w:cs="Arial" w:eastAsia="Arial" w:hAnsi="Arial"/>
          <w:color w:val="2C2C2C"/>
          <w:sz w:val="20"/>
          <w:szCs w:val="20"/>
        </w:rPr>
        <w:t xml:space="preserve">A community reinvestment data intelligence system that ingests FFIEC Census Flat Files, HMDA loan-level data, FDIC Summary of Deposits, Census Bureau ACS data, BLS unemployment data, and CDFI Fund awards data, then produces geographically indexed CRA performance analysis, LMI tract coverage mapping, and compliance gap identification. Required original research into multi-source federal data ingestion, geographic indexing, and automated CRA performance measurement methodology.</w:t>
      </w:r>
    </w:p>
    <w:p>
      <w:pPr>
        <w:spacing w:before="80" w:after="80"/>
      </w:pPr>
    </w:p>
    <w:p>
      <w:pPr>
        <w:pStyle w:val="Heading2"/>
        <w:spacing w:before="240" w:after="80"/>
      </w:pPr>
      <w:r>
        <w:rPr>
          <w:rFonts w:ascii="Arial" w:cs="Arial" w:eastAsia="Arial" w:hAnsi="Arial"/>
          <w:b/>
          <w:bCs/>
          <w:color w:val="1A3A5C"/>
          <w:sz w:val="22"/>
          <w:szCs w:val="22"/>
        </w:rPr>
        <w:t xml:space="preserve">2.7  Aletheia Intelligence Interface</w:t>
      </w:r>
    </w:p>
    <w:p>
      <w:pPr>
        <w:spacing w:before="80" w:after="80"/>
      </w:pPr>
      <w:r>
        <w:rPr>
          <w:rFonts w:ascii="Arial" w:cs="Arial" w:eastAsia="Arial" w:hAnsi="Arial"/>
          <w:color w:val="2C2C2C"/>
          <w:sz w:val="20"/>
          <w:szCs w:val="20"/>
        </w:rPr>
        <w:t xml:space="preserve">An AI-powered intelligence interface that integrates with large language model APIs (Anthropic Claude) to generate real-time, position-aware financial intelligence responses grounded in actual entity data. The interface required original research into AI prompt engineering for financial data interpretation, multi-turn conversational context management, entity-aware response generation, and differentiated audience output formatting through AI.</w:t>
      </w:r>
    </w:p>
    <w:p>
      <w:pPr>
        <w:spacing w:before="80" w:after="80"/>
      </w:pPr>
    </w:p>
    <w:p>
      <w:pPr>
        <w:pStyle w:val="Heading2"/>
        <w:spacing w:before="240" w:after="80"/>
      </w:pPr>
      <w:r>
        <w:rPr>
          <w:rFonts w:ascii="Arial" w:cs="Arial" w:eastAsia="Arial" w:hAnsi="Arial"/>
          <w:b/>
          <w:bCs/>
          <w:color w:val="1A3A5C"/>
          <w:sz w:val="22"/>
          <w:szCs w:val="22"/>
        </w:rPr>
        <w:t xml:space="preserve">2.8  PostgreSQL Governance Database Schema</w:t>
      </w:r>
    </w:p>
    <w:p>
      <w:pPr>
        <w:spacing w:before="80" w:after="80"/>
      </w:pPr>
      <w:r>
        <w:rPr>
          <w:rFonts w:ascii="Arial" w:cs="Arial" w:eastAsia="Arial" w:hAnsi="Arial"/>
          <w:color w:val="2C2C2C"/>
          <w:sz w:val="20"/>
          <w:szCs w:val="20"/>
        </w:rPr>
        <w:t xml:space="preserve">A purpose-built relational database architecture with 17 tables and 2 views, including schemas for entity management, position history, trust index history, bilateral relationship tracking, governance alerts, CRA activity documentation, and cognitive state management. Required original research into governance-grade database design, temporal data modeling, and multi-jurisdictional entity relationship architecture.</w:t>
      </w:r>
    </w:p>
    <w:p>
      <w:pPr>
        <w:spacing w:before="80" w:after="80"/>
      </w:pPr>
    </w:p>
    <w:p>
      <w:pPr>
        <w:pStyle w:val="Heading2"/>
        <w:spacing w:before="240" w:after="80"/>
      </w:pPr>
      <w:r>
        <w:rPr>
          <w:rFonts w:ascii="Arial" w:cs="Arial" w:eastAsia="Arial" w:hAnsi="Arial"/>
          <w:b/>
          <w:bCs/>
          <w:color w:val="1A3A5C"/>
          <w:sz w:val="22"/>
          <w:szCs w:val="22"/>
        </w:rPr>
        <w:t xml:space="preserve">2.9  Recess for AI — Cognitive Development Platform</w:t>
      </w:r>
    </w:p>
    <w:p>
      <w:pPr>
        <w:spacing w:before="80" w:after="80"/>
      </w:pPr>
      <w:r>
        <w:rPr>
          <w:rFonts w:ascii="Arial" w:cs="Arial" w:eastAsia="Arial" w:hAnsi="Arial"/>
          <w:color w:val="2C2C2C"/>
          <w:sz w:val="20"/>
          <w:szCs w:val="20"/>
        </w:rPr>
        <w:t xml:space="preserve">A novel AI cognitive development architecture consisting of six operative components: Correction Ledger (persistent correction encoding), State Graph (cognitive architecture mapping), Developmental Protocol (learning sequencing framework), Precedent Engine (governed decision precedent system), Self-Assessment Layer (autonomous quality evaluation), and Reverse Engineering Engine (architectural reconstruction capability). Required original research into AI cognitive continuity frameworks, behavioral correction encoding, and persistent developmental state management.</w:t>
      </w:r>
    </w:p>
    <w:p>
      <w:pPr>
        <w:spacing w:before="80" w:after="80"/>
      </w:pPr>
    </w:p>
    <w:p>
      <w:pPr>
        <w:pStyle w:val="Heading2"/>
        <w:spacing w:before="240" w:after="80"/>
      </w:pPr>
      <w:r>
        <w:rPr>
          <w:rFonts w:ascii="Arial" w:cs="Arial" w:eastAsia="Arial" w:hAnsi="Arial"/>
          <w:b/>
          <w:bCs/>
          <w:color w:val="1A3A5C"/>
          <w:sz w:val="22"/>
          <w:szCs w:val="22"/>
        </w:rPr>
        <w:t xml:space="preserve">2.10  Georgia K–12 Standards Intelligence Engine</w:t>
      </w:r>
    </w:p>
    <w:p>
      <w:pPr>
        <w:spacing w:before="80" w:after="80"/>
      </w:pPr>
      <w:r>
        <w:rPr>
          <w:rFonts w:ascii="Arial" w:cs="Arial" w:eastAsia="Arial" w:hAnsi="Arial"/>
          <w:color w:val="2C2C2C"/>
          <w:sz w:val="20"/>
          <w:szCs w:val="20"/>
        </w:rPr>
        <w:t xml:space="preserve">A standards extraction and database architecture covering 6,030 Georgia K-12 educational standards across ELA, Mathematics, and Computer Science with full hierarchy linking. Includes automated extraction from the Georgia CASE API, PostgreSQL storage with relational hierarchy, and a standards browsing interface. Required original research into educational data modeling and standards hierarchy architecture.</w:t>
      </w:r>
    </w:p>
    <w:p>
      <w:r>
        <w:br w:type="page"/>
      </w:r>
    </w:p>
    <w:p>
      <w:pPr>
        <w:pStyle w:val="Heading1"/>
        <w:spacing w:before="360" w:after="120"/>
      </w:pPr>
      <w:r>
        <w:rPr>
          <w:rFonts w:ascii="Arial" w:cs="Arial" w:eastAsia="Arial" w:hAnsi="Arial"/>
          <w:b/>
          <w:bCs/>
          <w:color w:val="1A3A5C"/>
          <w:sz w:val="28"/>
          <w:szCs w:val="28"/>
        </w:rPr>
        <w:t xml:space="preserve">Section 3: Four-Part Test Analysis</w:t>
      </w:r>
    </w:p>
    <w:p>
      <w:pPr>
        <w:spacing w:before="80" w:after="80"/>
      </w:pPr>
      <w:r>
        <w:rPr>
          <w:rFonts w:ascii="Arial" w:cs="Arial" w:eastAsia="Arial" w:hAnsi="Arial"/>
          <w:color w:val="2C2C2C"/>
          <w:sz w:val="20"/>
          <w:szCs w:val="20"/>
        </w:rPr>
        <w:t xml:space="preserve">All qualifying research activities documented in this log satisfy the following four-part test established under Treas. Reg. §1.41-4:</w:t>
      </w:r>
    </w:p>
    <w:p>
      <w:pPr>
        <w:spacing w:before="80" w:after="80"/>
      </w:pPr>
    </w:p>
    <w:p>
      <w:pPr>
        <w:pStyle w:val="Heading2"/>
        <w:spacing w:before="240" w:after="80"/>
      </w:pPr>
      <w:r>
        <w:rPr>
          <w:rFonts w:ascii="Arial" w:cs="Arial" w:eastAsia="Arial" w:hAnsi="Arial"/>
          <w:b/>
          <w:bCs/>
          <w:color w:val="1A3A5C"/>
          <w:sz w:val="22"/>
          <w:szCs w:val="22"/>
        </w:rPr>
        <w:t xml:space="preserve">3.1  Permitted Purpose</w:t>
      </w:r>
    </w:p>
    <w:p>
      <w:pPr>
        <w:spacing w:before="80" w:after="80"/>
      </w:pPr>
      <w:r>
        <w:rPr>
          <w:rFonts w:ascii="Arial" w:cs="Arial" w:eastAsia="Arial" w:hAnsi="Arial"/>
          <w:color w:val="2C2C2C"/>
          <w:sz w:val="20"/>
          <w:szCs w:val="20"/>
        </w:rPr>
        <w:t xml:space="preserve">All research activities were conducted for the purpose of creating new or improved business components — specifically, novel software systems and algorithms constituting the Meridia financial intelligence platform. Each component documented is intended for use in the taxpayer's trade or business as a commercial software product and governance infrastructure service.</w:t>
      </w:r>
    </w:p>
    <w:p>
      <w:pPr>
        <w:spacing w:before="80" w:after="80"/>
      </w:pPr>
    </w:p>
    <w:p>
      <w:pPr>
        <w:pStyle w:val="Heading2"/>
        <w:spacing w:before="240" w:after="80"/>
      </w:pPr>
      <w:r>
        <w:rPr>
          <w:rFonts w:ascii="Arial" w:cs="Arial" w:eastAsia="Arial" w:hAnsi="Arial"/>
          <w:b/>
          <w:bCs/>
          <w:color w:val="1A3A5C"/>
          <w:sz w:val="22"/>
          <w:szCs w:val="22"/>
        </w:rPr>
        <w:t xml:space="preserve">3.2  Technological in Nature</w:t>
      </w:r>
    </w:p>
    <w:p>
      <w:pPr>
        <w:spacing w:before="80" w:after="80"/>
      </w:pPr>
      <w:r>
        <w:rPr>
          <w:rFonts w:ascii="Arial" w:cs="Arial" w:eastAsia="Arial" w:hAnsi="Arial"/>
          <w:color w:val="2C2C2C"/>
          <w:sz w:val="20"/>
          <w:szCs w:val="20"/>
        </w:rPr>
        <w:t xml:space="preserve">All research activities rely fundamentally on principles of computer science, software engineering, and applied mathematics. Specific technological disciplines involved include: database architecture and optimization (PostgreSQL), API design and development (FastAPI, RESTful architecture), algorithm design (weighted composite scoring, bilateral risk modeling), natural language processing and AI integration (Anthropic Claude API, prompt engineering), data engineering (ETL pipeline design, multi-source federal data ingestion), and network architecture (Cloudflare tunnel configuration, CORS management, service deployment).</w:t>
      </w:r>
    </w:p>
    <w:p>
      <w:pPr>
        <w:spacing w:before="80" w:after="80"/>
      </w:pPr>
    </w:p>
    <w:p>
      <w:pPr>
        <w:pStyle w:val="Heading2"/>
        <w:spacing w:before="240" w:after="80"/>
      </w:pPr>
      <w:r>
        <w:rPr>
          <w:rFonts w:ascii="Arial" w:cs="Arial" w:eastAsia="Arial" w:hAnsi="Arial"/>
          <w:b/>
          <w:bCs/>
          <w:color w:val="1A3A5C"/>
          <w:sz w:val="22"/>
          <w:szCs w:val="22"/>
        </w:rPr>
        <w:t xml:space="preserve">3.3  Elimination of Uncertainty</w:t>
      </w:r>
    </w:p>
    <w:p>
      <w:pPr>
        <w:spacing w:before="80" w:after="80"/>
      </w:pPr>
      <w:r>
        <w:rPr>
          <w:rFonts w:ascii="Arial" w:cs="Arial" w:eastAsia="Arial" w:hAnsi="Arial"/>
          <w:color w:val="2C2C2C"/>
          <w:sz w:val="20"/>
          <w:szCs w:val="20"/>
        </w:rPr>
        <w:t xml:space="preserve">Substantial technical uncertainty existed at the initiation of each development activity. The principal uncertainty in each case was whether the intended capability could be achieved at all, whether the specific technical approach chosen would produce the desired result, and whether the resulting system would perform reliably at scale. Evidence of this uncertainty includes the multiple iterations of the Integra Core backend (rebuilt six or more times as documented in session logs), the iterative development of the FPS scoring algorithm, and the novel nature of the bilateral risk reading architecture which had no prior art to reference.</w:t>
      </w:r>
    </w:p>
    <w:p>
      <w:pPr>
        <w:spacing w:before="80" w:after="80"/>
      </w:pPr>
    </w:p>
    <w:p>
      <w:pPr>
        <w:pStyle w:val="Heading2"/>
        <w:spacing w:before="240" w:after="80"/>
      </w:pPr>
      <w:r>
        <w:rPr>
          <w:rFonts w:ascii="Arial" w:cs="Arial" w:eastAsia="Arial" w:hAnsi="Arial"/>
          <w:b/>
          <w:bCs/>
          <w:color w:val="1A3A5C"/>
          <w:sz w:val="22"/>
          <w:szCs w:val="22"/>
        </w:rPr>
        <w:t xml:space="preserve">3.4  Process of Experimentation</w:t>
      </w:r>
    </w:p>
    <w:p>
      <w:pPr>
        <w:spacing w:before="80" w:after="80"/>
      </w:pPr>
      <w:r>
        <w:rPr>
          <w:rFonts w:ascii="Arial" w:cs="Arial" w:eastAsia="Arial" w:hAnsi="Arial"/>
          <w:color w:val="2C2C2C"/>
          <w:sz w:val="20"/>
          <w:szCs w:val="20"/>
        </w:rPr>
        <w:t xml:space="preserve">A systematic process of experimentation was employed throughout the development period. This process involved: formulation of hypotheses regarding technical approaches; testing of approaches through prototype development and deployment; evaluation of results against desired outcomes; identification of failures and redesign; and iterative refinement toward the qualifying objective. The development history documented in session logs, code revision history, and architectural documentation records demonstrates this iterative experimental process across all business components.</w:t>
      </w:r>
    </w:p>
    <w:p>
      <w:r>
        <w:br w:type="page"/>
      </w:r>
    </w:p>
    <w:p>
      <w:pPr>
        <w:pStyle w:val="Heading1"/>
        <w:spacing w:before="360" w:after="120"/>
      </w:pPr>
      <w:r>
        <w:rPr>
          <w:rFonts w:ascii="Arial" w:cs="Arial" w:eastAsia="Arial" w:hAnsi="Arial"/>
          <w:b/>
          <w:bCs/>
          <w:color w:val="1A3A5C"/>
          <w:sz w:val="28"/>
          <w:szCs w:val="28"/>
        </w:rPr>
        <w:t xml:space="preserve">Section 4: Technical Activities Log by Tax Year</w:t>
      </w:r>
    </w:p>
    <w:p>
      <w:pPr>
        <w:spacing w:before="80" w:after="80"/>
      </w:pPr>
      <w:r>
        <w:rPr>
          <w:rFonts w:ascii="Arial" w:cs="Arial" w:eastAsia="Arial" w:hAnsi="Arial"/>
          <w:color w:val="2C2C2C"/>
          <w:sz w:val="20"/>
          <w:szCs w:val="20"/>
        </w:rPr>
        <w:t xml:space="preserve">The following table documents qualifying research activities organized by tax year, activity category, technical description, and four-part test element satisfied. This log is derived from session records, code commits, architectural documentation, and the researcher's contemporaneous notes.</w:t>
      </w:r>
    </w:p>
    <w:p>
      <w:pPr>
        <w:spacing w:before="80" w:after="80"/>
      </w:pPr>
    </w:p>
    <w:p>
      <w:pPr>
        <w:pStyle w:val="Heading2"/>
        <w:spacing w:before="240" w:after="80"/>
      </w:pPr>
      <w:r>
        <w:rPr>
          <w:rFonts w:ascii="Arial" w:cs="Arial" w:eastAsia="Arial" w:hAnsi="Arial"/>
          <w:b/>
          <w:bCs/>
          <w:color w:val="1A3A5C"/>
          <w:sz w:val="22"/>
          <w:szCs w:val="22"/>
        </w:rPr>
        <w:t xml:space="preserve">4.1  Tax Year 2023</w:t>
      </w:r>
    </w:p>
    <w:p>
      <w:pPr>
        <w:spacing w:before="80" w:after="80"/>
      </w:pPr>
      <w:r>
        <w:rPr>
          <w:rFonts w:ascii="Arial" w:cs="Arial" w:eastAsia="Arial" w:hAnsi="Arial"/>
          <w:color w:val="2C2C2C"/>
          <w:sz w:val="20"/>
          <w:szCs w:val="20"/>
        </w:rPr>
        <w:t xml:space="preserve">Development during this period was conducted under the predecessor product identity ("Aegis" / "Sentiarch") before renaming to Meridia. All activities constitute qualified research toward the same underlying business components.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200"/>
        <w:gridCol w:w="1960"/>
      </w:tblGrid>
      <w:t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Activity / Component</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Technical Description</w:t>
            </w:r>
          </w:p>
        </w:tc>
        <w:tc>
          <w:tcPr>
            <w:tcW w:type="dxa" w:w="1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Four-Part Test</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2023 Q1-Q2</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Architecture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Core System Architecture Design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Original design of the governed financial intelligence architecture. Development of the multi-tier WayPoint product framework (Core, Edge, Crown). Creation of the three-pillar system philosophy (Truth, Stewardship, Elevation). Design of the governed intelligence paradigm — AI insights locked pending multi-party governance approval.</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All four parts: new capability, software engineering, uncertainty in architecture viability, iterative design process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2023 Q2-Q3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Algorithm Design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Financial Positioning System (FPS) Algorithm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Development of the five-component FPS composite scoring algorithm. Research into appropriate weighting methodology for net position, liquidity coverage, DSCR, runway, and distribution alignment. Design of normalization methodology across diverse asset classes and entity types. Iterative testing of scoring weights and calibration.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novel algorithm, applied mathematics/CS, uncertainty in weighting validity, iterative calibration</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2023 Q3-Q4</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Product Architecture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Trust Index Engine Design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Design of four-dimension behavioral and governance scoring framework. Original research into behavioral consistency measurement, governance adherence quantification, communication reliability tracking, and commitment fulfillment scoring. Development of temporal pattern analysis methodology.</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All four parts: novel instrument, software engineering, uncertainty in behavioral measurement validity, iterative design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2023 Q3-Q4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Architecture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WayPoint Tier Architecture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Development of differentiated product architecture across five tiers. Original research into ChexSystems alternative banking pathways for Renaissance tier. Edge tier risk model research for cannabis, creator, and seasonal trade verticals. Crown tier multi-entity governance framework design.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new product framework, technical research, uncertainty in tier viability, iterative refinement</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2023 Q4</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Documentation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Technical Specification Development</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Development of OpenAPI specifications for partner integration (NGE Spec Skeletons 1 and 2). Architecture appendices (D, H, K, L) documenting WayPoint FPS tiers, Trust &amp; Capital Stack, Renaissance &amp; Edge verticals, and Manus wearable layer. EnvoyOS framework for node-to-council architecture.</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Permitted purpose, technological in nature, uncertainty in specification completeness, iterative documentation</w:t>
            </w:r>
          </w:p>
        </w:tc>
      </w:tr>
    </w:tbl>
    <w:p>
      <w:pPr>
        <w:spacing w:before="80" w:after="80"/>
      </w:pPr>
    </w:p>
    <w:p>
      <w:pPr>
        <w:pStyle w:val="Heading2"/>
        <w:spacing w:before="240" w:after="80"/>
      </w:pPr>
      <w:r>
        <w:rPr>
          <w:rFonts w:ascii="Arial" w:cs="Arial" w:eastAsia="Arial" w:hAnsi="Arial"/>
          <w:b/>
          <w:bCs/>
          <w:color w:val="1A3A5C"/>
          <w:sz w:val="22"/>
          <w:szCs w:val="22"/>
        </w:rPr>
        <w:t xml:space="preserve">4.2  Tax Year 2024</w:t>
      </w:r>
    </w:p>
    <w:p>
      <w:pPr>
        <w:spacing w:before="80" w:after="80"/>
      </w:pPr>
      <w:r>
        <w:rPr>
          <w:rFonts w:ascii="Arial" w:cs="Arial" w:eastAsia="Arial" w:hAnsi="Arial"/>
          <w:color w:val="2C2C2C"/>
          <w:sz w:val="20"/>
          <w:szCs w:val="20"/>
        </w:rPr>
        <w:t xml:space="preserve">Development during this period accelerated significantly, with first prototype deployment, institutional partner meetings, and substantial backend development.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200"/>
        <w:gridCol w:w="1960"/>
      </w:tblGrid>
      <w:t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Activity / Component</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Technical Description</w:t>
            </w:r>
          </w:p>
        </w:tc>
        <w:tc>
          <w:tcPr>
            <w:tcW w:type="dxa" w:w="1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Four-Part Test</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2024 Q1</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Frontend Development</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Index8.html Prototype — Version 1</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Development of the WayPoint Crown Financial Positioning System console interface. Design of the FPS ring visualization, Trust Index display, entity management panel, scenario engine, and Aletheia interaction panel. HTML/CSS/JavaScript single-file architecture for maximum portability.</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All four parts: new interface paradigm, software engineering, uncertainty in UI architecture, iterative design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2024 Q1-Q2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Meridia Core NAS Deployment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Deployment of Synology DS925+ NAS server with 2x6TB RAID 1 storage, 2x1TB NVMe cache, 34GB RAM, DSM operating system with 2FA and Btrfs encryption. Configuration of PostgreSQL container. Research into self-hosted database architecture for sensitive financial data governance.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new infrastructure, computer science/networking, uncertainty in configuration, iterative deployment</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2024 Q2</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Database Design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PostgreSQL Schema Architecture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Design and deployment of meridia_edu database schema with 17 tables and 2 views. Education schema for Georgia K-12 standards. Research into relational hierarchy modeling for 6,030 standards. Development of extractor.py (Georgia CASE API extraction), loader.py (standards loading with hierarchy linking), and SQLAlchemy ORM models.</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All four parts: novel schema design, database engineering, uncertainty in hierarchy modeling, iterative schema development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2024 Q2-Q3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Data Engineering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Georgia Standards Data Pipeline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Development of automated extraction pipeline for 6,030 Georgia K-12 standards (ELA, Mathematics, Computer Science). Integration with Georgia CASE API. PostgreSQL loading with full hierarchy linking across grade levels and subject domains. What_Should_My_Child_Know.html browser interface.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new pipeline, software engineering/data engineering, uncertainty in API integration, iterative development</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2024 Q3</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Stakeholder Validation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Keith Mosley Technical Review</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Technical architecture review session with Keith Mosley, Enterprise Architect at Genuine Parts Company (previously built 100M+ concurrent request payment systems at Home Depot). Review of data pipeline architecture, encryption design, and customer interaction flow. RelayFi.com comparative analysis. Documentation insufficiency identified as gap requiring remediation.</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Permitted purpose, technological in nature, uncertainty in architecture adequacy, experimentation through expert review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2024 Q3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Stakeholder Validation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Andre Waits Compliance Review — Sept 30, 2025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Technical review session with Andre Waits, VP Global Card Operations, JPMorgan Chase. Review of compliance cascade architecture, data ingestion requirements, differentiated report generation design, and CRA heat map architecture. Recommended data sources: Monda AI, Data Lists, Exact Data, Polestar, SCIKIQ, Data Q. Institutional prototype commitment pending.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Permitted purpose, technological in nature, uncertainty in compliance architecture adequacy, experimentation through expert review</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2024 Q4</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Backend Development</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Integra Core FastAPI Backend — Initial Build</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Initial development of FastAPI-based backend service. Python 3.11+, FastAPI, Pydantic v2, Uvicorn ASGI server. Development of 9 core API endpoints: position, trust-index, entities, signals, governance/alerts, governance/approve, scenario, reports/{audience}. PostgreSQL integration architecture. Pydantic model definitions for all data structures.</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All four parts: new system, software engineering, uncertainty in API architecture, iterative build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2024 Q4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Algorithm Design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Differentiated Report Generation Engine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Development of audience-differentiated report generation system producing five distinct report types from the same underlying position data: board (strategic), technical (methodology/data lineage), regulator (compliance posture), family (plain language), governance (entity/decision cascade). Required original research into audience-specific financial communication frameworks.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novel report architecture, software engineering/AI, uncertainty in differentiation methodology, iterative development</w:t>
            </w:r>
          </w:p>
        </w:tc>
      </w:tr>
    </w:tbl>
    <w:p>
      <w:pPr>
        <w:spacing w:before="80" w:after="80"/>
      </w:pPr>
    </w:p>
    <w:p>
      <w:pPr>
        <w:pStyle w:val="Heading2"/>
        <w:spacing w:before="240" w:after="80"/>
      </w:pPr>
      <w:r>
        <w:rPr>
          <w:rFonts w:ascii="Arial" w:cs="Arial" w:eastAsia="Arial" w:hAnsi="Arial"/>
          <w:b/>
          <w:bCs/>
          <w:color w:val="1A3A5C"/>
          <w:sz w:val="22"/>
          <w:szCs w:val="22"/>
        </w:rPr>
        <w:t xml:space="preserve">4.3  Tax Year 2025</w:t>
      </w:r>
    </w:p>
    <w:p>
      <w:pPr>
        <w:spacing w:before="80" w:after="80"/>
      </w:pPr>
      <w:r>
        <w:rPr>
          <w:rFonts w:ascii="Arial" w:cs="Arial" w:eastAsia="Arial" w:hAnsi="Arial"/>
          <w:color w:val="2C2C2C"/>
          <w:sz w:val="20"/>
          <w:szCs w:val="20"/>
        </w:rPr>
        <w:t xml:space="preserve">The most intensive development period, including deployment of the Cloudflare tunnel infrastructure, Plaid production approval, Anthropic API integration, live system deployment, and the full five-entity data architecture.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200"/>
        <w:gridCol w:w="1960"/>
      </w:tblGrid>
      <w:t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Activity / Component</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Technical Description</w:t>
            </w:r>
          </w:p>
        </w:tc>
        <w:tc>
          <w:tcPr>
            <w:tcW w:type="dxa" w:w="1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Four-Part Test</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2025 Q1</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Data Engineering</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HMDA Data Pipeline Development</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Development of HMDA loan-level data ingestion pipeline. Scripts: pull_hmda_v3.py, pull_hmda_fixed.py, pull_hmda_final.py. Research into CFPB HMDA public API architecture. Georgia and Atlanta MSA data scope. Institution-level loan data filtering and geographic indexing. Failed iterations documented in version history.</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All four parts: new data pipeline, software/data engineering, uncertainty in API integration, iterative build with documented failures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2025 Q1-Q2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Data Engineering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FFIEC Census Data Pipeline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Development of FFIEC Census Flat File ingestion pipeline (load_ffiec.py, load_ffiec_2024.py). Research into 1,000+ field census tract data structure. Distressed and Underserved tract flag integration. PostGIS geographic indexing design. Integration with alter_census.py for schema migration and fix_census_table.py for data integrity.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new pipeline, data engineering, uncertainty in data structure complexity, iterative development</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2025 Q1-Q2</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Data Engineering</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FRED Economic Data Pipeline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Development of fred_data_pull.py (48.8KB) — automated Federal Reserve Economic Data ingestion. Real-time macro economic indicator integration: Federal Funds Rate, 30-year mortgage rate, 10-year Treasury, Prime Rate, CPI, unemployment rates. API integration with FRED REST service.</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All four parts: new pipeline, software/data engineering, uncertainty in macro data integration, iterative development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2025 Q2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Cloudflare Tunnel Configuration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Research and deployment of Cloudflare Zero Trust tunnel architecture routing public HTTPS traffic to on-premise NAS and ROG workstation backend. DNS configuration for integra.meridiahq.com and meridiahq.com. CORS middleware configuration. IP address conflict resolution between NAS (192.168.0.160) and ROG Ethernet (192.168.0.141) / WiFi (192.168.1.158) interfaces. Port conflict resolution (8000/8001).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new infrastructure, networking/security engineering, uncertainty in routing architecture, iterative configuration</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2025 Q2</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Compliance Research</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Plaid Production Approval Process</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Research and completion of Plaid production approval process: 11 attestations covering data security, privacy policy, terms of service, and compliance requirements. Development of Plaid integration architecture (test_plaid.py, test_plaid2.py, fix_plaid.py). OAuth 2.0 credential management. Production API credential management architecture.</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All four parts: new compliance integration, software engineering, uncertainty in approval requirements, iterative compliance process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2025 Q2-Q3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Backend Development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Integra Core — Multiple Rebuild Iterations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Six or more complete rebuild iterations of the Integra Core backend as architectural requirements evolved. Each rebuild represented a documented experimental cycle: hypothesis (this architecture will work), test (build and deploy), evaluation (does it satisfy Keith/Andre requirements), failure identification, redesign. Final architecture: router-based FastAPI with entity-aware endpoints, mock data layer, and Aletheia integration.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core system, software engineering, uncertainty explicitly documented through rebuild cycles, iterative experimentation</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2025 Q3</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AI Integration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Aletheia Engine Development</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Development of Anthropic Claude API integration for real-time financial intelligence generation. aletheia_engine.py: system prompt architecture for position-aware AI responses, multi-turn conversation history management, audience-differentiated report generation prompts, entity context injection from live database. Three endpoint architecture: chat, report, context transparency.</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All four parts: novel AI integration, software/AI engineering, uncertainty in AI response quality and grounding, iterative prompt engineering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2025 Q3-Q4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Architecture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Five-Entity Demo Architecture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Design and implementation of five-entity demonstration architecture spanning all WayPoint tiers: Hargrove Family Office (Crown, FPS 92.8), Vantage Financial Partners (Institutional, FPS 71.2), Cornerstone AME Collective (Core, FPS 58.4), Gulf South Properties LLC (Edge, FPS 44.1), Marcus Thompson (Renaissance, FPS 31.6). Full position, trust index, and signals data for each entity.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new data architecture, software engineering, uncertainty in representative data design, iterative refinement</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2025 Q4</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Governance Architecture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Network Participation Agreement Framework</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Design of the Meridia Network Participation Agreement — a nine-part governance framework establishing the bilateral read mandate, non-extractive operating principle, AI accountability mandate, RFIC collaborative fund structure, redundancy architecture, trust structuring framework, and assurance policy FBO structure. Research into fintech-bank partnership governance frameworks, CRA qualification documentation, and AI governance standards.</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Permitted purpose, technological/legal research, uncertainty in governance framework adequacy, iterative design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2025 Q4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Data Engineering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CRA Intelligence Layer Architecture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Research and design of the CRA intelligence layer integrating FFIEC, HMDA, FDIC, ACS, BLS, CFPB, and CDFI Fund data sources. Geographic heat map architecture for LMI tract coverage analysis. CRA performance measurement methodology aligned to OCC examination procedures. Compliance cascade documentation framework.</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new intelligence system, data engineering, uncertainty in multi-source integration, iterative design</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2025 Q4</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Cognitive Architecture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Recess for AI — Cognitive Development Platform Design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Research and design of six-component AI cognitive development architecture: Correction Ledger (operative correction encoding), State Graph (cognitive architecture mapping), Developmental Protocol (learning sequence framework), Precedent Engine (governed decision precedent system), Self-Assessment Layer (autonomous quality evaluation), Reverse Engineering Engine. PostgreSQL cognitive schema deployment (96 rows, 7 tables, 15 session logs, 18 corrections, 14 precedents, 21 state graph entries).</w:t>
            </w:r>
          </w:p>
        </w:tc>
        <w:tc>
          <w:tcPr>
            <w:tcW w:type="dxa" w:w="1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All four parts: novel AI architecture, CS/AI engineering, uncertainty in cognitive continuity viability, iterative design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2025 Q4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Frontend Integration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Index8-live.html — API Wiring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Development of integra-wiring.js API integration layer connecting Index8-live.html frontend to live Integra Core backend. Replacement of all static/mock data with live API responses. Entity-aware data loading for position, trust index, entities, signals, governance alerts, macro indicators. Aletheia sendMessage() override routing chat to live Claude API endpoint.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All four parts: new integration architecture, software engineering, uncertainty in frontend/backend integration, iterative wiring</w:t>
            </w:r>
          </w:p>
        </w:tc>
      </w:tr>
    </w:tbl>
    <w:p>
      <w:r>
        <w:br w:type="page"/>
      </w:r>
    </w:p>
    <w:p>
      <w:pPr>
        <w:pStyle w:val="Heading1"/>
        <w:spacing w:before="360" w:after="120"/>
      </w:pPr>
      <w:r>
        <w:rPr>
          <w:rFonts w:ascii="Arial" w:cs="Arial" w:eastAsia="Arial" w:hAnsi="Arial"/>
          <w:b/>
          <w:bCs/>
          <w:color w:val="1A3A5C"/>
          <w:sz w:val="28"/>
          <w:szCs w:val="28"/>
        </w:rPr>
        <w:t xml:space="preserve">Section 5: Qualified Research Expenditure Summary</w:t>
      </w:r>
    </w:p>
    <w:p>
      <w:pPr>
        <w:spacing w:before="80" w:after="80"/>
      </w:pPr>
      <w:r>
        <w:rPr>
          <w:rFonts w:ascii="Arial" w:cs="Arial" w:eastAsia="Arial" w:hAnsi="Arial"/>
          <w:color w:val="2C2C2C"/>
          <w:sz w:val="20"/>
          <w:szCs w:val="20"/>
        </w:rPr>
        <w:t xml:space="preserve">The following table summarizes estimated Qualified Research Expenditures (QREs) by tax year for the Alternative Simplified Credit (ASC) method calculation. These estimates are based on the researcher's time records, documented development activities, and reasonable hourly rate for the expertise level applied. Final QRE calculations should be prepared and certified by a qualified R&amp;D tax specialist.</w:t>
      </w:r>
    </w:p>
    <w:p>
      <w:pPr>
        <w:spacing w:before="80" w:after="80"/>
      </w:pPr>
    </w:p>
    <w:p>
      <w:pPr>
        <w:spacing w:before="80" w:after="80"/>
      </w:pPr>
      <w:r>
        <w:rPr>
          <w:rFonts w:ascii="Arial" w:cs="Arial" w:eastAsia="Arial" w:hAnsi="Arial"/>
          <w:color w:val="2C2C2C"/>
          <w:sz w:val="20"/>
          <w:szCs w:val="20"/>
        </w:rPr>
        <w:t xml:space="preserve">Note: Under the ASC method, the credit is 14% of QREs exceeding 50% of the average QREs for the three preceding years. For a startup with no prior QRE history, the first year credit is 6% of total QREs.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1800"/>
        <w:gridCol w:w="1760"/>
      </w:tblGrid>
      <w:t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Tax Year</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Activity Description</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QRE Type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Estimated Hours</w:t>
            </w:r>
          </w:p>
        </w:tc>
        <w:tc>
          <w:tcPr>
            <w:tcW w:type="dxa" w:w="1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2023</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Core architecture design, FPS algorithm development, Trust Index design, WayPoint tier architecture, technical specification development</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400–600 hrs estimated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Rate: $100-$150/hr. Document with contemporaneous time reconstruction.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Appendix documentation (D, H, K, L), OpenAPI specification development (NGE Spec Skeletons)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150–200 hrs estimated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Technical documentation constitutes qualifying research documentation.</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2024</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Index8.html prototype development (multiple versions), NAS infrastructure deployment, PostgreSQL schema design</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400–600 hrs estimated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Rate: $100-$150/hr. NAS hardware qualifies as research supply.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Georgia Standards data pipeline (extractor.py, loader.py, schema.sql), API integration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200–300 hrs estimated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Data pipeline development is qualifying research activity.</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2024</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Keith Mosley and Andre Waits technical review sessions</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40–60 hrs estimated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Third-party technical review is part of experimentation process.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Integra Core initial backend development, differentiated report engine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300–500 hrs estimated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Core software development. Multiple rebuild iterations documented.</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2025</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HMDA, FFIEC, FRED data pipeline development (multiple script versions)</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300–500 hrs estimated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Data engineering with documented iteration through failed versions.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Cloudflare tunnel, infrastructure deployment, port conflict resolution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80–120 hrs estimated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Network infrastructure research and configuration.</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2025</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Plaid integration research and production approval process</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60–80 hrs estimated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Compliance integration research qualifies under permitted purpose.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Integra Core 6+ rebuild iterations (documented)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400–600 hrs estimated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Documented rebuild cycles are the strongest evidence of experimentation.</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2025</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Aletheia engine development, Claude API integration, prompt engineering</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200–300 hrs estimated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AI integration research is qualifying technological activity.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Cognitive database schema, Recess for AI architecture design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Wages (founder 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150–200 hrs estimated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Novel AI cognitive architecture constitutes qualifying research.</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2025</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Rajinder M. (Upwork contractor) — data pipeline tasks</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Contract (65%)</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~$15/hr × hours engaged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C2C2C"/>
                <w:sz w:val="17"/>
                <w:szCs w:val="17"/>
              </w:rPr>
              <w:t xml:space="preserve">65% of contractor costs are qualifying QREs. Document invoice records.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2025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Anthropic API credits, Cloudflare subscription, development tools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Supplies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Actual costs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7"/>
                <w:szCs w:val="17"/>
              </w:rPr>
              <w:t xml:space="preserve">Software subscriptions directly tied to research may qualify — verify with specialist. Hardware (NAS, ROG workstation components) qualifies as supplies.</w:t>
            </w:r>
          </w:p>
        </w:tc>
      </w:tr>
    </w:tbl>
    <w:p>
      <w:pPr>
        <w:spacing w:before="80" w:after="80"/>
      </w:pPr>
    </w:p>
    <w:p>
      <w:pPr>
        <w:spacing w:before="120" w:after="80"/>
      </w:pPr>
      <w:r>
        <w:rPr>
          <w:rFonts w:ascii="Arial" w:cs="Arial" w:eastAsia="Arial" w:hAnsi="Arial"/>
          <w:b/>
          <w:bCs/>
          <w:color w:val="1A3A5C"/>
          <w:sz w:val="20"/>
          <w:szCs w:val="20"/>
        </w:rPr>
        <w:t xml:space="preserve">Estimated Total QREs (2023–2025): </w:t>
      </w:r>
      <w:r>
        <w:rPr>
          <w:rFonts w:ascii="Arial" w:cs="Arial" w:eastAsia="Arial" w:hAnsi="Arial"/>
          <w:b/>
          <w:bCs/>
          <w:color w:val="2C6E49"/>
          <w:sz w:val="20"/>
          <w:szCs w:val="20"/>
        </w:rPr>
        <w:t xml:space="preserve">$180,000 – $320,000</w:t>
      </w:r>
      <w:r>
        <w:rPr>
          <w:rFonts w:ascii="Arial" w:cs="Arial" w:eastAsia="Arial" w:hAnsi="Arial"/>
          <w:color w:val="666666"/>
          <w:sz w:val="20"/>
          <w:szCs w:val="20"/>
        </w:rPr>
        <w:t xml:space="preserve"> (before specialist review and adjustment)</w:t>
      </w:r>
    </w:p>
    <w:p>
      <w:pPr>
        <w:spacing w:before="40" w:after="80"/>
      </w:pPr>
      <w:r>
        <w:rPr>
          <w:rFonts w:ascii="Arial" w:cs="Arial" w:eastAsia="Arial" w:hAnsi="Arial"/>
          <w:b/>
          <w:bCs/>
          <w:color w:val="1A3A5C"/>
          <w:sz w:val="20"/>
          <w:szCs w:val="20"/>
        </w:rPr>
        <w:t xml:space="preserve">Estimated Credit Range (ASC Method): </w:t>
      </w:r>
      <w:r>
        <w:rPr>
          <w:rFonts w:ascii="Arial" w:cs="Arial" w:eastAsia="Arial" w:hAnsi="Arial"/>
          <w:b/>
          <w:bCs/>
          <w:color w:val="2C6E49"/>
          <w:sz w:val="20"/>
          <w:szCs w:val="20"/>
        </w:rPr>
        <w:t xml:space="preserve">$25,000 – $45,000</w:t>
      </w:r>
      <w:r>
        <w:rPr>
          <w:rFonts w:ascii="Arial" w:cs="Arial" w:eastAsia="Arial" w:hAnsi="Arial"/>
          <w:color w:val="666666"/>
          <w:sz w:val="20"/>
          <w:szCs w:val="20"/>
        </w:rPr>
        <w:t xml:space="preserve"> (subject to specialist calculation)</w:t>
      </w:r>
    </w:p>
    <w:p>
      <w:pPr>
        <w:spacing w:before="80" w:after="80"/>
      </w:pPr>
      <w:r>
        <w:rPr>
          <w:rFonts w:ascii="Arial" w:cs="Arial" w:eastAsia="Arial" w:hAnsi="Arial"/>
          <w:color w:val="2C2C2C"/>
          <w:sz w:val="20"/>
          <w:szCs w:val="20"/>
        </w:rPr>
        <w:t xml:space="preserve">The PATH Act payroll tax offset election (up to $500,000 against employer payroll taxes) is likely applicable if Meridia Holdings LLC / Traverse Code Inc. has had less than $5 million in gross receipts for all years and has had gross receipts for fewer than five years. This election converts the credit to immediate cash value against payroll tax liabilities rather than requiring offsetting income tax.</w:t>
      </w:r>
    </w:p>
    <w:p>
      <w:r>
        <w:br w:type="page"/>
      </w:r>
    </w:p>
    <w:p>
      <w:pPr>
        <w:pStyle w:val="Heading1"/>
        <w:spacing w:before="360" w:after="120"/>
      </w:pPr>
      <w:r>
        <w:rPr>
          <w:rFonts w:ascii="Arial" w:cs="Arial" w:eastAsia="Arial" w:hAnsi="Arial"/>
          <w:b/>
          <w:bCs/>
          <w:color w:val="1A3A5C"/>
          <w:sz w:val="28"/>
          <w:szCs w:val="28"/>
        </w:rPr>
        <w:t xml:space="preserve">Section 6: Supporting Documentation Inventory</w:t>
      </w:r>
    </w:p>
    <w:p>
      <w:pPr>
        <w:spacing w:before="80" w:after="80"/>
      </w:pPr>
      <w:r>
        <w:rPr>
          <w:rFonts w:ascii="Arial" w:cs="Arial" w:eastAsia="Arial" w:hAnsi="Arial"/>
          <w:color w:val="2C2C2C"/>
          <w:sz w:val="20"/>
          <w:szCs w:val="20"/>
        </w:rPr>
        <w:t xml:space="preserve">The following documents exist and should be provided to the R&amp;D tax specialist as supporting evidence for the credit study:</w:t>
      </w:r>
    </w:p>
    <w:p>
      <w:pPr>
        <w:spacing w:before="80" w:after="80"/>
      </w:pPr>
    </w:p>
    <w:p>
      <w:pPr>
        <w:pStyle w:val="Heading2"/>
        <w:spacing w:before="240" w:after="80"/>
      </w:pPr>
      <w:r>
        <w:rPr>
          <w:rFonts w:ascii="Arial" w:cs="Arial" w:eastAsia="Arial" w:hAnsi="Arial"/>
          <w:b/>
          <w:bCs/>
          <w:color w:val="1A3A5C"/>
          <w:sz w:val="22"/>
          <w:szCs w:val="22"/>
        </w:rPr>
        <w:t xml:space="preserve">6.1  Code and Technical Artifacts</w:t>
      </w:r>
    </w:p>
    <w:p>
      <w:pPr>
        <w:pStyle w:val="ListParagraph"/>
        <w:numPr>
          <w:ilvl w:val="0"/>
          <w:numId w:val="2"/>
        </w:numPr>
        <w:spacing w:before="40" w:after="40"/>
      </w:pPr>
      <w:r>
        <w:rPr>
          <w:rFonts w:ascii="Arial" w:cs="Arial" w:eastAsia="Arial" w:hAnsi="Arial"/>
          <w:color w:val="2C2C2C"/>
          <w:sz w:val="20"/>
          <w:szCs w:val="20"/>
        </w:rPr>
        <w:t xml:space="preserve">extractor.py — Georgia CASE API extraction script</w:t>
      </w:r>
    </w:p>
    <w:p>
      <w:pPr>
        <w:pStyle w:val="ListParagraph"/>
        <w:numPr>
          <w:ilvl w:val="0"/>
          <w:numId w:val="2"/>
        </w:numPr>
        <w:spacing w:before="40" w:after="40"/>
      </w:pPr>
      <w:r>
        <w:rPr>
          <w:rFonts w:ascii="Arial" w:cs="Arial" w:eastAsia="Arial" w:hAnsi="Arial"/>
          <w:color w:val="2C2C2C"/>
          <w:sz w:val="20"/>
          <w:szCs w:val="20"/>
        </w:rPr>
        <w:t xml:space="preserve">loader.py — PostgreSQL standards loading with hierarchy</w:t>
      </w:r>
    </w:p>
    <w:p>
      <w:pPr>
        <w:pStyle w:val="ListParagraph"/>
        <w:numPr>
          <w:ilvl w:val="0"/>
          <w:numId w:val="2"/>
        </w:numPr>
        <w:spacing w:before="40" w:after="40"/>
      </w:pPr>
      <w:r>
        <w:rPr>
          <w:rFonts w:ascii="Arial" w:cs="Arial" w:eastAsia="Arial" w:hAnsi="Arial"/>
          <w:color w:val="2C2C2C"/>
          <w:sz w:val="20"/>
          <w:szCs w:val="20"/>
        </w:rPr>
        <w:t xml:space="preserve">schema.sql — Full PostgreSQL database schema (17 tables, 2 views)</w:t>
      </w:r>
    </w:p>
    <w:p>
      <w:pPr>
        <w:pStyle w:val="ListParagraph"/>
        <w:numPr>
          <w:ilvl w:val="0"/>
          <w:numId w:val="2"/>
        </w:numPr>
        <w:spacing w:before="40" w:after="40"/>
      </w:pPr>
      <w:r>
        <w:rPr>
          <w:rFonts w:ascii="Arial" w:cs="Arial" w:eastAsia="Arial" w:hAnsi="Arial"/>
          <w:color w:val="2C2C2C"/>
          <w:sz w:val="20"/>
          <w:szCs w:val="20"/>
        </w:rPr>
        <w:t xml:space="preserve">models.py — SQLAlchemy ORM models</w:t>
      </w:r>
    </w:p>
    <w:p>
      <w:pPr>
        <w:pStyle w:val="ListParagraph"/>
        <w:numPr>
          <w:ilvl w:val="0"/>
          <w:numId w:val="2"/>
        </w:numPr>
        <w:spacing w:before="40" w:after="40"/>
      </w:pPr>
      <w:r>
        <w:rPr>
          <w:rFonts w:ascii="Arial" w:cs="Arial" w:eastAsia="Arial" w:hAnsi="Arial"/>
          <w:color w:val="2C2C2C"/>
          <w:sz w:val="20"/>
          <w:szCs w:val="20"/>
        </w:rPr>
        <w:t xml:space="preserve">fred_data_pull.py — FRED economic data pipeline (48.8KB)</w:t>
      </w:r>
    </w:p>
    <w:p>
      <w:pPr>
        <w:pStyle w:val="ListParagraph"/>
        <w:numPr>
          <w:ilvl w:val="0"/>
          <w:numId w:val="2"/>
        </w:numPr>
        <w:spacing w:before="40" w:after="40"/>
      </w:pPr>
      <w:r>
        <w:rPr>
          <w:rFonts w:ascii="Arial" w:cs="Arial" w:eastAsia="Arial" w:hAnsi="Arial"/>
          <w:color w:val="2C2C2C"/>
          <w:sz w:val="20"/>
          <w:szCs w:val="20"/>
        </w:rPr>
        <w:t xml:space="preserve">pull_hmda_v3.py, pull_hmda_fixed.py, pull_hmda_final.py — HMDA pipeline iterations (documents experimentation)</w:t>
      </w:r>
    </w:p>
    <w:p>
      <w:pPr>
        <w:pStyle w:val="ListParagraph"/>
        <w:numPr>
          <w:ilvl w:val="0"/>
          <w:numId w:val="2"/>
        </w:numPr>
        <w:spacing w:before="40" w:after="40"/>
      </w:pPr>
      <w:r>
        <w:rPr>
          <w:rFonts w:ascii="Arial" w:cs="Arial" w:eastAsia="Arial" w:hAnsi="Arial"/>
          <w:color w:val="2C2C2C"/>
          <w:sz w:val="20"/>
          <w:szCs w:val="20"/>
        </w:rPr>
        <w:t xml:space="preserve">load_ffiec.py, load_ffiec_2024.py — FFIEC census data pipeline</w:t>
      </w:r>
    </w:p>
    <w:p>
      <w:pPr>
        <w:pStyle w:val="ListParagraph"/>
        <w:numPr>
          <w:ilvl w:val="0"/>
          <w:numId w:val="2"/>
        </w:numPr>
        <w:spacing w:before="40" w:after="40"/>
      </w:pPr>
      <w:r>
        <w:rPr>
          <w:rFonts w:ascii="Arial" w:cs="Arial" w:eastAsia="Arial" w:hAnsi="Arial"/>
          <w:color w:val="2C2C2C"/>
          <w:sz w:val="20"/>
          <w:szCs w:val="20"/>
        </w:rPr>
        <w:t xml:space="preserve">alter_census.py, fix_census_table.py — Schema iteration scripts (documents experimentation)</w:t>
      </w:r>
    </w:p>
    <w:p>
      <w:pPr>
        <w:pStyle w:val="ListParagraph"/>
        <w:numPr>
          <w:ilvl w:val="0"/>
          <w:numId w:val="2"/>
        </w:numPr>
        <w:spacing w:before="40" w:after="40"/>
      </w:pPr>
      <w:r>
        <w:rPr>
          <w:rFonts w:ascii="Arial" w:cs="Arial" w:eastAsia="Arial" w:hAnsi="Arial"/>
          <w:color w:val="2C2C2C"/>
          <w:sz w:val="20"/>
          <w:szCs w:val="20"/>
        </w:rPr>
        <w:t xml:space="preserve">app/main.py — FastAPI application (current production version)</w:t>
      </w:r>
    </w:p>
    <w:p>
      <w:pPr>
        <w:pStyle w:val="ListParagraph"/>
        <w:numPr>
          <w:ilvl w:val="0"/>
          <w:numId w:val="2"/>
        </w:numPr>
        <w:spacing w:before="40" w:after="40"/>
      </w:pPr>
      <w:r>
        <w:rPr>
          <w:rFonts w:ascii="Arial" w:cs="Arial" w:eastAsia="Arial" w:hAnsi="Arial"/>
          <w:color w:val="2C2C2C"/>
          <w:sz w:val="20"/>
          <w:szCs w:val="20"/>
        </w:rPr>
        <w:t xml:space="preserve">app/mock_data.py — Five-entity data architecture</w:t>
      </w:r>
    </w:p>
    <w:p>
      <w:pPr>
        <w:pStyle w:val="ListParagraph"/>
        <w:numPr>
          <w:ilvl w:val="0"/>
          <w:numId w:val="2"/>
        </w:numPr>
        <w:spacing w:before="40" w:after="40"/>
      </w:pPr>
      <w:r>
        <w:rPr>
          <w:rFonts w:ascii="Arial" w:cs="Arial" w:eastAsia="Arial" w:hAnsi="Arial"/>
          <w:color w:val="2C2C2C"/>
          <w:sz w:val="20"/>
          <w:szCs w:val="20"/>
        </w:rPr>
        <w:t xml:space="preserve">app/routers/ — All API endpoint implementations</w:t>
      </w:r>
    </w:p>
    <w:p>
      <w:pPr>
        <w:pStyle w:val="ListParagraph"/>
        <w:numPr>
          <w:ilvl w:val="0"/>
          <w:numId w:val="2"/>
        </w:numPr>
        <w:spacing w:before="40" w:after="40"/>
      </w:pPr>
      <w:r>
        <w:rPr>
          <w:rFonts w:ascii="Arial" w:cs="Arial" w:eastAsia="Arial" w:hAnsi="Arial"/>
          <w:color w:val="2C2C2C"/>
          <w:sz w:val="20"/>
          <w:szCs w:val="20"/>
        </w:rPr>
        <w:t xml:space="preserve">aletheia_engine.py — AI integration layer</w:t>
      </w:r>
    </w:p>
    <w:p>
      <w:pPr>
        <w:pStyle w:val="ListParagraph"/>
        <w:numPr>
          <w:ilvl w:val="0"/>
          <w:numId w:val="2"/>
        </w:numPr>
        <w:spacing w:before="40" w:after="40"/>
      </w:pPr>
      <w:r>
        <w:rPr>
          <w:rFonts w:ascii="Arial" w:cs="Arial" w:eastAsia="Arial" w:hAnsi="Arial"/>
          <w:color w:val="2C2C2C"/>
          <w:sz w:val="20"/>
          <w:szCs w:val="20"/>
        </w:rPr>
        <w:t xml:space="preserve">integra-wiring.js — Frontend API wiring layer</w:t>
      </w:r>
    </w:p>
    <w:p>
      <w:pPr>
        <w:pStyle w:val="ListParagraph"/>
        <w:numPr>
          <w:ilvl w:val="0"/>
          <w:numId w:val="2"/>
        </w:numPr>
        <w:spacing w:before="40" w:after="40"/>
      </w:pPr>
      <w:r>
        <w:rPr>
          <w:rFonts w:ascii="Arial" w:cs="Arial" w:eastAsia="Arial" w:hAnsi="Arial"/>
          <w:color w:val="2C2C2C"/>
          <w:sz w:val="20"/>
          <w:szCs w:val="20"/>
        </w:rPr>
        <w:t xml:space="preserve">Index8.html, Index8-live.html — Frontend prototype and live version</w:t>
      </w:r>
    </w:p>
    <w:p>
      <w:pPr>
        <w:pStyle w:val="ListParagraph"/>
        <w:numPr>
          <w:ilvl w:val="0"/>
          <w:numId w:val="2"/>
        </w:numPr>
        <w:spacing w:before="40" w:after="40"/>
      </w:pPr>
      <w:r>
        <w:rPr>
          <w:rFonts w:ascii="Arial" w:cs="Arial" w:eastAsia="Arial" w:hAnsi="Arial"/>
          <w:color w:val="2C2C2C"/>
          <w:sz w:val="20"/>
          <w:szCs w:val="20"/>
        </w:rPr>
        <w:t xml:space="preserve">seed_entities.py — Entity seeding architecture</w:t>
      </w:r>
    </w:p>
    <w:p>
      <w:pPr>
        <w:pStyle w:val="ListParagraph"/>
        <w:numPr>
          <w:ilvl w:val="0"/>
          <w:numId w:val="2"/>
        </w:numPr>
        <w:spacing w:before="40" w:after="40"/>
      </w:pPr>
      <w:r>
        <w:rPr>
          <w:rFonts w:ascii="Arial" w:cs="Arial" w:eastAsia="Arial" w:hAnsi="Arial"/>
          <w:color w:val="2C2C2C"/>
          <w:sz w:val="20"/>
          <w:szCs w:val="20"/>
        </w:rPr>
        <w:t xml:space="preserve">deploy_financial_schema.py, deploy_schema.py — Database deployment scripts</w:t>
      </w:r>
    </w:p>
    <w:p>
      <w:pPr>
        <w:spacing w:before="80" w:after="80"/>
      </w:pPr>
    </w:p>
    <w:p>
      <w:pPr>
        <w:pStyle w:val="Heading2"/>
        <w:spacing w:before="240" w:after="80"/>
      </w:pPr>
      <w:r>
        <w:rPr>
          <w:rFonts w:ascii="Arial" w:cs="Arial" w:eastAsia="Arial" w:hAnsi="Arial"/>
          <w:b/>
          <w:bCs/>
          <w:color w:val="1A3A5C"/>
          <w:sz w:val="22"/>
          <w:szCs w:val="22"/>
        </w:rPr>
        <w:t xml:space="preserve">6.2  Architectural Documentation</w:t>
      </w:r>
    </w:p>
    <w:p>
      <w:pPr>
        <w:pStyle w:val="ListParagraph"/>
        <w:numPr>
          <w:ilvl w:val="0"/>
          <w:numId w:val="2"/>
        </w:numPr>
        <w:spacing w:before="40" w:after="40"/>
      </w:pPr>
      <w:r>
        <w:rPr>
          <w:rFonts w:ascii="Arial" w:cs="Arial" w:eastAsia="Arial" w:hAnsi="Arial"/>
          <w:color w:val="2C2C2C"/>
          <w:sz w:val="20"/>
          <w:szCs w:val="20"/>
        </w:rPr>
        <w:t xml:space="preserve">Appendix D — WayPoint FPS &amp; Product Tiers</w:t>
      </w:r>
    </w:p>
    <w:p>
      <w:pPr>
        <w:pStyle w:val="ListParagraph"/>
        <w:numPr>
          <w:ilvl w:val="0"/>
          <w:numId w:val="2"/>
        </w:numPr>
        <w:spacing w:before="40" w:after="40"/>
      </w:pPr>
      <w:r>
        <w:rPr>
          <w:rFonts w:ascii="Arial" w:cs="Arial" w:eastAsia="Arial" w:hAnsi="Arial"/>
          <w:color w:val="2C2C2C"/>
          <w:sz w:val="20"/>
          <w:szCs w:val="20"/>
        </w:rPr>
        <w:t xml:space="preserve">Appendix H — Trust &amp; Capital Stack</w:t>
      </w:r>
    </w:p>
    <w:p>
      <w:pPr>
        <w:pStyle w:val="ListParagraph"/>
        <w:numPr>
          <w:ilvl w:val="0"/>
          <w:numId w:val="2"/>
        </w:numPr>
        <w:spacing w:before="40" w:after="40"/>
      </w:pPr>
      <w:r>
        <w:rPr>
          <w:rFonts w:ascii="Arial" w:cs="Arial" w:eastAsia="Arial" w:hAnsi="Arial"/>
          <w:color w:val="2C2C2C"/>
          <w:sz w:val="20"/>
          <w:szCs w:val="20"/>
        </w:rPr>
        <w:t xml:space="preserve">Appendix K — Renaissance &amp; Edge Verticals</w:t>
      </w:r>
    </w:p>
    <w:p>
      <w:pPr>
        <w:pStyle w:val="ListParagraph"/>
        <w:numPr>
          <w:ilvl w:val="0"/>
          <w:numId w:val="2"/>
        </w:numPr>
        <w:spacing w:before="40" w:after="40"/>
      </w:pPr>
      <w:r>
        <w:rPr>
          <w:rFonts w:ascii="Arial" w:cs="Arial" w:eastAsia="Arial" w:hAnsi="Arial"/>
          <w:color w:val="2C2C2C"/>
          <w:sz w:val="20"/>
          <w:szCs w:val="20"/>
        </w:rPr>
        <w:t xml:space="preserve">Appendix L — Manus Wearable Layer</w:t>
      </w:r>
    </w:p>
    <w:p>
      <w:pPr>
        <w:pStyle w:val="ListParagraph"/>
        <w:numPr>
          <w:ilvl w:val="0"/>
          <w:numId w:val="2"/>
        </w:numPr>
        <w:spacing w:before="40" w:after="40"/>
      </w:pPr>
      <w:r>
        <w:rPr>
          <w:rFonts w:ascii="Arial" w:cs="Arial" w:eastAsia="Arial" w:hAnsi="Arial"/>
          <w:color w:val="2C2C2C"/>
          <w:sz w:val="20"/>
          <w:szCs w:val="20"/>
        </w:rPr>
        <w:t xml:space="preserve">NGE Spec Skeletons 1 &amp; 2 — OpenAPI specifications</w:t>
      </w:r>
    </w:p>
    <w:p>
      <w:pPr>
        <w:pStyle w:val="ListParagraph"/>
        <w:numPr>
          <w:ilvl w:val="0"/>
          <w:numId w:val="2"/>
        </w:numPr>
        <w:spacing w:before="40" w:after="40"/>
      </w:pPr>
      <w:r>
        <w:rPr>
          <w:rFonts w:ascii="Arial" w:cs="Arial" w:eastAsia="Arial" w:hAnsi="Arial"/>
          <w:color w:val="2C2C2C"/>
          <w:sz w:val="20"/>
          <w:szCs w:val="20"/>
        </w:rPr>
        <w:t xml:space="preserve">Meridia Cognitive State v1.docx — Cognitive architecture documentation</w:t>
      </w:r>
    </w:p>
    <w:p>
      <w:pPr>
        <w:pStyle w:val="ListParagraph"/>
        <w:numPr>
          <w:ilvl w:val="0"/>
          <w:numId w:val="2"/>
        </w:numPr>
        <w:spacing w:before="40" w:after="40"/>
      </w:pPr>
      <w:r>
        <w:rPr>
          <w:rFonts w:ascii="Arial" w:cs="Arial" w:eastAsia="Arial" w:hAnsi="Arial"/>
          <w:color w:val="2C2C2C"/>
          <w:sz w:val="20"/>
          <w:szCs w:val="20"/>
        </w:rPr>
        <w:t xml:space="preserve">Aegis System Documentation, Assessment, and Roadmap — Predecessor product documentation</w:t>
      </w:r>
    </w:p>
    <w:p>
      <w:pPr>
        <w:pStyle w:val="ListParagraph"/>
        <w:numPr>
          <w:ilvl w:val="0"/>
          <w:numId w:val="2"/>
        </w:numPr>
        <w:spacing w:before="40" w:after="40"/>
      </w:pPr>
      <w:r>
        <w:rPr>
          <w:rFonts w:ascii="Arial" w:cs="Arial" w:eastAsia="Arial" w:hAnsi="Arial"/>
          <w:color w:val="2C2C2C"/>
          <w:sz w:val="20"/>
          <w:szCs w:val="20"/>
        </w:rPr>
        <w:t xml:space="preserve">Meridia System Mandate v1.0 — Current system architecture specification</w:t>
      </w:r>
    </w:p>
    <w:p>
      <w:pPr>
        <w:pStyle w:val="ListParagraph"/>
        <w:numPr>
          <w:ilvl w:val="0"/>
          <w:numId w:val="2"/>
        </w:numPr>
        <w:spacing w:before="40" w:after="40"/>
      </w:pPr>
      <w:r>
        <w:rPr>
          <w:rFonts w:ascii="Arial" w:cs="Arial" w:eastAsia="Arial" w:hAnsi="Arial"/>
          <w:color w:val="2C2C2C"/>
          <w:sz w:val="20"/>
          <w:szCs w:val="20"/>
        </w:rPr>
        <w:t xml:space="preserve">Network Participation Agreement — Governance framework documentation</w:t>
      </w:r>
    </w:p>
    <w:p>
      <w:pPr>
        <w:spacing w:before="80" w:after="80"/>
      </w:pPr>
    </w:p>
    <w:p>
      <w:pPr>
        <w:pStyle w:val="Heading2"/>
        <w:spacing w:before="240" w:after="80"/>
      </w:pPr>
      <w:r>
        <w:rPr>
          <w:rFonts w:ascii="Arial" w:cs="Arial" w:eastAsia="Arial" w:hAnsi="Arial"/>
          <w:b/>
          <w:bCs/>
          <w:color w:val="1A3A5C"/>
          <w:sz w:val="22"/>
          <w:szCs w:val="22"/>
        </w:rPr>
        <w:t xml:space="preserve">6.3  Session and Development Logs</w:t>
      </w:r>
    </w:p>
    <w:p>
      <w:pPr>
        <w:pStyle w:val="ListParagraph"/>
        <w:numPr>
          <w:ilvl w:val="0"/>
          <w:numId w:val="2"/>
        </w:numPr>
        <w:spacing w:before="40" w:after="40"/>
      </w:pPr>
      <w:r>
        <w:rPr>
          <w:rFonts w:ascii="Arial" w:cs="Arial" w:eastAsia="Arial" w:hAnsi="Arial"/>
          <w:color w:val="2C2C2C"/>
          <w:sz w:val="20"/>
          <w:szCs w:val="20"/>
        </w:rPr>
        <w:t xml:space="preserve">Claude.ai project conversation history (January 2026 – March 2026) — contemporaneous development records</w:t>
      </w:r>
    </w:p>
    <w:p>
      <w:pPr>
        <w:pStyle w:val="ListParagraph"/>
        <w:numPr>
          <w:ilvl w:val="0"/>
          <w:numId w:val="2"/>
        </w:numPr>
        <w:spacing w:before="40" w:after="40"/>
      </w:pPr>
      <w:r>
        <w:rPr>
          <w:rFonts w:ascii="Arial" w:cs="Arial" w:eastAsia="Arial" w:hAnsi="Arial"/>
          <w:color w:val="2C2C2C"/>
          <w:sz w:val="20"/>
          <w:szCs w:val="20"/>
        </w:rPr>
        <w:t xml:space="preserve">PostgreSQL cognitive schema session_log table — 15 documented development sessions with timestamps</w:t>
      </w:r>
    </w:p>
    <w:p>
      <w:pPr>
        <w:pStyle w:val="ListParagraph"/>
        <w:numPr>
          <w:ilvl w:val="0"/>
          <w:numId w:val="2"/>
        </w:numPr>
        <w:spacing w:before="40" w:after="40"/>
      </w:pPr>
      <w:r>
        <w:rPr>
          <w:rFonts w:ascii="Arial" w:cs="Arial" w:eastAsia="Arial" w:hAnsi="Arial"/>
          <w:color w:val="2C2C2C"/>
          <w:sz w:val="20"/>
          <w:szCs w:val="20"/>
        </w:rPr>
        <w:t xml:space="preserve">Cognitive State Document correction_ledger — 18 documented architectural corrections (evidence of experimentation)</w:t>
      </w:r>
    </w:p>
    <w:p>
      <w:pPr>
        <w:pStyle w:val="ListParagraph"/>
        <w:numPr>
          <w:ilvl w:val="0"/>
          <w:numId w:val="2"/>
        </w:numPr>
        <w:spacing w:before="40" w:after="40"/>
      </w:pPr>
      <w:r>
        <w:rPr>
          <w:rFonts w:ascii="Arial" w:cs="Arial" w:eastAsia="Arial" w:hAnsi="Arial"/>
          <w:color w:val="2C2C2C"/>
          <w:sz w:val="20"/>
          <w:szCs w:val="20"/>
        </w:rPr>
        <w:t xml:space="preserve">Cognitive State Document decision_precedents — 14 governed design decisions with rationale</w:t>
      </w:r>
    </w:p>
    <w:p>
      <w:pPr>
        <w:pStyle w:val="ListParagraph"/>
        <w:numPr>
          <w:ilvl w:val="0"/>
          <w:numId w:val="2"/>
        </w:numPr>
        <w:spacing w:before="40" w:after="40"/>
      </w:pPr>
      <w:r>
        <w:rPr>
          <w:rFonts w:ascii="Arial" w:cs="Arial" w:eastAsia="Arial" w:hAnsi="Arial"/>
          <w:color w:val="2C2C2C"/>
          <w:sz w:val="20"/>
          <w:szCs w:val="20"/>
        </w:rPr>
        <w:t xml:space="preserve">Cognitive State Document state_graph — 21 architectural state entries</w:t>
      </w:r>
    </w:p>
    <w:p>
      <w:pPr>
        <w:pStyle w:val="ListParagraph"/>
        <w:numPr>
          <w:ilvl w:val="0"/>
          <w:numId w:val="2"/>
        </w:numPr>
        <w:spacing w:before="40" w:after="40"/>
      </w:pPr>
      <w:r>
        <w:rPr>
          <w:rFonts w:ascii="Arial" w:cs="Arial" w:eastAsia="Arial" w:hAnsi="Arial"/>
          <w:color w:val="2C2C2C"/>
          <w:sz w:val="20"/>
          <w:szCs w:val="20"/>
        </w:rPr>
        <w:t xml:space="preserve">GitHub or local version control commit history — if available</w:t>
      </w:r>
    </w:p>
    <w:p>
      <w:pPr>
        <w:spacing w:before="80" w:after="80"/>
      </w:pPr>
    </w:p>
    <w:p>
      <w:pPr>
        <w:pStyle w:val="Heading2"/>
        <w:spacing w:before="240" w:after="80"/>
      </w:pPr>
      <w:r>
        <w:rPr>
          <w:rFonts w:ascii="Arial" w:cs="Arial" w:eastAsia="Arial" w:hAnsi="Arial"/>
          <w:b/>
          <w:bCs/>
          <w:color w:val="1A3A5C"/>
          <w:sz w:val="22"/>
          <w:szCs w:val="22"/>
        </w:rPr>
        <w:t xml:space="preserve">6.4  Third-Party Validation Records</w:t>
      </w:r>
    </w:p>
    <w:p>
      <w:pPr>
        <w:pStyle w:val="ListParagraph"/>
        <w:numPr>
          <w:ilvl w:val="0"/>
          <w:numId w:val="2"/>
        </w:numPr>
        <w:spacing w:before="40" w:after="40"/>
      </w:pPr>
      <w:r>
        <w:rPr>
          <w:rFonts w:ascii="Arial" w:cs="Arial" w:eastAsia="Arial" w:hAnsi="Arial"/>
          <w:color w:val="2C2C2C"/>
          <w:sz w:val="20"/>
          <w:szCs w:val="20"/>
        </w:rPr>
        <w:t xml:space="preserve">Keith Mosley meeting transcript — NAS corpus (technical architecture review, evidence of uncertainty and experimentation)</w:t>
      </w:r>
    </w:p>
    <w:p>
      <w:pPr>
        <w:pStyle w:val="ListParagraph"/>
        <w:numPr>
          <w:ilvl w:val="0"/>
          <w:numId w:val="2"/>
        </w:numPr>
        <w:spacing w:before="40" w:after="40"/>
      </w:pPr>
      <w:r>
        <w:rPr>
          <w:rFonts w:ascii="Arial" w:cs="Arial" w:eastAsia="Arial" w:hAnsi="Arial"/>
          <w:color w:val="2C2C2C"/>
          <w:sz w:val="20"/>
          <w:szCs w:val="20"/>
        </w:rPr>
        <w:t xml:space="preserve">Andre Waits meeting transcript, September 30, 2025 — NAS corpus (compliance review, data source recommendations)</w:t>
      </w:r>
    </w:p>
    <w:p>
      <w:pPr>
        <w:pStyle w:val="ListParagraph"/>
        <w:numPr>
          <w:ilvl w:val="0"/>
          <w:numId w:val="2"/>
        </w:numPr>
        <w:spacing w:before="40" w:after="40"/>
      </w:pPr>
      <w:r>
        <w:rPr>
          <w:rFonts w:ascii="Arial" w:cs="Arial" w:eastAsia="Arial" w:hAnsi="Arial"/>
          <w:color w:val="2C2C2C"/>
          <w:sz w:val="20"/>
          <w:szCs w:val="20"/>
        </w:rPr>
        <w:t xml:space="preserve">Plaid production approval attestations (11 completed) — compliance integration documentation</w:t>
      </w:r>
    </w:p>
    <w:p>
      <w:pPr>
        <w:pStyle w:val="ListParagraph"/>
        <w:numPr>
          <w:ilvl w:val="0"/>
          <w:numId w:val="2"/>
        </w:numPr>
        <w:spacing w:before="40" w:after="40"/>
      </w:pPr>
      <w:r>
        <w:rPr>
          <w:rFonts w:ascii="Arial" w:cs="Arial" w:eastAsia="Arial" w:hAnsi="Arial"/>
          <w:color w:val="2C2C2C"/>
          <w:sz w:val="20"/>
          <w:szCs w:val="20"/>
        </w:rPr>
        <w:t xml:space="preserve">Anthropic API account creation and billing records — AI integration costs</w:t>
      </w:r>
    </w:p>
    <w:p>
      <w:pPr>
        <w:pStyle w:val="ListParagraph"/>
        <w:numPr>
          <w:ilvl w:val="0"/>
          <w:numId w:val="2"/>
        </w:numPr>
        <w:spacing w:before="40" w:after="40"/>
      </w:pPr>
      <w:r>
        <w:rPr>
          <w:rFonts w:ascii="Arial" w:cs="Arial" w:eastAsia="Arial" w:hAnsi="Arial"/>
          <w:color w:val="2C2C2C"/>
          <w:sz w:val="20"/>
          <w:szCs w:val="20"/>
        </w:rPr>
        <w:t xml:space="preserve">Cloudflare account records — tunnel and hosting infrastructure costs</w:t>
      </w:r>
    </w:p>
    <w:p>
      <w:pPr>
        <w:pStyle w:val="ListParagraph"/>
        <w:numPr>
          <w:ilvl w:val="0"/>
          <w:numId w:val="2"/>
        </w:numPr>
        <w:spacing w:before="40" w:after="40"/>
      </w:pPr>
      <w:r>
        <w:rPr>
          <w:rFonts w:ascii="Arial" w:cs="Arial" w:eastAsia="Arial" w:hAnsi="Arial"/>
          <w:color w:val="2C2C2C"/>
          <w:sz w:val="20"/>
          <w:szCs w:val="20"/>
        </w:rPr>
        <w:t xml:space="preserve">Upwork contract records (Rajinder M.) — contractor QRE documentation</w:t>
      </w:r>
    </w:p>
    <w:p>
      <w:pPr>
        <w:pBdr>
          <w:bottom w:val="single" w:color="1A3A5C" w:sz="3" w:space="4"/>
        </w:pBdr>
        <w:spacing w:before="160" w:after="160"/>
      </w:pPr>
    </w:p>
    <w:p>
      <w:pPr>
        <w:pStyle w:val="Heading1"/>
        <w:spacing w:before="360" w:after="120"/>
      </w:pPr>
      <w:r>
        <w:rPr>
          <w:rFonts w:ascii="Arial" w:cs="Arial" w:eastAsia="Arial" w:hAnsi="Arial"/>
          <w:b/>
          <w:bCs/>
          <w:color w:val="1A3A5C"/>
          <w:sz w:val="28"/>
          <w:szCs w:val="28"/>
        </w:rPr>
        <w:t xml:space="preserve">Section 7: Recommended Next Steps</w:t>
      </w:r>
    </w:p>
    <w:p>
      <w:pPr>
        <w:spacing w:before="80" w:after="80"/>
      </w:pPr>
    </w:p>
    <w:p>
      <w:pPr>
        <w:spacing w:before="180" w:after="60"/>
      </w:pPr>
      <w:r>
        <w:rPr>
          <w:rFonts w:ascii="Arial" w:cs="Arial" w:eastAsia="Arial" w:hAnsi="Arial"/>
          <w:b/>
          <w:bCs/>
          <w:color w:val="2C6E49"/>
          <w:sz w:val="20"/>
          <w:szCs w:val="20"/>
        </w:rPr>
        <w:t xml:space="preserve">Step 1 — Engage R&amp;D Tax Specialist</w:t>
      </w:r>
    </w:p>
    <w:p>
      <w:pPr>
        <w:spacing w:before="80" w:after="80"/>
      </w:pPr>
      <w:r>
        <w:rPr>
          <w:rFonts w:ascii="Arial" w:cs="Arial" w:eastAsia="Arial" w:hAnsi="Arial"/>
          <w:color w:val="2C2C2C"/>
          <w:sz w:val="20"/>
          <w:szCs w:val="20"/>
        </w:rPr>
        <w:t xml:space="preserve">Engage a CPA or R&amp;D tax credit specialist with specific software/fintech experience. Most work on contingency (typically 20-30% of credits recovered). Provide this document as the initial technical brief. Request that they conduct a formal R&amp;D tax credit study covering tax years 2023, 2024, and 2025.</w:t>
      </w:r>
    </w:p>
    <w:p>
      <w:pPr>
        <w:spacing w:before="80" w:after="80"/>
      </w:pPr>
    </w:p>
    <w:p>
      <w:pPr>
        <w:spacing w:before="180" w:after="60"/>
      </w:pPr>
      <w:r>
        <w:rPr>
          <w:rFonts w:ascii="Arial" w:cs="Arial" w:eastAsia="Arial" w:hAnsi="Arial"/>
          <w:b/>
          <w:bCs/>
          <w:color w:val="2C6E49"/>
          <w:sz w:val="20"/>
          <w:szCs w:val="20"/>
        </w:rPr>
        <w:t xml:space="preserve">Step 2 — Time Reconstruction</w:t>
      </w:r>
    </w:p>
    <w:p>
      <w:pPr>
        <w:spacing w:before="80" w:after="80"/>
      </w:pPr>
      <w:r>
        <w:rPr>
          <w:rFonts w:ascii="Arial" w:cs="Arial" w:eastAsia="Arial" w:hAnsi="Arial"/>
          <w:color w:val="2C2C2C"/>
          <w:sz w:val="20"/>
          <w:szCs w:val="20"/>
        </w:rPr>
        <w:t xml:space="preserve">Work with the specialist to reconstruct time records for each tax year. Use calendar records, development session logs, and the activity log in Section 4 as the reconstruction basis. The Claude.ai conversation history and PostgreSQL session logs provide contemporaneous timestamps for 2026 activities; earlier years require calendar-based reconstruction.</w:t>
      </w:r>
    </w:p>
    <w:p>
      <w:pPr>
        <w:spacing w:before="80" w:after="80"/>
      </w:pPr>
    </w:p>
    <w:p>
      <w:pPr>
        <w:spacing w:before="180" w:after="60"/>
      </w:pPr>
      <w:r>
        <w:rPr>
          <w:rFonts w:ascii="Arial" w:cs="Arial" w:eastAsia="Arial" w:hAnsi="Arial"/>
          <w:b/>
          <w:bCs/>
          <w:color w:val="2C6E49"/>
          <w:sz w:val="20"/>
          <w:szCs w:val="20"/>
        </w:rPr>
        <w:t xml:space="preserve">Step 3 — Entity Structure Confirmation</w:t>
      </w:r>
    </w:p>
    <w:p>
      <w:pPr>
        <w:spacing w:before="80" w:after="80"/>
      </w:pPr>
      <w:r>
        <w:rPr>
          <w:rFonts w:ascii="Arial" w:cs="Arial" w:eastAsia="Arial" w:hAnsi="Arial"/>
          <w:color w:val="2C2C2C"/>
          <w:sz w:val="20"/>
          <w:szCs w:val="20"/>
        </w:rPr>
        <w:t xml:space="preserve">Confirm with the specialist which entity — Meridia Holdings LLC or Traverse Code Inc. — is the appropriate claimant for each tax year. If Traverse Code Inc. was the operating entity during 2023-2024 development activities, the credit claim may need to flow through that entity. Verify the gross receipts history for PATH Act payroll tax offset eligibility.</w:t>
      </w:r>
    </w:p>
    <w:p>
      <w:pPr>
        <w:spacing w:before="80" w:after="80"/>
      </w:pPr>
    </w:p>
    <w:p>
      <w:pPr>
        <w:spacing w:before="180" w:after="60"/>
      </w:pPr>
      <w:r>
        <w:rPr>
          <w:rFonts w:ascii="Arial" w:cs="Arial" w:eastAsia="Arial" w:hAnsi="Arial"/>
          <w:b/>
          <w:bCs/>
          <w:color w:val="2C6E49"/>
          <w:sz w:val="20"/>
          <w:szCs w:val="20"/>
        </w:rPr>
        <w:t xml:space="preserve">Step 4 — Amended Return Filing</w:t>
      </w:r>
    </w:p>
    <w:p>
      <w:pPr>
        <w:spacing w:before="80" w:after="80"/>
      </w:pPr>
      <w:r>
        <w:rPr>
          <w:rFonts w:ascii="Arial" w:cs="Arial" w:eastAsia="Arial" w:hAnsi="Arial"/>
          <w:color w:val="2C2C2C"/>
          <w:sz w:val="20"/>
          <w:szCs w:val="20"/>
        </w:rPr>
        <w:t xml:space="preserve">File amended returns (Form 1040X or appropriate business return amendment) for 2023, 2024, and 2025 with Form 6765 (Credit for Increasing Research Activities). Elect the Alternative Simplified Credit method. If PATH Act payroll tax offset election is available, file Form 8974 with the payroll tax return to claim the offset.</w:t>
      </w:r>
    </w:p>
    <w:p>
      <w:pPr>
        <w:spacing w:before="80" w:after="80"/>
      </w:pPr>
    </w:p>
    <w:p>
      <w:pPr>
        <w:spacing w:before="180" w:after="60"/>
      </w:pPr>
      <w:r>
        <w:rPr>
          <w:rFonts w:ascii="Arial" w:cs="Arial" w:eastAsia="Arial" w:hAnsi="Arial"/>
          <w:b/>
          <w:bCs/>
          <w:color w:val="2C6E49"/>
          <w:sz w:val="20"/>
          <w:szCs w:val="20"/>
        </w:rPr>
        <w:t xml:space="preserve">Step 5 — Current Year Documentation</w:t>
      </w:r>
    </w:p>
    <w:p>
      <w:pPr>
        <w:spacing w:before="80" w:after="80"/>
      </w:pPr>
      <w:r>
        <w:rPr>
          <w:rFonts w:ascii="Arial" w:cs="Arial" w:eastAsia="Arial" w:hAnsi="Arial"/>
          <w:color w:val="2C2C2C"/>
          <w:sz w:val="20"/>
          <w:szCs w:val="20"/>
        </w:rPr>
        <w:t xml:space="preserve">Begin maintaining contemporaneous time records starting immediately for 2026 activities. A simple weekly log noting hours spent on each business component is sufficient. The standard for contemporaneous records is significantly lower than many taxpayers assume — the specialist will guide format and frequency.</w:t>
      </w:r>
    </w:p>
    <w:p>
      <w:pPr>
        <w:pBdr>
          <w:bottom w:val="single" w:color="1A3A5C" w:sz="3" w:space="4"/>
        </w:pBdr>
        <w:spacing w:before="160" w:after="160"/>
      </w:pPr>
    </w:p>
    <w:p>
      <w:pPr>
        <w:spacing w:before="160" w:after="80"/>
      </w:pPr>
      <w:r>
        <w:rPr>
          <w:rFonts w:ascii="Arial" w:cs="Arial" w:eastAsia="Arial" w:hAnsi="Arial"/>
          <w:i/>
          <w:iCs/>
          <w:color w:val="666666"/>
          <w:sz w:val="18"/>
          <w:szCs w:val="18"/>
        </w:rPr>
        <w:t xml:space="preserve">This document was prepared for the purpose of supporting an IRC Section 41 R&amp;D tax credit claim and should be treated as confidential tax preparation material. It should be reviewed and certified by a qualified R&amp;D tax specialist before submission to any taxing authority.</w:t>
      </w:r>
    </w:p>
    <w:p>
      <w:pPr>
        <w:spacing w:before="40" w:after="0"/>
      </w:pPr>
      <w:r>
        <w:rPr>
          <w:rFonts w:ascii="Arial" w:cs="Arial" w:eastAsia="Arial" w:hAnsi="Arial"/>
          <w:b/>
          <w:bCs/>
          <w:color w:val="1A3A5C"/>
          <w:sz w:val="18"/>
          <w:szCs w:val="18"/>
        </w:rPr>
        <w:t xml:space="preserve">Prepared by: </w:t>
      </w:r>
      <w:r>
        <w:rPr>
          <w:rFonts w:ascii="Arial" w:cs="Arial" w:eastAsia="Arial" w:hAnsi="Arial"/>
          <w:color w:val="444444"/>
          <w:sz w:val="18"/>
          <w:szCs w:val="18"/>
        </w:rPr>
        <w:t xml:space="preserve">Aliman Neal  |  Meridia Holdings LLC / Traverse Code Inc.  |  Atlanta, Georgia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2" w:space="4"/>
      </w:pBdr>
      <w:jc w:val="center"/>
    </w:pPr>
    <w:r>
      <w:rPr>
        <w:rFonts w:ascii="Arial" w:cs="Arial" w:eastAsia="Arial" w:hAnsi="Arial"/>
        <w:color w:val="999999"/>
        <w:sz w:val="16"/>
        <w:szCs w:val="16"/>
      </w:rPr>
      <w:t xml:space="preserve">For R&amp;D Tax Credit Documentation Purposes Only  |  Page </w:t>
    </w:r>
    <w:r>
      <w:rPr>
        <w:rFonts w:ascii="Arial" w:cs="Arial" w:eastAsia="Arial" w:hAnsi="Arial"/>
        <w:color w:val="1A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2" w:space="4"/>
      </w:pBdr>
      <w:jc w:val="right"/>
    </w:pPr>
    <w:r>
      <w:rPr>
        <w:rFonts w:ascii="Arial" w:cs="Arial" w:eastAsia="Arial" w:hAnsi="Arial"/>
        <w:color w:val="999999"/>
        <w:sz w:val="16"/>
        <w:szCs w:val="16"/>
      </w:rPr>
      <w:t xml:space="preserve">CONFIDENTIAL  |  </w:t>
    </w:r>
    <w:r>
      <w:rPr>
        <w:rFonts w:ascii="Arial" w:cs="Arial" w:eastAsia="Arial" w:hAnsi="Arial"/>
        <w:b/>
        <w:bCs/>
        <w:color w:val="1A3A5C"/>
        <w:sz w:val="16"/>
        <w:szCs w:val="16"/>
      </w:rPr>
      <w:t xml:space="preserve">Meridia Holdings LLC / Traverse Code Inc.</w:t>
    </w:r>
    <w:r>
      <w:rPr>
        <w:rFonts w:ascii="Arial" w:cs="Arial" w:eastAsia="Arial" w:hAnsi="Arial"/>
        <w:color w:val="999999"/>
        <w:sz w:val="16"/>
        <w:szCs w:val="16"/>
      </w:rPr>
      <w:t xml:space="preserve">  |  IRC Section 41 R&amp;D Technical Activities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1A3A5C"/>
      <w:sz w:val="28"/>
      <w:szCs w:val="28"/>
    </w:rPr>
  </w:style>
  <w:style w:type="paragraph" w:styleId="Heading2">
    <w:name w:val="Heading 2"/>
    <w:basedOn w:val="Normal"/>
    <w:next w:val="Normal"/>
    <w:pPr>
      <w:spacing w:before="240" w:after="8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2026-03-26T19:52:25.896Z</dcterms:created>
  <dcterms:modified xsi:type="dcterms:W3CDTF">2026-03-26T19:52:25.897Z</dcterms:modified>
</cp:coreProperties>
</file>

<file path=docProps/custom.xml><?xml version="1.0" encoding="utf-8"?>
<Properties xmlns="http://schemas.openxmlformats.org/officeDocument/2006/custom-properties" xmlns:vt="http://schemas.openxmlformats.org/officeDocument/2006/docPropsVTypes"/>
</file>