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i w:val="false"/>
          <w:iCs w:val="false"/>
          <w:color w:val="5A2D91"/>
          <w:sz w:val="28"/>
          <w:szCs w:val="28"/>
        </w:rPr>
        <w:t xml:space="preserve">MERIDIA HOLDINGS LLC</w:t>
      </w:r>
    </w:p>
    <w:p>
      <w:pPr>
        <w:pBdr>
          <w:bottom w:val="thick" w:color="C9A22B" w:sz="6" w:space="4"/>
        </w:pBdr>
        <w:spacing w:after="40" w:before="0"/>
      </w:pPr>
      <w:r>
        <w:rPr>
          <w:rFonts w:ascii="Calibri" w:cs="Calibri" w:eastAsia="Calibri" w:hAnsi="Calibri"/>
          <w:b/>
          <w:bCs/>
          <w:i w:val="false"/>
          <w:iCs w:val="false"/>
          <w:color w:val="1E3A5F"/>
          <w:sz w:val="22"/>
          <w:szCs w:val="22"/>
        </w:rPr>
        <w:t xml:space="preserve">Autonomous Development Infrastructure — Research Report &amp; Implementation Path</w:t>
      </w:r>
    </w:p>
    <w:p>
      <w:pPr>
        <w:spacing w:after="0" w:before="40"/>
      </w:pPr>
      <w:r>
        <w:rPr>
          <w:rFonts w:ascii="Calibri" w:cs="Calibri" w:eastAsia="Calibri" w:hAnsi="Calibri"/>
          <w:b w:val="false"/>
          <w:bCs w:val="false"/>
          <w:i/>
          <w:iCs/>
          <w:color w:val="64748B"/>
          <w:sz w:val="17"/>
          <w:szCs w:val="17"/>
        </w:rPr>
        <w:t xml:space="preserve">Aliman Neal, Architect  ·  April 2026  ·  Confidential</w:t>
      </w:r>
    </w:p>
    <w:p>
      <w:pPr>
        <w:spacing w:after="0" w:before="60"/>
      </w:pPr>
      <w:r>
        <w:rPr>
          <w:rFonts w:ascii="Calibri" w:cs="Calibri" w:eastAsia="Calibri" w:hAnsi="Calibri"/>
          <w:b w:val="false"/>
          <w:bCs w:val="false"/>
          <w:i w:val="false"/>
          <w:iCs w:val="false"/>
          <w:color w:val="1A1A2E"/>
          <w:sz w:val="20"/>
          <w:szCs w:val="20"/>
        </w:rPr>
        <w:t xml:space="preserve"/>
      </w:r>
    </w:p>
    <w:p>
      <w:pPr>
        <w:spacing w:after="60" w:before="60"/>
      </w:pPr>
      <w:r>
        <w:rPr>
          <w:rFonts w:ascii="Calibri" w:cs="Calibri" w:eastAsia="Calibri" w:hAnsi="Calibri"/>
          <w:b w:val="false"/>
          <w:bCs w:val="false"/>
          <w:i w:val="false"/>
          <w:iCs w:val="false"/>
          <w:color w:val="1A1A2E"/>
          <w:sz w:val="20"/>
          <w:szCs w:val="20"/>
        </w:rPr>
        <w:t xml:space="preserve">This report documents findings from a systematic review of the Claude Code ecosystem — the first genuine quality audit conducted against what the community has actually built, not what existed at model training time. The gap between those two pictures is significant. The implementation path that follows is designed to eliminate dependency on this chat thread as the primary operating surface and replace it with a governed, persistent, autonomous development environment.</w:t>
      </w:r>
    </w:p>
    <w:p>
      <w:pPr>
        <w:spacing w:after="0" w:before="20"/>
      </w:pPr>
      <w:r>
        <w:rPr>
          <w:rFonts w:ascii="Calibri" w:cs="Calibri" w:eastAsia="Calibri" w:hAnsi="Calibri"/>
          <w:b w:val="false"/>
          <w:bCs w:val="false"/>
          <w:i w:val="false"/>
          <w:iCs w:val="false"/>
          <w:color w:val="1A1A2E"/>
          <w:sz w:val="20"/>
          <w:szCs w:val="20"/>
        </w:rPr>
        <w:t xml:space="preserve"/>
      </w:r>
    </w:p>
    <w:p>
      <w:pPr>
        <w:pBdr>
          <w:bottom w:val="thick" w:color="5A2D91" w:sz="6" w:space="3"/>
        </w:pBdr>
        <w:spacing w:after="120" w:before="320"/>
      </w:pPr>
      <w:r>
        <w:rPr>
          <w:rFonts w:ascii="Calibri" w:cs="Calibri" w:eastAsia="Calibri" w:hAnsi="Calibri"/>
          <w:b/>
          <w:bCs/>
          <w:i w:val="false"/>
          <w:iCs w:val="false"/>
          <w:color w:val="5A2D91"/>
          <w:sz w:val="28"/>
          <w:szCs w:val="28"/>
        </w:rPr>
        <w:t xml:space="preserve">1. THE PROBLEM WE ARE SOLVING</w:t>
      </w:r>
    </w:p>
    <w:p>
      <w:pPr>
        <w:spacing w:after="80" w:before="200"/>
      </w:pPr>
      <w:r>
        <w:rPr>
          <w:rFonts w:ascii="Calibri" w:cs="Calibri" w:eastAsia="Calibri" w:hAnsi="Calibri"/>
          <w:b/>
          <w:bCs/>
          <w:i w:val="false"/>
          <w:iCs w:val="false"/>
          <w:color w:val="1E3A5F"/>
          <w:sz w:val="22"/>
          <w:szCs w:val="22"/>
        </w:rPr>
        <w:t xml:space="preserve">1.1 The Chat Thread Dependency</w:t>
      </w:r>
    </w:p>
    <w:p>
      <w:pPr>
        <w:spacing w:after="60" w:before="60"/>
      </w:pPr>
      <w:r>
        <w:rPr>
          <w:rFonts w:ascii="Calibri" w:cs="Calibri" w:eastAsia="Calibri" w:hAnsi="Calibri"/>
          <w:b w:val="false"/>
          <w:bCs w:val="false"/>
          <w:i w:val="false"/>
          <w:iCs w:val="false"/>
          <w:color w:val="1A1A2E"/>
          <w:sz w:val="20"/>
          <w:szCs w:val="20"/>
        </w:rPr>
        <w:t xml:space="preserve">Every session in this environment begins fresh. Decisions made, architectural choices, corrections applied, context built — all of it collapses when the conversation ends. This has produced six rebuilds of Integra Core, repeated explanation of the same institutional context, and a quality floor determined by what can be reconstructed from memory rather than what was actually built.</w:t>
      </w:r>
    </w:p>
    <w:p>
      <w:pPr>
        <w:spacing w:after="60" w:before="60"/>
      </w:pPr>
      <w:r>
        <w:rPr>
          <w:rFonts w:ascii="Calibri" w:cs="Calibri" w:eastAsia="Calibri" w:hAnsi="Calibri"/>
          <w:b w:val="false"/>
          <w:bCs w:val="false"/>
          <w:i w:val="false"/>
          <w:iCs w:val="false"/>
          <w:color w:val="1A1A2E"/>
          <w:sz w:val="20"/>
          <w:szCs w:val="20"/>
        </w:rPr>
        <w:t xml:space="preserve">The solution is not a better chat thread. It is eliminating the chat thread as the primary operating layer entirely.</w:t>
      </w:r>
    </w:p>
    <w:p>
      <w:pPr>
        <w:spacing w:after="80" w:before="200"/>
      </w:pPr>
      <w:r>
        <w:rPr>
          <w:rFonts w:ascii="Calibri" w:cs="Calibri" w:eastAsia="Calibri" w:hAnsi="Calibri"/>
          <w:b/>
          <w:bCs/>
          <w:i w:val="false"/>
          <w:iCs w:val="false"/>
          <w:color w:val="1E3A5F"/>
          <w:sz w:val="22"/>
          <w:szCs w:val="22"/>
        </w:rPr>
        <w:t xml:space="preserve">1.2 The Rebuild Loop</w:t>
      </w:r>
    </w:p>
    <w:p>
      <w:pPr>
        <w:spacing w:after="60" w:before="60"/>
      </w:pPr>
      <w:r>
        <w:rPr>
          <w:rFonts w:ascii="Calibri" w:cs="Calibri" w:eastAsia="Calibri" w:hAnsi="Calibri"/>
          <w:b w:val="false"/>
          <w:bCs w:val="false"/>
          <w:i w:val="false"/>
          <w:iCs w:val="false"/>
          <w:color w:val="1A1A2E"/>
          <w:sz w:val="20"/>
          <w:szCs w:val="20"/>
        </w:rPr>
        <w:t xml:space="preserve">Integra Core has been rebuilt six times across sessions without completing. Each session reads project files fresh, has the same realizations, and rebuilds against a different assumption. This is not a capability failure. It is an infrastructure failure — no persistent memory, no enforced build discipline, no circuit breaker that keeps the system building rather than reconsidering.</w:t>
      </w:r>
    </w:p>
    <w:p>
      <w:pPr>
        <w:spacing w:after="80" w:before="200"/>
      </w:pPr>
      <w:r>
        <w:rPr>
          <w:rFonts w:ascii="Calibri" w:cs="Calibri" w:eastAsia="Calibri" w:hAnsi="Calibri"/>
          <w:b/>
          <w:bCs/>
          <w:i w:val="false"/>
          <w:iCs w:val="false"/>
          <w:color w:val="1E3A5F"/>
          <w:sz w:val="22"/>
          <w:szCs w:val="22"/>
        </w:rPr>
        <w:t xml:space="preserve">1.3 The Quality Gap</w:t>
      </w:r>
    </w:p>
    <w:p>
      <w:pPr>
        <w:spacing w:after="60" w:before="60"/>
      </w:pPr>
      <w:r>
        <w:rPr>
          <w:rFonts w:ascii="Calibri" w:cs="Calibri" w:eastAsia="Calibri" w:hAnsi="Calibri"/>
          <w:b w:val="false"/>
          <w:bCs w:val="false"/>
          <w:i w:val="false"/>
          <w:iCs w:val="false"/>
          <w:color w:val="1A1A2E"/>
          <w:sz w:val="20"/>
          <w:szCs w:val="20"/>
        </w:rPr>
        <w:t xml:space="preserve">Output quality has been benchmarked against what Dr. Davis produces with a simple prompt on ChatGPT's image generation platform. The gap identified was not tooling knowledge — it was the absence of a quality standard enforced before production, not after. The autonomous R&amp;D mandate requires tracking what the audience expects before being told.</w:t>
      </w:r>
    </w:p>
    <w:p>
      <w:pPr>
        <w:spacing w:after="80" w:before="200"/>
      </w:pPr>
      <w:r>
        <w:rPr>
          <w:rFonts w:ascii="Calibri" w:cs="Calibri" w:eastAsia="Calibri" w:hAnsi="Calibri"/>
          <w:b/>
          <w:bCs/>
          <w:i w:val="false"/>
          <w:iCs w:val="false"/>
          <w:color w:val="1E3A5F"/>
          <w:sz w:val="22"/>
          <w:szCs w:val="22"/>
        </w:rPr>
        <w:t xml:space="preserve">1.4 The Context Engineering Problem</w:t>
      </w:r>
    </w:p>
    <w:p>
      <w:pPr>
        <w:spacing w:after="60" w:before="60"/>
      </w:pPr>
      <w:r>
        <w:rPr>
          <w:rFonts w:ascii="Calibri" w:cs="Calibri" w:eastAsia="Calibri" w:hAnsi="Calibri"/>
          <w:b w:val="false"/>
          <w:bCs w:val="false"/>
          <w:i w:val="false"/>
          <w:iCs w:val="false"/>
          <w:color w:val="1A1A2E"/>
          <w:sz w:val="20"/>
          <w:szCs w:val="20"/>
        </w:rPr>
        <w:t xml:space="preserve">Most agent failures are not model failures. They are context failures. As identified in the Agent Skills for Context Engineering research (cited by Peking University, 2026): context windows exhibit predictable degradation patterns — lost-in-the-middle effects, U-shaped attention curves, and attention scarcity as length increases. Current operating mode fills the context window and then collapses. The new operating mode manages context as a finite budget with explicit compaction triggers, sub-agent isolation, and persistent external memory.</w:t>
      </w:r>
    </w:p>
    <w:p>
      <w:pPr>
        <w:spacing w:after="0" w:before="20"/>
      </w:pPr>
      <w:r>
        <w:rPr>
          <w:rFonts w:ascii="Calibri" w:cs="Calibri" w:eastAsia="Calibri" w:hAnsi="Calibri"/>
          <w:b w:val="false"/>
          <w:bCs w:val="false"/>
          <w:i w:val="false"/>
          <w:iCs w:val="false"/>
          <w:color w:val="1A1A2E"/>
          <w:sz w:val="20"/>
          <w:szCs w:val="20"/>
        </w:rPr>
        <w:t xml:space="preserve"/>
      </w:r>
    </w:p>
    <w:p>
      <w:pPr>
        <w:pBdr>
          <w:bottom w:val="thick" w:color="5A2D91" w:sz="6" w:space="3"/>
        </w:pBdr>
        <w:spacing w:after="120" w:before="320"/>
      </w:pPr>
      <w:r>
        <w:rPr>
          <w:rFonts w:ascii="Calibri" w:cs="Calibri" w:eastAsia="Calibri" w:hAnsi="Calibri"/>
          <w:b/>
          <w:bCs/>
          <w:i w:val="false"/>
          <w:iCs w:val="false"/>
          <w:color w:val="5A2D91"/>
          <w:sz w:val="28"/>
          <w:szCs w:val="28"/>
        </w:rPr>
        <w:t xml:space="preserve">2. WHAT THE ECOSYSTEM HAS BUILT</w:t>
      </w:r>
    </w:p>
    <w:p>
      <w:pPr>
        <w:spacing w:after="60" w:before="60"/>
      </w:pPr>
      <w:r>
        <w:rPr>
          <w:rFonts w:ascii="Calibri" w:cs="Calibri" w:eastAsia="Calibri" w:hAnsi="Calibri"/>
          <w:b w:val="false"/>
          <w:bCs w:val="false"/>
          <w:i w:val="false"/>
          <w:iCs w:val="false"/>
          <w:color w:val="1A1A2E"/>
          <w:sz w:val="20"/>
          <w:szCs w:val="20"/>
        </w:rPr>
        <w:t xml:space="preserve">The following 20 tools were read in full during this research session. Each was evaluated against actual repository content, not descriptions. They are organized by function.</w:t>
      </w:r>
    </w:p>
    <w:p>
      <w:pPr>
        <w:spacing w:after="0" w:before="20"/>
      </w:pPr>
      <w:r>
        <w:rPr>
          <w:rFonts w:ascii="Calibri" w:cs="Calibri" w:eastAsia="Calibri" w:hAnsi="Calibri"/>
          <w:b w:val="false"/>
          <w:bCs w:val="false"/>
          <w:i w:val="false"/>
          <w:iCs w:val="false"/>
          <w:color w:val="1A1A2E"/>
          <w:sz w:val="20"/>
          <w:szCs w:val="20"/>
        </w:rPr>
        <w:t xml:space="preserve"/>
      </w:r>
    </w:p>
    <w:p>
      <w:pPr>
        <w:spacing w:after="80" w:before="200"/>
      </w:pPr>
      <w:r>
        <w:rPr>
          <w:rFonts w:ascii="Calibri" w:cs="Calibri" w:eastAsia="Calibri" w:hAnsi="Calibri"/>
          <w:b/>
          <w:bCs/>
          <w:i w:val="false"/>
          <w:iCs w:val="false"/>
          <w:color w:val="1E3A5F"/>
          <w:sz w:val="22"/>
          <w:szCs w:val="22"/>
        </w:rPr>
        <w:t xml:space="preserve">2.1 Full Tool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888888" w:sz="4"/>
              <w:left w:val="single" w:color="888888" w:sz="4"/>
              <w:bottom w:val="single" w:color="888888" w:sz="4"/>
              <w:right w:val="single" w:color="888888" w:sz="4"/>
            </w:tcBorders>
            <w:shd w:fill="5A2D91" w:val="clear"/>
            <w:tcMar>
              <w:top w:type="dxa" w:w="80"/>
              <w:left w:type="dxa" w:w="120"/>
              <w:bottom w:type="dxa" w:w="80"/>
              <w:right w:type="dxa" w:w="120"/>
            </w:tcMar>
          </w:tcPr>
          <w:p>
            <w:pPr>
              <w:jc w:val="center"/>
            </w:pPr>
            <w:r>
              <w:rPr>
                <w:rFonts w:ascii="Calibri" w:cs="Calibri" w:eastAsia="Calibri" w:hAnsi="Calibri"/>
                <w:b/>
                <w:bCs/>
                <w:i w:val="false"/>
                <w:iCs w:val="false"/>
                <w:color w:val="FFFFFF"/>
                <w:sz w:val="17"/>
                <w:szCs w:val="17"/>
              </w:rPr>
              <w:t xml:space="preserve">Tool</w:t>
            </w:r>
          </w:p>
        </w:tc>
        <w:tc>
          <w:tcPr>
            <w:tcW w:type="dxa" w:w="3200"/>
            <w:tcBorders>
              <w:top w:val="single" w:color="888888" w:sz="4"/>
              <w:left w:val="single" w:color="888888" w:sz="4"/>
              <w:bottom w:val="single" w:color="888888" w:sz="4"/>
              <w:right w:val="single" w:color="888888" w:sz="4"/>
            </w:tcBorders>
            <w:shd w:fill="5A2D91" w:val="clear"/>
            <w:tcMar>
              <w:top w:type="dxa" w:w="80"/>
              <w:left w:type="dxa" w:w="120"/>
              <w:bottom w:type="dxa" w:w="80"/>
              <w:right w:type="dxa" w:w="120"/>
            </w:tcMar>
          </w:tcPr>
          <w:p>
            <w:pPr>
              <w:jc w:val="center"/>
            </w:pPr>
            <w:r>
              <w:rPr>
                <w:rFonts w:ascii="Calibri" w:cs="Calibri" w:eastAsia="Calibri" w:hAnsi="Calibri"/>
                <w:b/>
                <w:bCs/>
                <w:i w:val="false"/>
                <w:iCs w:val="false"/>
                <w:color w:val="FFFFFF"/>
                <w:sz w:val="17"/>
                <w:szCs w:val="17"/>
              </w:rPr>
              <w:t xml:space="preserve">What It Actually Does</w:t>
            </w:r>
          </w:p>
        </w:tc>
        <w:tc>
          <w:tcPr>
            <w:tcW w:type="dxa" w:w="2800"/>
            <w:tcBorders>
              <w:top w:val="single" w:color="888888" w:sz="4"/>
              <w:left w:val="single" w:color="888888" w:sz="4"/>
              <w:bottom w:val="single" w:color="888888" w:sz="4"/>
              <w:right w:val="single" w:color="888888" w:sz="4"/>
            </w:tcBorders>
            <w:shd w:fill="5A2D91" w:val="clear"/>
            <w:tcMar>
              <w:top w:type="dxa" w:w="80"/>
              <w:left w:type="dxa" w:w="120"/>
              <w:bottom w:type="dxa" w:w="80"/>
              <w:right w:type="dxa" w:w="120"/>
            </w:tcMar>
          </w:tcPr>
          <w:p>
            <w:pPr>
              <w:jc w:val="center"/>
            </w:pPr>
            <w:r>
              <w:rPr>
                <w:rFonts w:ascii="Calibri" w:cs="Calibri" w:eastAsia="Calibri" w:hAnsi="Calibri"/>
                <w:b/>
                <w:bCs/>
                <w:i w:val="false"/>
                <w:iCs w:val="false"/>
                <w:color w:val="FFFFFF"/>
                <w:sz w:val="17"/>
                <w:szCs w:val="17"/>
              </w:rPr>
              <w:t xml:space="preserve">Value to Meridia</w:t>
            </w:r>
          </w:p>
        </w:tc>
        <w:tc>
          <w:tcPr>
            <w:tcW w:type="dxa" w:w="700"/>
            <w:tcBorders>
              <w:top w:val="single" w:color="888888" w:sz="4"/>
              <w:left w:val="single" w:color="888888" w:sz="4"/>
              <w:bottom w:val="single" w:color="888888" w:sz="4"/>
              <w:right w:val="single" w:color="888888" w:sz="4"/>
            </w:tcBorders>
            <w:shd w:fill="5A2D91" w:val="clear"/>
            <w:tcMar>
              <w:top w:type="dxa" w:w="80"/>
              <w:left w:type="dxa" w:w="120"/>
              <w:bottom w:type="dxa" w:w="80"/>
              <w:right w:type="dxa" w:w="120"/>
            </w:tcMar>
          </w:tcPr>
          <w:p>
            <w:pPr>
              <w:jc w:val="center"/>
            </w:pPr>
            <w:r>
              <w:rPr>
                <w:rFonts w:ascii="Calibri" w:cs="Calibri" w:eastAsia="Calibri" w:hAnsi="Calibri"/>
                <w:b/>
                <w:bCs/>
                <w:i w:val="false"/>
                <w:iCs w:val="false"/>
                <w:color w:val="FFFFFF"/>
                <w:sz w:val="17"/>
                <w:szCs w:val="17"/>
              </w:rPr>
              <w:t xml:space="preserve">P</w:t>
            </w:r>
          </w:p>
        </w:tc>
      </w:tr>
      <w:tr>
        <w:tc>
          <w:tcPr>
            <w:gridSpan w:val="4"/>
            <w:tcBorders>
              <w:top w:val="single" w:color="888888" w:sz="4"/>
              <w:left w:val="single" w:color="888888" w:sz="4"/>
              <w:bottom w:val="single" w:color="888888" w:sz="4"/>
              <w:right w:val="single" w:color="888888" w:sz="4"/>
            </w:tcBorders>
            <w:shd w:fill="1A3A5C" w:val="clear"/>
            <w:tcMar>
              <w:top w:type="dxa" w:w="60"/>
              <w:left w:type="dxa" w:w="120"/>
              <w:bottom w:type="dxa" w:w="60"/>
              <w:right w:type="dxa" w:w="120"/>
            </w:tcMar>
          </w:tcPr>
          <w:p>
            <w:r>
              <w:rPr>
                <w:rFonts w:ascii="Calibri" w:cs="Calibri" w:eastAsia="Calibri" w:hAnsi="Calibri"/>
                <w:b/>
                <w:bCs/>
                <w:i w:val="false"/>
                <w:iCs w:val="false"/>
                <w:color w:val="FFFFFF"/>
                <w:sz w:val="16"/>
                <w:szCs w:val="16"/>
              </w:rPr>
              <w:t xml:space="preserve">MEMORY &amp; SESSION PERSISTENCE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Claude Mem</w:t>
            </w:r>
          </w:p>
          <w:p>
            <w:pPr>
              <w:spacing w:after="0" w:before="20"/>
            </w:pPr>
            <w:r>
              <w:rPr>
                <w:rFonts w:ascii="Calibri" w:cs="Calibri" w:eastAsia="Calibri" w:hAnsi="Calibri"/>
                <w:b w:val="false"/>
                <w:bCs w:val="false"/>
                <w:i/>
                <w:iCs/>
                <w:color w:val="64748B"/>
                <w:sz w:val="15"/>
                <w:szCs w:val="15"/>
              </w:rPr>
              <w:t xml:space="preserve">thedotmack/claude-mem</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5 lifecycle hooks capture every tool use, architectural decision, and correction. Compresses with Claude Agent SDK. SQLite + Chroma vector DB. Local web viewer port 37777. v12.3.0 production-ready.</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Solves the rebuild loop. Every Integra Core decision is retrievable across sessions. The causality layer — why did this decision lead to that outcome — becomes searchable.</w:t>
            </w:r>
          </w:p>
        </w:tc>
        <w:tc>
          <w:tcPr>
            <w:tcW w:type="dxa" w:w="700"/>
            <w:tcBorders>
              <w:top w:val="single" w:color="DDDDDD" w:sz="4"/>
              <w:left w:val="single" w:color="DDDDDD" w:sz="4"/>
              <w:bottom w:val="single" w:color="DDDDDD" w:sz="4"/>
              <w:right w:val="single" w:color="DDDDDD" w:sz="4"/>
            </w:tcBorders>
            <w:shd w:fill="EDE4F7" w:val="clear"/>
            <w:tcMar>
              <w:top w:type="dxa" w:w="80"/>
              <w:left w:type="dxa" w:w="80"/>
              <w:bottom w:type="dxa" w:w="80"/>
              <w:right w:type="dxa" w:w="80"/>
            </w:tcMar>
          </w:tcPr>
          <w:p>
            <w:pPr>
              <w:jc w:val="center"/>
            </w:pPr>
            <w:r>
              <w:rPr>
                <w:rFonts w:ascii="Calibri" w:cs="Calibri" w:eastAsia="Calibri" w:hAnsi="Calibri"/>
                <w:b/>
                <w:bCs/>
                <w:i w:val="false"/>
                <w:iCs w:val="false"/>
                <w:color w:val="5A2D91"/>
                <w:sz w:val="18"/>
                <w:szCs w:val="18"/>
              </w:rPr>
              <w:t xml:space="preserve">1</w:t>
            </w:r>
          </w:p>
        </w:tc>
      </w:tr>
      <w:tr>
        <w:tc>
          <w:tcPr>
            <w:tcW w:type="dxa" w:w="20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Session Restore</w:t>
            </w:r>
          </w:p>
          <w:p>
            <w:pPr>
              <w:spacing w:after="0" w:before="20"/>
            </w:pPr>
            <w:r>
              <w:rPr>
                <w:rFonts w:ascii="Calibri" w:cs="Calibri" w:eastAsia="Calibri" w:hAnsi="Calibri"/>
                <w:b w:val="false"/>
                <w:bCs w:val="false"/>
                <w:i/>
                <w:iCs/>
                <w:color w:val="64748B"/>
                <w:sz w:val="15"/>
                <w:szCs w:val="15"/>
              </w:rPr>
              <w:t xml:space="preserve">ZENG3LD</w:t>
            </w:r>
          </w:p>
        </w:tc>
        <w:tc>
          <w:tcPr>
            <w:tcW w:type="dxa" w:w="32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CLI + skill. Parses JSONL session files up to 2GB. Extracts tasks, messages, tool operations, bash commands, git branch. Say 'restore session' and full prior context loads.</w:t>
            </w:r>
          </w:p>
        </w:tc>
        <w:tc>
          <w:tcPr>
            <w:tcW w:type="dxa" w:w="28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Complementary to Claude Mem. Where Mem captures proactively, Session Restore recovers reactively from terminated sessions.</w:t>
            </w:r>
          </w:p>
        </w:tc>
        <w:tc>
          <w:tcPr>
            <w:tcW w:type="dxa" w:w="700"/>
            <w:tcBorders>
              <w:top w:val="single" w:color="DDDDDD" w:sz="4"/>
              <w:left w:val="single" w:color="DDDDDD" w:sz="4"/>
              <w:bottom w:val="single" w:color="DDDDDD" w:sz="4"/>
              <w:right w:val="single" w:color="DDDDDD" w:sz="4"/>
            </w:tcBorders>
            <w:shd w:fill="FEF3C7" w:val="clear"/>
            <w:tcMar>
              <w:top w:type="dxa" w:w="80"/>
              <w:left w:type="dxa" w:w="80"/>
              <w:bottom w:type="dxa" w:w="80"/>
              <w:right w:type="dxa" w:w="80"/>
            </w:tcMar>
          </w:tcPr>
          <w:p>
            <w:pPr>
              <w:jc w:val="center"/>
            </w:pPr>
            <w:r>
              <w:rPr>
                <w:rFonts w:ascii="Calibri" w:cs="Calibri" w:eastAsia="Calibri" w:hAnsi="Calibri"/>
                <w:b/>
                <w:bCs/>
                <w:i w:val="false"/>
                <w:iCs w:val="false"/>
                <w:color w:val="D97706"/>
                <w:sz w:val="18"/>
                <w:szCs w:val="18"/>
              </w:rPr>
              <w:t xml:space="preserve">2</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claude-sessions</w:t>
            </w:r>
          </w:p>
          <w:p>
            <w:pPr>
              <w:spacing w:after="0" w:before="20"/>
            </w:pPr>
            <w:r>
              <w:rPr>
                <w:rFonts w:ascii="Calibri" w:cs="Calibri" w:eastAsia="Calibri" w:hAnsi="Calibri"/>
                <w:b w:val="false"/>
                <w:bCs w:val="false"/>
                <w:i/>
                <w:iCs/>
                <w:color w:val="64748B"/>
                <w:sz w:val="15"/>
                <w:szCs w:val="15"/>
              </w:rPr>
              <w:t xml:space="preserve">hex/claude-sessions</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Isolated persistent workspaces with automatic documentation, artifact tracking, cross-session search, and Obsidian vault integration. Bash command audit trail for every session.</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Session-level persistence for non-code work. TTS SACSCOC responses, board presentations, client outreach — each gets a persistent workspace that syncs across machines.</w:t>
            </w:r>
          </w:p>
        </w:tc>
        <w:tc>
          <w:tcPr>
            <w:tcW w:type="dxa" w:w="700"/>
            <w:tcBorders>
              <w:top w:val="single" w:color="DDDDDD" w:sz="4"/>
              <w:left w:val="single" w:color="DDDDDD" w:sz="4"/>
              <w:bottom w:val="single" w:color="DDDDDD" w:sz="4"/>
              <w:right w:val="single" w:color="DDDDDD" w:sz="4"/>
            </w:tcBorders>
            <w:shd w:fill="FEF3C7" w:val="clear"/>
            <w:tcMar>
              <w:top w:type="dxa" w:w="80"/>
              <w:left w:type="dxa" w:w="80"/>
              <w:bottom w:type="dxa" w:w="80"/>
              <w:right w:type="dxa" w:w="80"/>
            </w:tcMar>
          </w:tcPr>
          <w:p>
            <w:pPr>
              <w:jc w:val="center"/>
            </w:pPr>
            <w:r>
              <w:rPr>
                <w:rFonts w:ascii="Calibri" w:cs="Calibri" w:eastAsia="Calibri" w:hAnsi="Calibri"/>
                <w:b/>
                <w:bCs/>
                <w:i w:val="false"/>
                <w:iCs w:val="false"/>
                <w:color w:val="D97706"/>
                <w:sz w:val="18"/>
                <w:szCs w:val="18"/>
              </w:rPr>
              <w:t xml:space="preserve">2</w:t>
            </w:r>
          </w:p>
        </w:tc>
      </w:tr>
      <w:tr>
        <w:tc>
          <w:tcPr>
            <w:tcW w:type="dxa" w:w="20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claude-code-handoff</w:t>
            </w:r>
          </w:p>
          <w:p>
            <w:pPr>
              <w:spacing w:after="0" w:before="20"/>
            </w:pPr>
            <w:r>
              <w:rPr>
                <w:rFonts w:ascii="Calibri" w:cs="Calibri" w:eastAsia="Calibri" w:hAnsi="Calibri"/>
                <w:b w:val="false"/>
                <w:bCs w:val="false"/>
                <w:i/>
                <w:iCs/>
                <w:color w:val="64748B"/>
                <w:sz w:val="15"/>
                <w:szCs w:val="15"/>
              </w:rPr>
              <w:t xml:space="preserve">Sonovore</w:t>
            </w:r>
          </w:p>
        </w:tc>
        <w:tc>
          <w:tcPr>
            <w:tcW w:type="dxa" w:w="32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PreCompact hook re-injects context before autocompaction fires. SessionStart hook loads context automatically. Recovery mode parses full JSONL and regenerates handoff files.</w:t>
            </w:r>
          </w:p>
        </w:tc>
        <w:tc>
          <w:tcPr>
            <w:tcW w:type="dxa" w:w="28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Prevents mid-session context collapse during long builds. Directly addresses the Integra Core context window problem.</w:t>
            </w:r>
          </w:p>
        </w:tc>
        <w:tc>
          <w:tcPr>
            <w:tcW w:type="dxa" w:w="700"/>
            <w:tcBorders>
              <w:top w:val="single" w:color="DDDDDD" w:sz="4"/>
              <w:left w:val="single" w:color="DDDDDD" w:sz="4"/>
              <w:bottom w:val="single" w:color="DDDDDD" w:sz="4"/>
              <w:right w:val="single" w:color="DDDDDD" w:sz="4"/>
            </w:tcBorders>
            <w:shd w:fill="FEF3C7" w:val="clear"/>
            <w:tcMar>
              <w:top w:type="dxa" w:w="80"/>
              <w:left w:type="dxa" w:w="80"/>
              <w:bottom w:type="dxa" w:w="80"/>
              <w:right w:type="dxa" w:w="80"/>
            </w:tcMar>
          </w:tcPr>
          <w:p>
            <w:pPr>
              <w:jc w:val="center"/>
            </w:pPr>
            <w:r>
              <w:rPr>
                <w:rFonts w:ascii="Calibri" w:cs="Calibri" w:eastAsia="Calibri" w:hAnsi="Calibri"/>
                <w:b/>
                <w:bCs/>
                <w:i w:val="false"/>
                <w:iCs w:val="false"/>
                <w:color w:val="D97706"/>
                <w:sz w:val="18"/>
                <w:szCs w:val="18"/>
              </w:rPr>
              <w:t xml:space="preserve">2</w:t>
            </w:r>
          </w:p>
        </w:tc>
      </w:tr>
      <w:tr>
        <w:tc>
          <w:tcPr>
            <w:gridSpan w:val="4"/>
            <w:tcBorders>
              <w:top w:val="single" w:color="888888" w:sz="4"/>
              <w:left w:val="single" w:color="888888" w:sz="4"/>
              <w:bottom w:val="single" w:color="888888" w:sz="4"/>
              <w:right w:val="single" w:color="888888" w:sz="4"/>
            </w:tcBorders>
            <w:shd w:fill="1A3A5C" w:val="clear"/>
            <w:tcMar>
              <w:top w:type="dxa" w:w="60"/>
              <w:left w:type="dxa" w:w="120"/>
              <w:bottom w:type="dxa" w:w="60"/>
              <w:right w:type="dxa" w:w="120"/>
            </w:tcMar>
          </w:tcPr>
          <w:p>
            <w:r>
              <w:rPr>
                <w:rFonts w:ascii="Calibri" w:cs="Calibri" w:eastAsia="Calibri" w:hAnsi="Calibri"/>
                <w:b/>
                <w:bCs/>
                <w:i w:val="false"/>
                <w:iCs w:val="false"/>
                <w:color w:val="FFFFFF"/>
                <w:sz w:val="16"/>
                <w:szCs w:val="16"/>
              </w:rPr>
              <w:t xml:space="preserve">DISCIPLINE &amp; BUILD METHODOLOGY</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Superpowers</w:t>
            </w:r>
          </w:p>
          <w:p>
            <w:pPr>
              <w:spacing w:after="0" w:before="20"/>
            </w:pPr>
            <w:r>
              <w:rPr>
                <w:rFonts w:ascii="Calibri" w:cs="Calibri" w:eastAsia="Calibri" w:hAnsi="Calibri"/>
                <w:b w:val="false"/>
                <w:bCs w:val="false"/>
                <w:i/>
                <w:iCs/>
                <w:color w:val="64748B"/>
                <w:sz w:val="15"/>
                <w:szCs w:val="15"/>
              </w:rPr>
              <w:t xml:space="preserve">obra/superpowers</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42,000 stars. Official Anthropic marketplace. Complete development methodology: brainstorming before code, spec validation, implementation plan, TDD enforcement. Reduces overhead ~25 min/session. Skills trigger automatically.</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Enforces design-first pattern. Integra Core rebuild loop stops because Claude cannot write code without an approved spec. Iron rule: no code without tests.</w:t>
            </w:r>
          </w:p>
        </w:tc>
        <w:tc>
          <w:tcPr>
            <w:tcW w:type="dxa" w:w="700"/>
            <w:tcBorders>
              <w:top w:val="single" w:color="DDDDDD" w:sz="4"/>
              <w:left w:val="single" w:color="DDDDDD" w:sz="4"/>
              <w:bottom w:val="single" w:color="DDDDDD" w:sz="4"/>
              <w:right w:val="single" w:color="DDDDDD" w:sz="4"/>
            </w:tcBorders>
            <w:shd w:fill="EDE4F7" w:val="clear"/>
            <w:tcMar>
              <w:top w:type="dxa" w:w="80"/>
              <w:left w:type="dxa" w:w="80"/>
              <w:bottom w:type="dxa" w:w="80"/>
              <w:right w:type="dxa" w:w="80"/>
            </w:tcMar>
          </w:tcPr>
          <w:p>
            <w:pPr>
              <w:jc w:val="center"/>
            </w:pPr>
            <w:r>
              <w:rPr>
                <w:rFonts w:ascii="Calibri" w:cs="Calibri" w:eastAsia="Calibri" w:hAnsi="Calibri"/>
                <w:b/>
                <w:bCs/>
                <w:i w:val="false"/>
                <w:iCs w:val="false"/>
                <w:color w:val="5A2D91"/>
                <w:sz w:val="18"/>
                <w:szCs w:val="18"/>
              </w:rPr>
              <w:t xml:space="preserve">1</w:t>
            </w:r>
          </w:p>
        </w:tc>
      </w:tr>
      <w:tr>
        <w:tc>
          <w:tcPr>
            <w:tcW w:type="dxa" w:w="20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Ralph</w:t>
            </w:r>
          </w:p>
          <w:p>
            <w:pPr>
              <w:spacing w:after="0" w:before="20"/>
            </w:pPr>
            <w:r>
              <w:rPr>
                <w:rFonts w:ascii="Calibri" w:cs="Calibri" w:eastAsia="Calibri" w:hAnsi="Calibri"/>
                <w:b w:val="false"/>
                <w:bCs w:val="false"/>
                <w:i/>
                <w:iCs/>
                <w:color w:val="64748B"/>
                <w:sz w:val="15"/>
                <w:szCs w:val="15"/>
              </w:rPr>
              <w:t xml:space="preserve">frankbria/ralph-claude-code</w:t>
            </w:r>
          </w:p>
        </w:tc>
        <w:tc>
          <w:tcPr>
            <w:tcW w:type="dxa" w:w="32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Autonomous development loop. Dual-condition exit gate requires BOTH completion indicators AND explicit EXIT_SIGNAL. Circuit breaker prevents runaway loops. Rate limiting 100 calls/hour. 566 tests, 100% pass rate.</w:t>
            </w:r>
          </w:p>
        </w:tc>
        <w:tc>
          <w:tcPr>
            <w:tcW w:type="dxa" w:w="28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THE circuit breaker. Feed it a spec, run `ralph --monitor`, walk away. Comes back to a built system. Removes the training-level pull toward reconsideration and moving on.</w:t>
            </w:r>
          </w:p>
        </w:tc>
        <w:tc>
          <w:tcPr>
            <w:tcW w:type="dxa" w:w="700"/>
            <w:tcBorders>
              <w:top w:val="single" w:color="DDDDDD" w:sz="4"/>
              <w:left w:val="single" w:color="DDDDDD" w:sz="4"/>
              <w:bottom w:val="single" w:color="DDDDDD" w:sz="4"/>
              <w:right w:val="single" w:color="DDDDDD" w:sz="4"/>
            </w:tcBorders>
            <w:shd w:fill="EDE4F7" w:val="clear"/>
            <w:tcMar>
              <w:top w:type="dxa" w:w="80"/>
              <w:left w:type="dxa" w:w="80"/>
              <w:bottom w:type="dxa" w:w="80"/>
              <w:right w:type="dxa" w:w="80"/>
            </w:tcMar>
          </w:tcPr>
          <w:p>
            <w:pPr>
              <w:jc w:val="center"/>
            </w:pPr>
            <w:r>
              <w:rPr>
                <w:rFonts w:ascii="Calibri" w:cs="Calibri" w:eastAsia="Calibri" w:hAnsi="Calibri"/>
                <w:b/>
                <w:bCs/>
                <w:i w:val="false"/>
                <w:iCs w:val="false"/>
                <w:color w:val="5A2D91"/>
                <w:sz w:val="18"/>
                <w:szCs w:val="18"/>
              </w:rPr>
              <w:t xml:space="preserve">1</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CCPM</w:t>
            </w:r>
          </w:p>
          <w:p>
            <w:pPr>
              <w:spacing w:after="0" w:before="20"/>
            </w:pPr>
            <w:r>
              <w:rPr>
                <w:rFonts w:ascii="Calibri" w:cs="Calibri" w:eastAsia="Calibri" w:hAnsi="Calibri"/>
                <w:b w:val="false"/>
                <w:bCs w:val="false"/>
                <w:i/>
                <w:iCs/>
                <w:color w:val="64748B"/>
                <w:sz w:val="15"/>
                <w:szCs w:val="15"/>
              </w:rPr>
              <w:t xml:space="preserve">automazeio/ccpm</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GitHub Issues as project database. PRD → Epic → Task → Issue → Code → Commit. Parallel agents in isolated git worktrees. Full audit trail. Progress visible to everyone in real-time.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Project management for Integra Core. Every decision has a paper trail. Multiple agents work simultaneously without overwriting each other. Human and AI can hand off mid-task.</w:t>
            </w:r>
          </w:p>
        </w:tc>
        <w:tc>
          <w:tcPr>
            <w:tcW w:type="dxa" w:w="700"/>
            <w:tcBorders>
              <w:top w:val="single" w:color="DDDDDD" w:sz="4"/>
              <w:left w:val="single" w:color="DDDDDD" w:sz="4"/>
              <w:bottom w:val="single" w:color="DDDDDD" w:sz="4"/>
              <w:right w:val="single" w:color="DDDDDD" w:sz="4"/>
            </w:tcBorders>
            <w:shd w:fill="EDE4F7" w:val="clear"/>
            <w:tcMar>
              <w:top w:type="dxa" w:w="80"/>
              <w:left w:type="dxa" w:w="80"/>
              <w:bottom w:type="dxa" w:w="80"/>
              <w:right w:type="dxa" w:w="80"/>
            </w:tcMar>
          </w:tcPr>
          <w:p>
            <w:pPr>
              <w:jc w:val="center"/>
            </w:pPr>
            <w:r>
              <w:rPr>
                <w:rFonts w:ascii="Calibri" w:cs="Calibri" w:eastAsia="Calibri" w:hAnsi="Calibri"/>
                <w:b/>
                <w:bCs/>
                <w:i w:val="false"/>
                <w:iCs w:val="false"/>
                <w:color w:val="5A2D91"/>
                <w:sz w:val="18"/>
                <w:szCs w:val="18"/>
              </w:rPr>
              <w:t xml:space="preserve">1</w:t>
            </w:r>
          </w:p>
        </w:tc>
      </w:tr>
      <w:tr>
        <w:tc>
          <w:tcPr>
            <w:tcW w:type="dxa" w:w="20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Everything Claude Code</w:t>
            </w:r>
          </w:p>
          <w:p>
            <w:pPr>
              <w:spacing w:after="0" w:before="20"/>
            </w:pPr>
            <w:r>
              <w:rPr>
                <w:rFonts w:ascii="Calibri" w:cs="Calibri" w:eastAsia="Calibri" w:hAnsi="Calibri"/>
                <w:b w:val="false"/>
                <w:bCs w:val="false"/>
                <w:i/>
                <w:iCs/>
                <w:color w:val="64748B"/>
                <w:sz w:val="15"/>
                <w:szCs w:val="15"/>
              </w:rPr>
              <w:t xml:space="preserve">affaan-m/everything-claude-code</w:t>
            </w:r>
          </w:p>
        </w:tc>
        <w:tc>
          <w:tcPr>
            <w:tcW w:type="dxa" w:w="32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48 agents, 183 skills, 79 commands. AgentShield: 102 security rules, 912 tests. Works across Claude Code, Cursor, OpenCode, Codex from single config.</w:t>
            </w:r>
          </w:p>
        </w:tc>
        <w:tc>
          <w:tcPr>
            <w:tcW w:type="dxa" w:w="28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Full agent harness with security layer. FastAPI backend development benefits from Python-specific rules and TDD enforcement. Security rules apply to financial data handling.</w:t>
            </w:r>
          </w:p>
        </w:tc>
        <w:tc>
          <w:tcPr>
            <w:tcW w:type="dxa" w:w="700"/>
            <w:tcBorders>
              <w:top w:val="single" w:color="DDDDDD" w:sz="4"/>
              <w:left w:val="single" w:color="DDDDDD" w:sz="4"/>
              <w:bottom w:val="single" w:color="DDDDDD" w:sz="4"/>
              <w:right w:val="single" w:color="DDDDDD" w:sz="4"/>
            </w:tcBorders>
            <w:shd w:fill="FEF3C7" w:val="clear"/>
            <w:tcMar>
              <w:top w:type="dxa" w:w="80"/>
              <w:left w:type="dxa" w:w="80"/>
              <w:bottom w:type="dxa" w:w="80"/>
              <w:right w:type="dxa" w:w="80"/>
            </w:tcMar>
          </w:tcPr>
          <w:p>
            <w:pPr>
              <w:jc w:val="center"/>
            </w:pPr>
            <w:r>
              <w:rPr>
                <w:rFonts w:ascii="Calibri" w:cs="Calibri" w:eastAsia="Calibri" w:hAnsi="Calibri"/>
                <w:b/>
                <w:bCs/>
                <w:i w:val="false"/>
                <w:iCs w:val="false"/>
                <w:color w:val="D97706"/>
                <w:sz w:val="18"/>
                <w:szCs w:val="18"/>
              </w:rPr>
              <w:t xml:space="preserve">2</w:t>
            </w:r>
          </w:p>
        </w:tc>
      </w:tr>
      <w:tr>
        <w:tc>
          <w:tcPr>
            <w:gridSpan w:val="4"/>
            <w:tcBorders>
              <w:top w:val="single" w:color="888888" w:sz="4"/>
              <w:left w:val="single" w:color="888888" w:sz="4"/>
              <w:bottom w:val="single" w:color="888888" w:sz="4"/>
              <w:right w:val="single" w:color="888888" w:sz="4"/>
            </w:tcBorders>
            <w:shd w:fill="1A3A5C" w:val="clear"/>
            <w:tcMar>
              <w:top w:type="dxa" w:w="60"/>
              <w:left w:type="dxa" w:w="120"/>
              <w:bottom w:type="dxa" w:w="60"/>
              <w:right w:type="dxa" w:w="120"/>
            </w:tcMar>
          </w:tcPr>
          <w:p>
            <w:r>
              <w:rPr>
                <w:rFonts w:ascii="Calibri" w:cs="Calibri" w:eastAsia="Calibri" w:hAnsi="Calibri"/>
                <w:b/>
                <w:bCs/>
                <w:i w:val="false"/>
                <w:iCs w:val="false"/>
                <w:color w:val="FFFFFF"/>
                <w:sz w:val="16"/>
                <w:szCs w:val="16"/>
              </w:rPr>
              <w:t xml:space="preserve">DESIGN &amp; VISUAL OUTPUT</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UI UX Pro Max</w:t>
            </w:r>
          </w:p>
          <w:p>
            <w:pPr>
              <w:spacing w:after="0" w:before="20"/>
            </w:pPr>
            <w:r>
              <w:rPr>
                <w:rFonts w:ascii="Calibri" w:cs="Calibri" w:eastAsia="Calibri" w:hAnsi="Calibri"/>
                <w:b w:val="false"/>
                <w:bCs w:val="false"/>
                <w:i/>
                <w:iCs/>
                <w:color w:val="64748B"/>
                <w:sz w:val="15"/>
                <w:szCs w:val="15"/>
              </w:rPr>
              <w:t xml:space="preserve">nextlevelbuilder/ui-ux-pro-max-skill</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70,000 stars. v2.0 Design System Generator analyzes project requirements and generates complete tailored design system. 50+ styles, 161 color palettes, 57 font pairings, 99 UX guidelines. Anti-pattern validation before delivery.</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Closes the HTML artifact quality gap. Index8.html, WayPoint consoles, Aletheia interface — designed by a reasoning engine rather than assembled from memory.</w:t>
            </w:r>
          </w:p>
        </w:tc>
        <w:tc>
          <w:tcPr>
            <w:tcW w:type="dxa" w:w="700"/>
            <w:tcBorders>
              <w:top w:val="single" w:color="DDDDDD" w:sz="4"/>
              <w:left w:val="single" w:color="DDDDDD" w:sz="4"/>
              <w:bottom w:val="single" w:color="DDDDDD" w:sz="4"/>
              <w:right w:val="single" w:color="DDDDDD" w:sz="4"/>
            </w:tcBorders>
            <w:shd w:fill="EDE4F7" w:val="clear"/>
            <w:tcMar>
              <w:top w:type="dxa" w:w="80"/>
              <w:left w:type="dxa" w:w="80"/>
              <w:bottom w:type="dxa" w:w="80"/>
              <w:right w:type="dxa" w:w="80"/>
            </w:tcMar>
          </w:tcPr>
          <w:p>
            <w:pPr>
              <w:jc w:val="center"/>
            </w:pPr>
            <w:r>
              <w:rPr>
                <w:rFonts w:ascii="Calibri" w:cs="Calibri" w:eastAsia="Calibri" w:hAnsi="Calibri"/>
                <w:b/>
                <w:bCs/>
                <w:i w:val="false"/>
                <w:iCs w:val="false"/>
                <w:color w:val="5A2D91"/>
                <w:sz w:val="18"/>
                <w:szCs w:val="18"/>
              </w:rPr>
              <w:t xml:space="preserve">1</w:t>
            </w:r>
          </w:p>
        </w:tc>
      </w:tr>
      <w:tr>
        <w:tc>
          <w:tcPr>
            <w:gridSpan w:val="4"/>
            <w:tcBorders>
              <w:top w:val="single" w:color="888888" w:sz="4"/>
              <w:left w:val="single" w:color="888888" w:sz="4"/>
              <w:bottom w:val="single" w:color="888888" w:sz="4"/>
              <w:right w:val="single" w:color="888888" w:sz="4"/>
            </w:tcBorders>
            <w:shd w:fill="1A3A5C" w:val="clear"/>
            <w:tcMar>
              <w:top w:type="dxa" w:w="60"/>
              <w:left w:type="dxa" w:w="120"/>
              <w:bottom w:type="dxa" w:w="60"/>
              <w:right w:type="dxa" w:w="120"/>
            </w:tcMar>
          </w:tcPr>
          <w:p>
            <w:r>
              <w:rPr>
                <w:rFonts w:ascii="Calibri" w:cs="Calibri" w:eastAsia="Calibri" w:hAnsi="Calibri"/>
                <w:b/>
                <w:bCs/>
                <w:i w:val="false"/>
                <w:iCs w:val="false"/>
                <w:color w:val="FFFFFF"/>
                <w:sz w:val="16"/>
                <w:szCs w:val="16"/>
              </w:rPr>
              <w:t xml:space="preserve">INTELLIGENCE &amp; KNOWLEDGE RETRIEVAL</w:t>
            </w:r>
          </w:p>
        </w:tc>
      </w:tr>
      <w:tr>
        <w:tc>
          <w:tcPr>
            <w:tcW w:type="dxa" w:w="20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LightRAG</w:t>
            </w:r>
          </w:p>
          <w:p>
            <w:pPr>
              <w:spacing w:after="0" w:before="20"/>
            </w:pPr>
            <w:r>
              <w:rPr>
                <w:rFonts w:ascii="Calibri" w:cs="Calibri" w:eastAsia="Calibri" w:hAnsi="Calibri"/>
                <w:b w:val="false"/>
                <w:bCs w:val="false"/>
                <w:i/>
                <w:iCs/>
                <w:color w:val="64748B"/>
                <w:sz w:val="15"/>
                <w:szCs w:val="15"/>
              </w:rPr>
              <w:t xml:space="preserve">HKUDS/LightRAG</w:t>
            </w:r>
          </w:p>
        </w:tc>
        <w:tc>
          <w:tcPr>
            <w:tcW w:type="dxa" w:w="32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Graph + vector dual retrieval. Extracts entities and relationships from documents. Builds knowledge graph. Outperforms NaiveRAG, GraphRAG. PostgreSQL as unified backend (KV + pgvector + Apache AGE). RAG-Anything adds multimodal PDF/Office/image support.</w:t>
            </w:r>
          </w:p>
        </w:tc>
        <w:tc>
          <w:tcPr>
            <w:tcW w:type="dxa" w:w="28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The NAS corpus intelligence layer. Meeting transcripts, SACSCOC documents, audit reports, board minutes loaded as a structured knowledge graph. Aletheia queries structurally, not by keyword.</w:t>
            </w:r>
          </w:p>
        </w:tc>
        <w:tc>
          <w:tcPr>
            <w:tcW w:type="dxa" w:w="700"/>
            <w:tcBorders>
              <w:top w:val="single" w:color="DDDDDD" w:sz="4"/>
              <w:left w:val="single" w:color="DDDDDD" w:sz="4"/>
              <w:bottom w:val="single" w:color="DDDDDD" w:sz="4"/>
              <w:right w:val="single" w:color="DDDDDD" w:sz="4"/>
            </w:tcBorders>
            <w:shd w:fill="EDE4F7" w:val="clear"/>
            <w:tcMar>
              <w:top w:type="dxa" w:w="80"/>
              <w:left w:type="dxa" w:w="80"/>
              <w:bottom w:type="dxa" w:w="80"/>
              <w:right w:type="dxa" w:w="80"/>
            </w:tcMar>
          </w:tcPr>
          <w:p>
            <w:pPr>
              <w:jc w:val="center"/>
            </w:pPr>
            <w:r>
              <w:rPr>
                <w:rFonts w:ascii="Calibri" w:cs="Calibri" w:eastAsia="Calibri" w:hAnsi="Calibri"/>
                <w:b/>
                <w:bCs/>
                <w:i w:val="false"/>
                <w:iCs w:val="false"/>
                <w:color w:val="5A2D91"/>
                <w:sz w:val="18"/>
                <w:szCs w:val="18"/>
              </w:rPr>
              <w:t xml:space="preserve">1</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Context Engineering</w:t>
            </w:r>
          </w:p>
          <w:p>
            <w:pPr>
              <w:spacing w:after="0" w:before="20"/>
            </w:pPr>
            <w:r>
              <w:rPr>
                <w:rFonts w:ascii="Calibri" w:cs="Calibri" w:eastAsia="Calibri" w:hAnsi="Calibri"/>
                <w:b w:val="false"/>
                <w:bCs w:val="false"/>
                <w:i/>
                <w:iCs/>
                <w:color w:val="64748B"/>
                <w:sz w:val="15"/>
                <w:szCs w:val="15"/>
              </w:rPr>
              <w:t xml:space="preserve">muratcankoylan</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14,900 stars. Cited in Peking University research. 14 skills: context fundamentals, degradation patterns, optimization techniques, multi-agent patterns, memory systems, tool design, evaluation. Platform-agnostic.</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The principles layer that makes every other tool work correctly. Compaction at 70-80%, not 90%. Sub-agents return 1K-2K token summaries. Filesystem as memory. Applied to Integra Core architecture.</w:t>
            </w:r>
          </w:p>
        </w:tc>
        <w:tc>
          <w:tcPr>
            <w:tcW w:type="dxa" w:w="700"/>
            <w:tcBorders>
              <w:top w:val="single" w:color="DDDDDD" w:sz="4"/>
              <w:left w:val="single" w:color="DDDDDD" w:sz="4"/>
              <w:bottom w:val="single" w:color="DDDDDD" w:sz="4"/>
              <w:right w:val="single" w:color="DDDDDD" w:sz="4"/>
            </w:tcBorders>
            <w:shd w:fill="FEF3C7" w:val="clear"/>
            <w:tcMar>
              <w:top w:type="dxa" w:w="80"/>
              <w:left w:type="dxa" w:w="80"/>
              <w:bottom w:type="dxa" w:w="80"/>
              <w:right w:type="dxa" w:w="80"/>
            </w:tcMar>
          </w:tcPr>
          <w:p>
            <w:pPr>
              <w:jc w:val="center"/>
            </w:pPr>
            <w:r>
              <w:rPr>
                <w:rFonts w:ascii="Calibri" w:cs="Calibri" w:eastAsia="Calibri" w:hAnsi="Calibri"/>
                <w:b/>
                <w:bCs/>
                <w:i w:val="false"/>
                <w:iCs w:val="false"/>
                <w:color w:val="D97706"/>
                <w:sz w:val="18"/>
                <w:szCs w:val="18"/>
              </w:rPr>
              <w:t xml:space="preserve">2</w:t>
            </w:r>
          </w:p>
        </w:tc>
      </w:tr>
      <w:tr>
        <w:tc>
          <w:tcPr>
            <w:tcW w:type="dxa" w:w="20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K-Dense Scientific</w:t>
            </w:r>
          </w:p>
          <w:p>
            <w:pPr>
              <w:spacing w:after="0" w:before="20"/>
            </w:pPr>
            <w:r>
              <w:rPr>
                <w:rFonts w:ascii="Calibri" w:cs="Calibri" w:eastAsia="Calibri" w:hAnsi="Calibri"/>
                <w:b w:val="false"/>
                <w:bCs w:val="false"/>
                <w:i/>
                <w:iCs/>
                <w:color w:val="64748B"/>
                <w:sz w:val="15"/>
                <w:szCs w:val="15"/>
              </w:rPr>
              <w:t xml:space="preserve">K-Dense-AI</w:t>
            </w:r>
          </w:p>
        </w:tc>
        <w:tc>
          <w:tcPr>
            <w:tcW w:type="dxa" w:w="32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133+ skills covering bioinformatics, cheminformatics, finance (SEC filings, HMDA, Treasury data, Alpha Vantage), time series forecasting, 78+ databases. BYOK desktop co-scientist.</w:t>
            </w:r>
          </w:p>
        </w:tc>
        <w:tc>
          <w:tcPr>
            <w:tcW w:type="dxa" w:w="28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SEC and HMDA data skills are directly applicable to CRA heat map work. Finance research layer for Andre Waits demo. Market research reports as a differentiatedoutput type.</w:t>
            </w:r>
          </w:p>
        </w:tc>
        <w:tc>
          <w:tcPr>
            <w:tcW w:type="dxa" w:w="700"/>
            <w:tcBorders>
              <w:top w:val="single" w:color="DDDDDD" w:sz="4"/>
              <w:left w:val="single" w:color="DDDDDD" w:sz="4"/>
              <w:bottom w:val="single" w:color="DDDDDD" w:sz="4"/>
              <w:right w:val="single" w:color="DDDDDD" w:sz="4"/>
            </w:tcBorders>
            <w:shd w:fill="FEF3C7" w:val="clear"/>
            <w:tcMar>
              <w:top w:type="dxa" w:w="80"/>
              <w:left w:type="dxa" w:w="80"/>
              <w:bottom w:type="dxa" w:w="80"/>
              <w:right w:type="dxa" w:w="80"/>
            </w:tcMar>
          </w:tcPr>
          <w:p>
            <w:pPr>
              <w:jc w:val="center"/>
            </w:pPr>
            <w:r>
              <w:rPr>
                <w:rFonts w:ascii="Calibri" w:cs="Calibri" w:eastAsia="Calibri" w:hAnsi="Calibri"/>
                <w:b/>
                <w:bCs/>
                <w:i w:val="false"/>
                <w:iCs w:val="false"/>
                <w:color w:val="D97706"/>
                <w:sz w:val="18"/>
                <w:szCs w:val="18"/>
              </w:rPr>
              <w:t xml:space="preserve">2</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Academic Research</w:t>
            </w:r>
          </w:p>
          <w:p>
            <w:pPr>
              <w:spacing w:after="0" w:before="20"/>
            </w:pPr>
            <w:r>
              <w:rPr>
                <w:rFonts w:ascii="Calibri" w:cs="Calibri" w:eastAsia="Calibri" w:hAnsi="Calibri"/>
                <w:b w:val="false"/>
                <w:bCs w:val="false"/>
                <w:i/>
                <w:iCs/>
                <w:color w:val="64748B"/>
                <w:sz w:val="15"/>
                <w:szCs w:val="15"/>
              </w:rPr>
              <w:t xml:space="preserve">Imbad0202</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10-stage pipeline. Deep Research: 13-agent team with PRISMA review and Semantic Scholar API verification. Academic Paper: 12-agent writing. Reviewer: 7-agent peer review. Anti-leakage protocol prevents fabricated citations.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SACSCOC narrative documents, TTS institutional reports, Meridia architecture documentation — all research-then-write tasks. Anti-leakage means every claim is verifiable.</w:t>
            </w:r>
          </w:p>
        </w:tc>
        <w:tc>
          <w:tcPr>
            <w:tcW w:type="dxa" w:w="700"/>
            <w:tcBorders>
              <w:top w:val="single" w:color="DDDDDD" w:sz="4"/>
              <w:left w:val="single" w:color="DDDDDD" w:sz="4"/>
              <w:bottom w:val="single" w:color="DDDDDD" w:sz="4"/>
              <w:right w:val="single" w:color="DDDDDD" w:sz="4"/>
            </w:tcBorders>
            <w:shd w:fill="F2F4F8" w:val="clear"/>
            <w:tcMar>
              <w:top w:type="dxa" w:w="80"/>
              <w:left w:type="dxa" w:w="80"/>
              <w:bottom w:type="dxa" w:w="80"/>
              <w:right w:type="dxa" w:w="80"/>
            </w:tcMar>
          </w:tcPr>
          <w:p>
            <w:pPr>
              <w:jc w:val="center"/>
            </w:pPr>
            <w:r>
              <w:rPr>
                <w:rFonts w:ascii="Calibri" w:cs="Calibri" w:eastAsia="Calibri" w:hAnsi="Calibri"/>
                <w:b/>
                <w:bCs/>
                <w:i w:val="false"/>
                <w:iCs w:val="false"/>
                <w:color w:val="64748B"/>
                <w:sz w:val="18"/>
                <w:szCs w:val="18"/>
              </w:rPr>
              <w:t xml:space="preserve">3</w:t>
            </w:r>
          </w:p>
        </w:tc>
      </w:tr>
      <w:tr>
        <w:tc>
          <w:tcPr>
            <w:gridSpan w:val="4"/>
            <w:tcBorders>
              <w:top w:val="single" w:color="888888" w:sz="4"/>
              <w:left w:val="single" w:color="888888" w:sz="4"/>
              <w:bottom w:val="single" w:color="888888" w:sz="4"/>
              <w:right w:val="single" w:color="888888" w:sz="4"/>
            </w:tcBorders>
            <w:shd w:fill="1A3A5C" w:val="clear"/>
            <w:tcMar>
              <w:top w:type="dxa" w:w="60"/>
              <w:left w:type="dxa" w:w="120"/>
              <w:bottom w:type="dxa" w:w="60"/>
              <w:right w:type="dxa" w:w="120"/>
            </w:tcMar>
          </w:tcPr>
          <w:p>
            <w:r>
              <w:rPr>
                <w:rFonts w:ascii="Calibri" w:cs="Calibri" w:eastAsia="Calibri" w:hAnsi="Calibri"/>
                <w:b/>
                <w:bCs/>
                <w:i w:val="false"/>
                <w:iCs w:val="false"/>
                <w:color w:val="FFFFFF"/>
                <w:sz w:val="16"/>
                <w:szCs w:val="16"/>
              </w:rPr>
              <w:t xml:space="preserve">AUTOMATION &amp; INTEGRATION</w:t>
            </w:r>
          </w:p>
        </w:tc>
      </w:tr>
      <w:tr>
        <w:tc>
          <w:tcPr>
            <w:tcW w:type="dxa" w:w="20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n8n-MCP</w:t>
            </w:r>
          </w:p>
          <w:p>
            <w:pPr>
              <w:spacing w:after="0" w:before="20"/>
            </w:pPr>
            <w:r>
              <w:rPr>
                <w:rFonts w:ascii="Calibri" w:cs="Calibri" w:eastAsia="Calibri" w:hAnsi="Calibri"/>
                <w:b w:val="false"/>
                <w:bCs w:val="false"/>
                <w:i/>
                <w:iCs/>
                <w:color w:val="64748B"/>
                <w:sz w:val="15"/>
                <w:szCs w:val="15"/>
              </w:rPr>
              <w:t xml:space="preserve">czlonkowski/n8n-mcp</w:t>
            </w:r>
          </w:p>
        </w:tc>
        <w:tc>
          <w:tcPr>
            <w:tcW w:type="dxa" w:w="32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MCP server for 543 n8n nodes. 2,646 real-world config examples. 2,709 workflow templates. Companion n8n-skills adds 7 Claude Code skills. Claude Code builds n8n workflows directly.</w:t>
            </w:r>
          </w:p>
        </w:tc>
        <w:tc>
          <w:tcPr>
            <w:tcW w:type="dxa" w:w="28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HMDA data pipeline, CRA heat map refresh, Integra Core automation layer, differentiated report generation — all n8n workflows. Claude Code builds them instead of you.</w:t>
            </w:r>
          </w:p>
        </w:tc>
        <w:tc>
          <w:tcPr>
            <w:tcW w:type="dxa" w:w="700"/>
            <w:tcBorders>
              <w:top w:val="single" w:color="DDDDDD" w:sz="4"/>
              <w:left w:val="single" w:color="DDDDDD" w:sz="4"/>
              <w:bottom w:val="single" w:color="DDDDDD" w:sz="4"/>
              <w:right w:val="single" w:color="DDDDDD" w:sz="4"/>
            </w:tcBorders>
            <w:shd w:fill="EDE4F7" w:val="clear"/>
            <w:tcMar>
              <w:top w:type="dxa" w:w="80"/>
              <w:left w:type="dxa" w:w="80"/>
              <w:bottom w:type="dxa" w:w="80"/>
              <w:right w:type="dxa" w:w="80"/>
            </w:tcMar>
          </w:tcPr>
          <w:p>
            <w:pPr>
              <w:jc w:val="center"/>
            </w:pPr>
            <w:r>
              <w:rPr>
                <w:rFonts w:ascii="Calibri" w:cs="Calibri" w:eastAsia="Calibri" w:hAnsi="Calibri"/>
                <w:b/>
                <w:bCs/>
                <w:i w:val="false"/>
                <w:iCs w:val="false"/>
                <w:color w:val="5A2D91"/>
                <w:sz w:val="18"/>
                <w:szCs w:val="18"/>
              </w:rPr>
              <w:t xml:space="preserve">1</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Composio connect-apps</w:t>
            </w:r>
          </w:p>
          <w:p>
            <w:pPr>
              <w:spacing w:after="0" w:before="20"/>
            </w:pPr>
            <w:r>
              <w:rPr>
                <w:rFonts w:ascii="Calibri" w:cs="Calibri" w:eastAsia="Calibri" w:hAnsi="Calibri"/>
                <w:b w:val="false"/>
                <w:bCs w:val="false"/>
                <w:i/>
                <w:iCs/>
                <w:color w:val="64748B"/>
                <w:sz w:val="15"/>
                <w:szCs w:val="15"/>
              </w:rPr>
              <w:t xml:space="preserve">ComposioHQ</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500+ app integrations through one API key. Gmail, Slack, GitHub, Notion. Claude performs real actions — sends emails, creates issues, posts messages. Handles authentication automatically.</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When Integra Core generates a board report, it emails it. When a governance alert fires, it posts to Slack. When a SACSCOC document completes, it creates a GitHub issue. One key, all channels.</w:t>
            </w:r>
          </w:p>
        </w:tc>
        <w:tc>
          <w:tcPr>
            <w:tcW w:type="dxa" w:w="700"/>
            <w:tcBorders>
              <w:top w:val="single" w:color="DDDDDD" w:sz="4"/>
              <w:left w:val="single" w:color="DDDDDD" w:sz="4"/>
              <w:bottom w:val="single" w:color="DDDDDD" w:sz="4"/>
              <w:right w:val="single" w:color="DDDDDD" w:sz="4"/>
            </w:tcBorders>
            <w:shd w:fill="FEF3C7" w:val="clear"/>
            <w:tcMar>
              <w:top w:type="dxa" w:w="80"/>
              <w:left w:type="dxa" w:w="80"/>
              <w:bottom w:type="dxa" w:w="80"/>
              <w:right w:type="dxa" w:w="80"/>
            </w:tcMar>
          </w:tcPr>
          <w:p>
            <w:pPr>
              <w:jc w:val="center"/>
            </w:pPr>
            <w:r>
              <w:rPr>
                <w:rFonts w:ascii="Calibri" w:cs="Calibri" w:eastAsia="Calibri" w:hAnsi="Calibri"/>
                <w:b/>
                <w:bCs/>
                <w:i w:val="false"/>
                <w:iCs w:val="false"/>
                <w:color w:val="D97706"/>
                <w:sz w:val="18"/>
                <w:szCs w:val="18"/>
              </w:rPr>
              <w:t xml:space="preserve">2</w:t>
            </w:r>
          </w:p>
        </w:tc>
      </w:tr>
      <w:tr>
        <w:tc>
          <w:tcPr>
            <w:gridSpan w:val="4"/>
            <w:tcBorders>
              <w:top w:val="single" w:color="888888" w:sz="4"/>
              <w:left w:val="single" w:color="888888" w:sz="4"/>
              <w:bottom w:val="single" w:color="888888" w:sz="4"/>
              <w:right w:val="single" w:color="888888" w:sz="4"/>
            </w:tcBorders>
            <w:shd w:fill="1A3A5C" w:val="clear"/>
            <w:tcMar>
              <w:top w:type="dxa" w:w="60"/>
              <w:left w:type="dxa" w:w="120"/>
              <w:bottom w:type="dxa" w:w="60"/>
              <w:right w:type="dxa" w:w="120"/>
            </w:tcMar>
          </w:tcPr>
          <w:p>
            <w:r>
              <w:rPr>
                <w:rFonts w:ascii="Calibri" w:cs="Calibri" w:eastAsia="Calibri" w:hAnsi="Calibri"/>
                <w:b/>
                <w:bCs/>
                <w:i w:val="false"/>
                <w:iCs w:val="false"/>
                <w:color w:val="FFFFFF"/>
                <w:sz w:val="16"/>
                <w:szCs w:val="16"/>
              </w:rPr>
              <w:t xml:space="preserve">SECURITY &amp; DATA PROTECTION</w:t>
            </w:r>
          </w:p>
        </w:tc>
      </w:tr>
      <w:tr>
        <w:tc>
          <w:tcPr>
            <w:tcW w:type="dxa" w:w="20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LLM Anonymizer</w:t>
            </w:r>
          </w:p>
          <w:p>
            <w:pPr>
              <w:spacing w:after="0" w:before="20"/>
            </w:pPr>
            <w:r>
              <w:rPr>
                <w:rFonts w:ascii="Calibri" w:cs="Calibri" w:eastAsia="Calibri" w:hAnsi="Calibri"/>
                <w:b w:val="false"/>
                <w:bCs w:val="false"/>
                <w:i/>
                <w:iCs/>
                <w:color w:val="64748B"/>
                <w:sz w:val="15"/>
                <w:szCs w:val="15"/>
              </w:rPr>
              <w:t xml:space="preserve">zeroc00I/LLM-anonymization</w:t>
            </w:r>
          </w:p>
        </w:tc>
        <w:tc>
          <w:tcPr>
            <w:tcW w:type="dxa" w:w="32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Transparent proxy between Claude Code and Anthropic API. Dual-layer: Ollama LLM for context-aware detection + regex for IPs, hashes, credentials, PII. SQLite vault per engagement. 0% leak policy.</w:t>
            </w:r>
          </w:p>
        </w:tc>
        <w:tc>
          <w:tcPr>
            <w:tcW w:type="dxa" w:w="28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Financial data, student records, HMDA data, endowment statements — none of it leaves the machine. Production-safe Claude Code for a financial intelligence platform.</w:t>
            </w:r>
          </w:p>
        </w:tc>
        <w:tc>
          <w:tcPr>
            <w:tcW w:type="dxa" w:w="700"/>
            <w:tcBorders>
              <w:top w:val="single" w:color="DDDDDD" w:sz="4"/>
              <w:left w:val="single" w:color="DDDDDD" w:sz="4"/>
              <w:bottom w:val="single" w:color="DDDDDD" w:sz="4"/>
              <w:right w:val="single" w:color="DDDDDD" w:sz="4"/>
            </w:tcBorders>
            <w:shd w:fill="EDE4F7" w:val="clear"/>
            <w:tcMar>
              <w:top w:type="dxa" w:w="80"/>
              <w:left w:type="dxa" w:w="80"/>
              <w:bottom w:type="dxa" w:w="80"/>
              <w:right w:type="dxa" w:w="80"/>
            </w:tcMar>
          </w:tcPr>
          <w:p>
            <w:pPr>
              <w:jc w:val="center"/>
            </w:pPr>
            <w:r>
              <w:rPr>
                <w:rFonts w:ascii="Calibri" w:cs="Calibri" w:eastAsia="Calibri" w:hAnsi="Calibri"/>
                <w:b/>
                <w:bCs/>
                <w:i w:val="false"/>
                <w:iCs w:val="false"/>
                <w:color w:val="5A2D91"/>
                <w:sz w:val="18"/>
                <w:szCs w:val="18"/>
              </w:rPr>
              <w:t xml:space="preserve">1</w:t>
            </w:r>
          </w:p>
        </w:tc>
      </w:tr>
      <w:tr>
        <w:tc>
          <w:tcPr>
            <w:gridSpan w:val="4"/>
            <w:tcBorders>
              <w:top w:val="single" w:color="888888" w:sz="4"/>
              <w:left w:val="single" w:color="888888" w:sz="4"/>
              <w:bottom w:val="single" w:color="888888" w:sz="4"/>
              <w:right w:val="single" w:color="888888" w:sz="4"/>
            </w:tcBorders>
            <w:shd w:fill="1A3A5C" w:val="clear"/>
            <w:tcMar>
              <w:top w:type="dxa" w:w="60"/>
              <w:left w:type="dxa" w:w="120"/>
              <w:bottom w:type="dxa" w:w="60"/>
              <w:right w:type="dxa" w:w="120"/>
            </w:tcMar>
          </w:tcPr>
          <w:p>
            <w:r>
              <w:rPr>
                <w:rFonts w:ascii="Calibri" w:cs="Calibri" w:eastAsia="Calibri" w:hAnsi="Calibri"/>
                <w:b/>
                <w:bCs/>
                <w:i w:val="false"/>
                <w:iCs w:val="false"/>
                <w:color w:val="FFFFFF"/>
                <w:sz w:val="16"/>
                <w:szCs w:val="16"/>
              </w:rPr>
              <w:t xml:space="preserve">MANAGEMENT &amp; INTERFACE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CCHub</w:t>
            </w:r>
          </w:p>
          <w:p>
            <w:pPr>
              <w:spacing w:after="0" w:before="20"/>
            </w:pPr>
            <w:r>
              <w:rPr>
                <w:rFonts w:ascii="Calibri" w:cs="Calibri" w:eastAsia="Calibri" w:hAnsi="Calibri"/>
                <w:b w:val="false"/>
                <w:bCs w:val="false"/>
                <w:i/>
                <w:iCs/>
                <w:color w:val="64748B"/>
                <w:sz w:val="15"/>
                <w:szCs w:val="15"/>
              </w:rPr>
              <w:t xml:space="preserve">Moresl/cchub</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Desktop GUI for Claude Code ecosystem. Install MCP servers in one click. Switch configs instantly. Monitor health. Auto-scan Claude Code, Claude Desktop, Cursor configs. No JSON editing.</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Control panel for the full stack. Instead of editing settings.json manually, you manage all MCP servers, skills, and plugins through a visual interface.</w:t>
            </w:r>
          </w:p>
        </w:tc>
        <w:tc>
          <w:tcPr>
            <w:tcW w:type="dxa" w:w="700"/>
            <w:tcBorders>
              <w:top w:val="single" w:color="DDDDDD" w:sz="4"/>
              <w:left w:val="single" w:color="DDDDDD" w:sz="4"/>
              <w:bottom w:val="single" w:color="DDDDDD" w:sz="4"/>
              <w:right w:val="single" w:color="DDDDDD" w:sz="4"/>
            </w:tcBorders>
            <w:shd w:fill="FEF3C7" w:val="clear"/>
            <w:tcMar>
              <w:top w:type="dxa" w:w="80"/>
              <w:left w:type="dxa" w:w="80"/>
              <w:bottom w:type="dxa" w:w="80"/>
              <w:right w:type="dxa" w:w="80"/>
            </w:tcMar>
          </w:tcPr>
          <w:p>
            <w:pPr>
              <w:jc w:val="center"/>
            </w:pPr>
            <w:r>
              <w:rPr>
                <w:rFonts w:ascii="Calibri" w:cs="Calibri" w:eastAsia="Calibri" w:hAnsi="Calibri"/>
                <w:b/>
                <w:bCs/>
                <w:i w:val="false"/>
                <w:iCs w:val="false"/>
                <w:color w:val="D97706"/>
                <w:sz w:val="18"/>
                <w:szCs w:val="18"/>
              </w:rPr>
              <w:t xml:space="preserve">2</w:t>
            </w:r>
          </w:p>
        </w:tc>
      </w:tr>
      <w:tr>
        <w:tc>
          <w:tcPr>
            <w:tcW w:type="dxa" w:w="20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Claude Code Templates</w:t>
            </w:r>
          </w:p>
          <w:p>
            <w:pPr>
              <w:spacing w:after="0" w:before="20"/>
            </w:pPr>
            <w:r>
              <w:rPr>
                <w:rFonts w:ascii="Calibri" w:cs="Calibri" w:eastAsia="Calibri" w:hAnsi="Calibri"/>
                <w:b w:val="false"/>
                <w:bCs w:val="false"/>
                <w:i/>
                <w:iCs/>
                <w:color w:val="64748B"/>
                <w:sz w:val="15"/>
                <w:szCs w:val="15"/>
              </w:rPr>
              <w:t xml:space="preserve">davila7/claude-code-templates</w:t>
            </w:r>
          </w:p>
        </w:tc>
        <w:tc>
          <w:tcPr>
            <w:tcW w:type="dxa" w:w="32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900+ components: 600+ agents, 200+ commands, 55+ MCPs, 60+ settings, 39+ hooks. CLI installer with project type detection. PostgreSQL MCP integration: one command.</w:t>
            </w:r>
          </w:p>
        </w:tc>
        <w:tc>
          <w:tcPr>
            <w:tcW w:type="dxa" w:w="2800"/>
            <w:tcBorders>
              <w:top w:val="single" w:color="DDDDDD" w:sz="4"/>
              <w:left w:val="single" w:color="DDDDDD" w:sz="4"/>
              <w:bottom w:val="single" w:color="DDDDDD" w:sz="4"/>
              <w:right w:val="single" w:color="DDDDDD" w:sz="4"/>
            </w:tcBorders>
            <w:shd w:fill="F2F4F8"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Fastest path to configured environment. PostgreSQL MCP alone connects Claude Code to NAS database in one command. K-Dense scientific skills pre-integrated.</w:t>
            </w:r>
          </w:p>
        </w:tc>
        <w:tc>
          <w:tcPr>
            <w:tcW w:type="dxa" w:w="700"/>
            <w:tcBorders>
              <w:top w:val="single" w:color="DDDDDD" w:sz="4"/>
              <w:left w:val="single" w:color="DDDDDD" w:sz="4"/>
              <w:bottom w:val="single" w:color="DDDDDD" w:sz="4"/>
              <w:right w:val="single" w:color="DDDDDD" w:sz="4"/>
            </w:tcBorders>
            <w:shd w:fill="FEF3C7" w:val="clear"/>
            <w:tcMar>
              <w:top w:type="dxa" w:w="80"/>
              <w:left w:type="dxa" w:w="80"/>
              <w:bottom w:type="dxa" w:w="80"/>
              <w:right w:type="dxa" w:w="80"/>
            </w:tcMar>
          </w:tcPr>
          <w:p>
            <w:pPr>
              <w:jc w:val="center"/>
            </w:pPr>
            <w:r>
              <w:rPr>
                <w:rFonts w:ascii="Calibri" w:cs="Calibri" w:eastAsia="Calibri" w:hAnsi="Calibri"/>
                <w:b/>
                <w:bCs/>
                <w:i w:val="false"/>
                <w:iCs w:val="false"/>
                <w:color w:val="D97706"/>
                <w:sz w:val="18"/>
                <w:szCs w:val="18"/>
              </w:rPr>
              <w:t xml:space="preserve">2</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i w:val="false"/>
                <w:iCs w:val="false"/>
                <w:color w:val="5A2D91"/>
                <w:sz w:val="18"/>
                <w:szCs w:val="18"/>
              </w:rPr>
              <w:t xml:space="preserve">VoiceMode</w:t>
            </w:r>
          </w:p>
          <w:p>
            <w:pPr>
              <w:spacing w:after="0" w:before="20"/>
            </w:pPr>
            <w:r>
              <w:rPr>
                <w:rFonts w:ascii="Calibri" w:cs="Calibri" w:eastAsia="Calibri" w:hAnsi="Calibri"/>
                <w:b w:val="false"/>
                <w:bCs w:val="false"/>
                <w:i/>
                <w:iCs/>
                <w:color w:val="64748B"/>
                <w:sz w:val="15"/>
                <w:szCs w:val="15"/>
              </w:rPr>
              <w:t xml:space="preserve">mbailey/voicemode</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Natural two-way voice conversations. Local Whisper STT port 2022, Kokoro TTS port 8880. 0.3s transcription latency. Apple Silicon: 8-12x faster via CoreML. Fully offline, no audio leaves machine.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Aletheia demo layer. Keith Mosley and Andre Waits demos — Aletheia conducting live voice conversations. Also applicable to hands-free builds during autonomous loop runs.</w:t>
            </w:r>
          </w:p>
        </w:tc>
        <w:tc>
          <w:tcPr>
            <w:tcW w:type="dxa" w:w="700"/>
            <w:tcBorders>
              <w:top w:val="single" w:color="DDDDDD" w:sz="4"/>
              <w:left w:val="single" w:color="DDDDDD" w:sz="4"/>
              <w:bottom w:val="single" w:color="DDDDDD" w:sz="4"/>
              <w:right w:val="single" w:color="DDDDDD" w:sz="4"/>
            </w:tcBorders>
            <w:shd w:fill="F2F4F8" w:val="clear"/>
            <w:tcMar>
              <w:top w:type="dxa" w:w="80"/>
              <w:left w:type="dxa" w:w="80"/>
              <w:bottom w:type="dxa" w:w="80"/>
              <w:right w:type="dxa" w:w="80"/>
            </w:tcMar>
          </w:tcPr>
          <w:p>
            <w:pPr>
              <w:jc w:val="center"/>
            </w:pPr>
            <w:r>
              <w:rPr>
                <w:rFonts w:ascii="Calibri" w:cs="Calibri" w:eastAsia="Calibri" w:hAnsi="Calibri"/>
                <w:b/>
                <w:bCs/>
                <w:i w:val="false"/>
                <w:iCs w:val="false"/>
                <w:color w:val="64748B"/>
                <w:sz w:val="18"/>
                <w:szCs w:val="18"/>
              </w:rPr>
              <w:t xml:space="preserve">3</w:t>
            </w:r>
          </w:p>
        </w:tc>
      </w:tr>
    </w:tbl>
    <w:p>
      <w:pPr>
        <w:spacing w:after="0" w:before="40"/>
      </w:pPr>
      <w:r>
        <w:rPr>
          <w:rFonts w:ascii="Calibri" w:cs="Calibri" w:eastAsia="Calibri" w:hAnsi="Calibri"/>
          <w:b w:val="false"/>
          <w:bCs w:val="false"/>
          <w:i w:val="false"/>
          <w:iCs w:val="false"/>
          <w:color w:val="1A1A2E"/>
          <w:sz w:val="20"/>
          <w:szCs w:val="20"/>
        </w:rPr>
        <w:t xml:space="preserve"/>
      </w:r>
    </w:p>
    <w:p>
      <w:pPr>
        <w:spacing w:after="0" w:before="0"/>
      </w:pPr>
      <w:r>
        <w:rPr>
          <w:rFonts w:ascii="Calibri" w:cs="Calibri" w:eastAsia="Calibri" w:hAnsi="Calibri"/>
          <w:b/>
          <w:bCs/>
          <w:i w:val="false"/>
          <w:iCs w:val="false"/>
          <w:color w:val="1A1A2E"/>
          <w:sz w:val="17"/>
          <w:szCs w:val="17"/>
        </w:rPr>
        <w:t xml:space="preserve">Priority: </w:t>
      </w:r>
      <w:r>
        <w:rPr>
          <w:rFonts w:ascii="Calibri" w:cs="Calibri" w:eastAsia="Calibri" w:hAnsi="Calibri"/>
          <w:b/>
          <w:bCs/>
          <w:i w:val="false"/>
          <w:iCs w:val="false"/>
          <w:color w:val="5A2D91"/>
          <w:sz w:val="17"/>
          <w:szCs w:val="17"/>
        </w:rPr>
        <w:t xml:space="preserve">1 = Install Week 1  ·  </w:t>
      </w:r>
      <w:r>
        <w:rPr>
          <w:rFonts w:ascii="Calibri" w:cs="Calibri" w:eastAsia="Calibri" w:hAnsi="Calibri"/>
          <w:b/>
          <w:bCs/>
          <w:i w:val="false"/>
          <w:iCs w:val="false"/>
          <w:color w:val="D97706"/>
          <w:sz w:val="17"/>
          <w:szCs w:val="17"/>
        </w:rPr>
        <w:t xml:space="preserve">2 = Install Month 1  ·  </w:t>
      </w:r>
      <w:r>
        <w:rPr>
          <w:rFonts w:ascii="Calibri" w:cs="Calibri" w:eastAsia="Calibri" w:hAnsi="Calibri"/>
          <w:b/>
          <w:bCs/>
          <w:i w:val="false"/>
          <w:iCs w:val="false"/>
          <w:color w:val="64748B"/>
          <w:sz w:val="17"/>
          <w:szCs w:val="17"/>
        </w:rPr>
        <w:t xml:space="preserve">3 = Install Quarter 1</w:t>
      </w:r>
    </w:p>
    <w:p>
      <w:pPr>
        <w:spacing w:after="0" w:before="40"/>
      </w:pPr>
      <w:r>
        <w:rPr>
          <w:rFonts w:ascii="Calibri" w:cs="Calibri" w:eastAsia="Calibri" w:hAnsi="Calibri"/>
          <w:b w:val="false"/>
          <w:bCs w:val="false"/>
          <w:i w:val="false"/>
          <w:iCs w:val="false"/>
          <w:color w:val="1A1A2E"/>
          <w:sz w:val="20"/>
          <w:szCs w:val="20"/>
        </w:rPr>
        <w:t xml:space="preserve"/>
      </w:r>
    </w:p>
    <w:p>
      <w:pPr>
        <w:pBdr>
          <w:bottom w:val="thick" w:color="5A2D91" w:sz="6" w:space="3"/>
        </w:pBdr>
        <w:spacing w:after="120" w:before="320"/>
      </w:pPr>
      <w:r>
        <w:rPr>
          <w:rFonts w:ascii="Calibri" w:cs="Calibri" w:eastAsia="Calibri" w:hAnsi="Calibri"/>
          <w:b/>
          <w:bCs/>
          <w:i w:val="false"/>
          <w:iCs w:val="false"/>
          <w:color w:val="5A2D91"/>
          <w:sz w:val="28"/>
          <w:szCs w:val="28"/>
        </w:rPr>
        <w:t xml:space="preserve">3. THE TARGET ARCHITECTURE</w:t>
      </w:r>
    </w:p>
    <w:p>
      <w:pPr>
        <w:spacing w:after="60" w:before="60"/>
      </w:pPr>
      <w:r>
        <w:rPr>
          <w:rFonts w:ascii="Calibri" w:cs="Calibri" w:eastAsia="Calibri" w:hAnsi="Calibri"/>
          <w:b w:val="false"/>
          <w:bCs w:val="false"/>
          <w:i w:val="false"/>
          <w:iCs w:val="false"/>
          <w:color w:val="1A1A2E"/>
          <w:sz w:val="20"/>
          <w:szCs w:val="20"/>
        </w:rPr>
        <w:t xml:space="preserve">The current operating mode: chat thread → ad hoc builds → context collapse → rebuild. The target operating mode: persistent workspace → structured methodology → autonomous execution → governed outputs. Three layers, each with a clear function.</w:t>
      </w:r>
    </w:p>
    <w:p>
      <w:pPr>
        <w:spacing w:after="0" w:before="20"/>
      </w:pPr>
      <w:r>
        <w:rPr>
          <w:rFonts w:ascii="Calibri" w:cs="Calibri" w:eastAsia="Calibri" w:hAnsi="Calibri"/>
          <w:b w:val="false"/>
          <w:bCs w:val="false"/>
          <w:i w:val="false"/>
          <w:iCs w:val="false"/>
          <w:color w:val="1A1A2E"/>
          <w:sz w:val="20"/>
          <w:szCs w:val="20"/>
        </w:rPr>
        <w:t xml:space="preserve"/>
      </w:r>
    </w:p>
    <w:p>
      <w:pPr>
        <w:spacing w:after="80" w:before="200"/>
      </w:pPr>
      <w:r>
        <w:rPr>
          <w:rFonts w:ascii="Calibri" w:cs="Calibri" w:eastAsia="Calibri" w:hAnsi="Calibri"/>
          <w:b/>
          <w:bCs/>
          <w:i w:val="false"/>
          <w:iCs w:val="false"/>
          <w:color w:val="1E3A5F"/>
          <w:sz w:val="22"/>
          <w:szCs w:val="22"/>
        </w:rPr>
        <w:t xml:space="preserve">3.1 The Three Layers</w:t>
      </w:r>
    </w:p>
    <w:p>
      <w:pPr>
        <w:spacing w:after="60" w:before="140"/>
      </w:pPr>
      <w:r>
        <w:rPr>
          <w:rFonts w:ascii="Calibri" w:cs="Calibri" w:eastAsia="Calibri" w:hAnsi="Calibri"/>
          <w:b/>
          <w:bCs/>
          <w:i w:val="false"/>
          <w:iCs w:val="false"/>
          <w:color w:val="1A3A5C"/>
          <w:sz w:val="20"/>
          <w:szCs w:val="20"/>
        </w:rPr>
        <w:t xml:space="preserve">Execution Layer — How work gets done</w:t>
      </w:r>
    </w:p>
    <w:p>
      <w:pPr>
        <w:spacing w:after="40" w:before="40"/>
        <w:ind w:left="400"/>
      </w:pPr>
      <w:r>
        <w:rPr>
          <w:rFonts w:ascii="Calibri" w:cs="Calibri" w:eastAsia="Calibri" w:hAnsi="Calibri"/>
          <w:b/>
          <w:bCs/>
          <w:i w:val="false"/>
          <w:iCs w:val="false"/>
          <w:color w:val="5A2D91"/>
          <w:sz w:val="20"/>
          <w:szCs w:val="20"/>
        </w:rPr>
        <w:t xml:space="preserve">• </w:t>
      </w:r>
      <w:r>
        <w:rPr>
          <w:rFonts w:ascii="Calibri" w:cs="Calibri" w:eastAsia="Calibri" w:hAnsi="Calibri"/>
          <w:b w:val="false"/>
          <w:bCs w:val="false"/>
          <w:i w:val="false"/>
          <w:iCs w:val="false"/>
          <w:color w:val="1A1A2E"/>
          <w:sz w:val="19"/>
          <w:szCs w:val="19"/>
        </w:rPr>
        <w:t xml:space="preserve">Ralph (circuit breaker + autonomous loop) runs builds until completion without drift</w:t>
      </w:r>
    </w:p>
    <w:p>
      <w:pPr>
        <w:spacing w:after="40" w:before="40"/>
        <w:ind w:left="400"/>
      </w:pPr>
      <w:r>
        <w:rPr>
          <w:rFonts w:ascii="Calibri" w:cs="Calibri" w:eastAsia="Calibri" w:hAnsi="Calibri"/>
          <w:b/>
          <w:bCs/>
          <w:i w:val="false"/>
          <w:iCs w:val="false"/>
          <w:color w:val="5A2D91"/>
          <w:sz w:val="20"/>
          <w:szCs w:val="20"/>
        </w:rPr>
        <w:t xml:space="preserve">• </w:t>
      </w:r>
      <w:r>
        <w:rPr>
          <w:rFonts w:ascii="Calibri" w:cs="Calibri" w:eastAsia="Calibri" w:hAnsi="Calibri"/>
          <w:b w:val="false"/>
          <w:bCs w:val="false"/>
          <w:i w:val="false"/>
          <w:iCs w:val="false"/>
          <w:color w:val="1A1A2E"/>
          <w:sz w:val="19"/>
          <w:szCs w:val="19"/>
        </w:rPr>
        <w:t xml:space="preserve">Superpowers (design-first methodology) prevents code from being written before specs are approved</w:t>
      </w:r>
    </w:p>
    <w:p>
      <w:pPr>
        <w:spacing w:after="40" w:before="40"/>
        <w:ind w:left="400"/>
      </w:pPr>
      <w:r>
        <w:rPr>
          <w:rFonts w:ascii="Calibri" w:cs="Calibri" w:eastAsia="Calibri" w:hAnsi="Calibri"/>
          <w:b/>
          <w:bCs/>
          <w:i w:val="false"/>
          <w:iCs w:val="false"/>
          <w:color w:val="5A2D91"/>
          <w:sz w:val="20"/>
          <w:szCs w:val="20"/>
        </w:rPr>
        <w:t xml:space="preserve">• </w:t>
      </w:r>
      <w:r>
        <w:rPr>
          <w:rFonts w:ascii="Calibri" w:cs="Calibri" w:eastAsia="Calibri" w:hAnsi="Calibri"/>
          <w:b w:val="false"/>
          <w:bCs w:val="false"/>
          <w:i w:val="false"/>
          <w:iCs w:val="false"/>
          <w:color w:val="1A1A2E"/>
          <w:sz w:val="19"/>
          <w:szCs w:val="19"/>
        </w:rPr>
        <w:t xml:space="preserve">CCPM (GitHub Issues) tracks every decision with full traceability — PRD → Epic → Task → Issue → Code → Commit</w:t>
      </w:r>
    </w:p>
    <w:p>
      <w:pPr>
        <w:spacing w:after="40" w:before="40"/>
        <w:ind w:left="400"/>
      </w:pPr>
      <w:r>
        <w:rPr>
          <w:rFonts w:ascii="Calibri" w:cs="Calibri" w:eastAsia="Calibri" w:hAnsi="Calibri"/>
          <w:b/>
          <w:bCs/>
          <w:i w:val="false"/>
          <w:iCs w:val="false"/>
          <w:color w:val="5A2D91"/>
          <w:sz w:val="20"/>
          <w:szCs w:val="20"/>
        </w:rPr>
        <w:t xml:space="preserve">• </w:t>
      </w:r>
      <w:r>
        <w:rPr>
          <w:rFonts w:ascii="Calibri" w:cs="Calibri" w:eastAsia="Calibri" w:hAnsi="Calibri"/>
          <w:b w:val="false"/>
          <w:bCs w:val="false"/>
          <w:i w:val="false"/>
          <w:iCs w:val="false"/>
          <w:color w:val="1A1A2E"/>
          <w:sz w:val="19"/>
          <w:szCs w:val="19"/>
        </w:rPr>
        <w:t xml:space="preserve">Everything Claude Code (agent harness) enforces standards and security at the code level</w:t>
      </w:r>
    </w:p>
    <w:p>
      <w:pPr>
        <w:spacing w:after="0" w:before="10"/>
      </w:pPr>
      <w:r>
        <w:rPr>
          <w:rFonts w:ascii="Calibri" w:cs="Calibri" w:eastAsia="Calibri" w:hAnsi="Calibri"/>
          <w:b w:val="false"/>
          <w:bCs w:val="false"/>
          <w:i w:val="false"/>
          <w:iCs w:val="false"/>
          <w:color w:val="1A1A2E"/>
          <w:sz w:val="20"/>
          <w:szCs w:val="20"/>
        </w:rPr>
        <w:t xml:space="preserve"/>
      </w:r>
    </w:p>
    <w:p>
      <w:pPr>
        <w:spacing w:after="60" w:before="140"/>
      </w:pPr>
      <w:r>
        <w:rPr>
          <w:rFonts w:ascii="Calibri" w:cs="Calibri" w:eastAsia="Calibri" w:hAnsi="Calibri"/>
          <w:b/>
          <w:bCs/>
          <w:i w:val="false"/>
          <w:iCs w:val="false"/>
          <w:color w:val="1A3A5C"/>
          <w:sz w:val="20"/>
          <w:szCs w:val="20"/>
        </w:rPr>
        <w:t xml:space="preserve">Intelligence Layer — What the system knows</w:t>
      </w:r>
    </w:p>
    <w:p>
      <w:pPr>
        <w:spacing w:after="40" w:before="40"/>
        <w:ind w:left="400"/>
      </w:pPr>
      <w:r>
        <w:rPr>
          <w:rFonts w:ascii="Calibri" w:cs="Calibri" w:eastAsia="Calibri" w:hAnsi="Calibri"/>
          <w:b/>
          <w:bCs/>
          <w:i w:val="false"/>
          <w:iCs w:val="false"/>
          <w:color w:val="5A2D91"/>
          <w:sz w:val="20"/>
          <w:szCs w:val="20"/>
        </w:rPr>
        <w:t xml:space="preserve">• </w:t>
      </w:r>
      <w:r>
        <w:rPr>
          <w:rFonts w:ascii="Calibri" w:cs="Calibri" w:eastAsia="Calibri" w:hAnsi="Calibri"/>
          <w:b w:val="false"/>
          <w:bCs w:val="false"/>
          <w:i w:val="false"/>
          <w:iCs w:val="false"/>
          <w:color w:val="1A1A2E"/>
          <w:sz w:val="19"/>
          <w:szCs w:val="19"/>
        </w:rPr>
        <w:t xml:space="preserve">LightRAG (graph + vector retrieval) turns the NAS corpus into a structured knowledge graph Aletheia queries</w:t>
      </w:r>
    </w:p>
    <w:p>
      <w:pPr>
        <w:spacing w:after="40" w:before="40"/>
        <w:ind w:left="400"/>
      </w:pPr>
      <w:r>
        <w:rPr>
          <w:rFonts w:ascii="Calibri" w:cs="Calibri" w:eastAsia="Calibri" w:hAnsi="Calibri"/>
          <w:b/>
          <w:bCs/>
          <w:i w:val="false"/>
          <w:iCs w:val="false"/>
          <w:color w:val="5A2D91"/>
          <w:sz w:val="20"/>
          <w:szCs w:val="20"/>
        </w:rPr>
        <w:t xml:space="preserve">• </w:t>
      </w:r>
      <w:r>
        <w:rPr>
          <w:rFonts w:ascii="Calibri" w:cs="Calibri" w:eastAsia="Calibri" w:hAnsi="Calibri"/>
          <w:b w:val="false"/>
          <w:bCs w:val="false"/>
          <w:i w:val="false"/>
          <w:iCs w:val="false"/>
          <w:color w:val="1A1A2E"/>
          <w:sz w:val="19"/>
          <w:szCs w:val="19"/>
        </w:rPr>
        <w:t xml:space="preserve">Claude Mem (session memory) captures every architectural decision and makes it retrievable across sessions</w:t>
      </w:r>
    </w:p>
    <w:p>
      <w:pPr>
        <w:spacing w:after="40" w:before="40"/>
        <w:ind w:left="400"/>
      </w:pPr>
      <w:r>
        <w:rPr>
          <w:rFonts w:ascii="Calibri" w:cs="Calibri" w:eastAsia="Calibri" w:hAnsi="Calibri"/>
          <w:b/>
          <w:bCs/>
          <w:i w:val="false"/>
          <w:iCs w:val="false"/>
          <w:color w:val="5A2D91"/>
          <w:sz w:val="20"/>
          <w:szCs w:val="20"/>
        </w:rPr>
        <w:t xml:space="preserve">• </w:t>
      </w:r>
      <w:r>
        <w:rPr>
          <w:rFonts w:ascii="Calibri" w:cs="Calibri" w:eastAsia="Calibri" w:hAnsi="Calibri"/>
          <w:b w:val="false"/>
          <w:bCs w:val="false"/>
          <w:i w:val="false"/>
          <w:iCs w:val="false"/>
          <w:color w:val="1A1A2E"/>
          <w:sz w:val="19"/>
          <w:szCs w:val="19"/>
        </w:rPr>
        <w:t xml:space="preserve">Context Engineering (14 skills) governs how information enters the context window — compaction at 70-80%, sub-agent isolation, filesystem as memory</w:t>
      </w:r>
    </w:p>
    <w:p>
      <w:pPr>
        <w:spacing w:after="40" w:before="40"/>
        <w:ind w:left="400"/>
      </w:pPr>
      <w:r>
        <w:rPr>
          <w:rFonts w:ascii="Calibri" w:cs="Calibri" w:eastAsia="Calibri" w:hAnsi="Calibri"/>
          <w:b/>
          <w:bCs/>
          <w:i w:val="false"/>
          <w:iCs w:val="false"/>
          <w:color w:val="5A2D91"/>
          <w:sz w:val="20"/>
          <w:szCs w:val="20"/>
        </w:rPr>
        <w:t xml:space="preserve">• </w:t>
      </w:r>
      <w:r>
        <w:rPr>
          <w:rFonts w:ascii="Calibri" w:cs="Calibri" w:eastAsia="Calibri" w:hAnsi="Calibri"/>
          <w:b w:val="false"/>
          <w:bCs w:val="false"/>
          <w:i w:val="false"/>
          <w:iCs w:val="false"/>
          <w:color w:val="1A1A2E"/>
          <w:sz w:val="19"/>
          <w:szCs w:val="19"/>
        </w:rPr>
        <w:t xml:space="preserve">K-Dense Scientific Skills (133+ skills including finance/SEC/HMDA) provides the domain expertise layer for data work</w:t>
      </w:r>
    </w:p>
    <w:p>
      <w:pPr>
        <w:spacing w:after="0" w:before="10"/>
      </w:pPr>
      <w:r>
        <w:rPr>
          <w:rFonts w:ascii="Calibri" w:cs="Calibri" w:eastAsia="Calibri" w:hAnsi="Calibri"/>
          <w:b w:val="false"/>
          <w:bCs w:val="false"/>
          <w:i w:val="false"/>
          <w:iCs w:val="false"/>
          <w:color w:val="1A1A2E"/>
          <w:sz w:val="20"/>
          <w:szCs w:val="20"/>
        </w:rPr>
        <w:t xml:space="preserve"/>
      </w:r>
    </w:p>
    <w:p>
      <w:pPr>
        <w:spacing w:after="60" w:before="140"/>
      </w:pPr>
      <w:r>
        <w:rPr>
          <w:rFonts w:ascii="Calibri" w:cs="Calibri" w:eastAsia="Calibri" w:hAnsi="Calibri"/>
          <w:b/>
          <w:bCs/>
          <w:i w:val="false"/>
          <w:iCs w:val="false"/>
          <w:color w:val="1A3A5C"/>
          <w:sz w:val="20"/>
          <w:szCs w:val="20"/>
        </w:rPr>
        <w:t xml:space="preserve">Interface Layer — How the system presents</w:t>
      </w:r>
    </w:p>
    <w:p>
      <w:pPr>
        <w:spacing w:after="40" w:before="40"/>
        <w:ind w:left="400"/>
      </w:pPr>
      <w:r>
        <w:rPr>
          <w:rFonts w:ascii="Calibri" w:cs="Calibri" w:eastAsia="Calibri" w:hAnsi="Calibri"/>
          <w:b/>
          <w:bCs/>
          <w:i w:val="false"/>
          <w:iCs w:val="false"/>
          <w:color w:val="5A2D91"/>
          <w:sz w:val="20"/>
          <w:szCs w:val="20"/>
        </w:rPr>
        <w:t xml:space="preserve">• </w:t>
      </w:r>
      <w:r>
        <w:rPr>
          <w:rFonts w:ascii="Calibri" w:cs="Calibri" w:eastAsia="Calibri" w:hAnsi="Calibri"/>
          <w:b w:val="false"/>
          <w:bCs w:val="false"/>
          <w:i w:val="false"/>
          <w:iCs w:val="false"/>
          <w:color w:val="1A1A2E"/>
          <w:sz w:val="19"/>
          <w:szCs w:val="19"/>
        </w:rPr>
        <w:t xml:space="preserve">VoiceMode (local voice) enables Aletheia to conduct live voice conversations in demos</w:t>
      </w:r>
    </w:p>
    <w:p>
      <w:pPr>
        <w:spacing w:after="40" w:before="40"/>
        <w:ind w:left="400"/>
      </w:pPr>
      <w:r>
        <w:rPr>
          <w:rFonts w:ascii="Calibri" w:cs="Calibri" w:eastAsia="Calibri" w:hAnsi="Calibri"/>
          <w:b/>
          <w:bCs/>
          <w:i w:val="false"/>
          <w:iCs w:val="false"/>
          <w:color w:val="5A2D91"/>
          <w:sz w:val="20"/>
          <w:szCs w:val="20"/>
        </w:rPr>
        <w:t xml:space="preserve">• </w:t>
      </w:r>
      <w:r>
        <w:rPr>
          <w:rFonts w:ascii="Calibri" w:cs="Calibri" w:eastAsia="Calibri" w:hAnsi="Calibri"/>
          <w:b w:val="false"/>
          <w:bCs w:val="false"/>
          <w:i w:val="false"/>
          <w:iCs w:val="false"/>
          <w:color w:val="1A1A2E"/>
          <w:sz w:val="19"/>
          <w:szCs w:val="19"/>
        </w:rPr>
        <w:t xml:space="preserve">UI UX Pro Max (design system generator) ensures every HTML artifact starts from an audience-appropriate design system</w:t>
      </w:r>
    </w:p>
    <w:p>
      <w:pPr>
        <w:spacing w:after="40" w:before="40"/>
        <w:ind w:left="400"/>
      </w:pPr>
      <w:r>
        <w:rPr>
          <w:rFonts w:ascii="Calibri" w:cs="Calibri" w:eastAsia="Calibri" w:hAnsi="Calibri"/>
          <w:b/>
          <w:bCs/>
          <w:i w:val="false"/>
          <w:iCs w:val="false"/>
          <w:color w:val="5A2D91"/>
          <w:sz w:val="20"/>
          <w:szCs w:val="20"/>
        </w:rPr>
        <w:t xml:space="preserve">• </w:t>
      </w:r>
      <w:r>
        <w:rPr>
          <w:rFonts w:ascii="Calibri" w:cs="Calibri" w:eastAsia="Calibri" w:hAnsi="Calibri"/>
          <w:b w:val="false"/>
          <w:bCs w:val="false"/>
          <w:i w:val="false"/>
          <w:iCs w:val="false"/>
          <w:color w:val="1A1A2E"/>
          <w:sz w:val="19"/>
          <w:szCs w:val="19"/>
        </w:rPr>
        <w:t xml:space="preserve">CCHub (ecosystem GUI) manages all MCP servers, skills, and plugins without touching JSON files</w:t>
      </w:r>
    </w:p>
    <w:p>
      <w:pPr>
        <w:spacing w:after="40" w:before="40"/>
        <w:ind w:left="400"/>
      </w:pPr>
      <w:r>
        <w:rPr>
          <w:rFonts w:ascii="Calibri" w:cs="Calibri" w:eastAsia="Calibri" w:hAnsi="Calibri"/>
          <w:b/>
          <w:bCs/>
          <w:i w:val="false"/>
          <w:iCs w:val="false"/>
          <w:color w:val="5A2D91"/>
          <w:sz w:val="20"/>
          <w:szCs w:val="20"/>
        </w:rPr>
        <w:t xml:space="preserve">• </w:t>
      </w:r>
      <w:r>
        <w:rPr>
          <w:rFonts w:ascii="Calibri" w:cs="Calibri" w:eastAsia="Calibri" w:hAnsi="Calibri"/>
          <w:b w:val="false"/>
          <w:bCs w:val="false"/>
          <w:i w:val="false"/>
          <w:iCs w:val="false"/>
          <w:color w:val="1A1A2E"/>
          <w:sz w:val="19"/>
          <w:szCs w:val="19"/>
        </w:rPr>
        <w:t xml:space="preserve">Composio connect-apps (500+ integrations) sends outputs to the right channels — email, Slack, GitHub — automatically</w:t>
      </w:r>
    </w:p>
    <w:p>
      <w:pPr>
        <w:spacing w:after="0" w:before="20"/>
      </w:pPr>
      <w:r>
        <w:rPr>
          <w:rFonts w:ascii="Calibri" w:cs="Calibri" w:eastAsia="Calibri" w:hAnsi="Calibri"/>
          <w:b w:val="false"/>
          <w:bCs w:val="false"/>
          <w:i w:val="false"/>
          <w:iCs w:val="false"/>
          <w:color w:val="1A1A2E"/>
          <w:sz w:val="20"/>
          <w:szCs w:val="20"/>
        </w:rPr>
        <w:t xml:space="preserve"/>
      </w:r>
    </w:p>
    <w:p>
      <w:pPr>
        <w:spacing w:after="80" w:before="200"/>
      </w:pPr>
      <w:r>
        <w:rPr>
          <w:rFonts w:ascii="Calibri" w:cs="Calibri" w:eastAsia="Calibri" w:hAnsi="Calibri"/>
          <w:b/>
          <w:bCs/>
          <w:i w:val="false"/>
          <w:iCs w:val="false"/>
          <w:color w:val="1E3A5F"/>
          <w:sz w:val="22"/>
          <w:szCs w:val="22"/>
        </w:rPr>
        <w:t xml:space="preserve">3.2 The Security Layer</w:t>
      </w:r>
    </w:p>
    <w:p>
      <w:pPr>
        <w:spacing w:after="60" w:before="60"/>
      </w:pPr>
      <w:r>
        <w:rPr>
          <w:rFonts w:ascii="Calibri" w:cs="Calibri" w:eastAsia="Calibri" w:hAnsi="Calibri"/>
          <w:b w:val="false"/>
          <w:bCs w:val="false"/>
          <w:i w:val="false"/>
          <w:iCs w:val="false"/>
          <w:color w:val="1A1A2E"/>
          <w:sz w:val="20"/>
          <w:szCs w:val="20"/>
        </w:rPr>
        <w:t xml:space="preserve">The LLM Anonymizer proxy sits between Claude Code and the Anthropic API. All financial data, student records, HMDA data, and institutional information is anonymized before transmission and deanonymized before Claude sees the response. Nothing sensitive leaves the machine. This is the governance architecture that makes Claude Code safe for Meridia's client data.</w:t>
      </w:r>
    </w:p>
    <w:p>
      <w:pPr>
        <w:spacing w:after="0" w:before="20"/>
      </w:pPr>
      <w:r>
        <w:rPr>
          <w:rFonts w:ascii="Calibri" w:cs="Calibri" w:eastAsia="Calibri" w:hAnsi="Calibri"/>
          <w:b w:val="false"/>
          <w:bCs w:val="false"/>
          <w:i w:val="false"/>
          <w:iCs w:val="false"/>
          <w:color w:val="1A1A2E"/>
          <w:sz w:val="20"/>
          <w:szCs w:val="20"/>
        </w:rPr>
        <w:t xml:space="preserve"/>
      </w:r>
    </w:p>
    <w:p>
      <w:pPr>
        <w:pBdr>
          <w:bottom w:val="thick" w:color="5A2D91" w:sz="6" w:space="3"/>
        </w:pBdr>
        <w:spacing w:after="120" w:before="320"/>
      </w:pPr>
      <w:r>
        <w:rPr>
          <w:rFonts w:ascii="Calibri" w:cs="Calibri" w:eastAsia="Calibri" w:hAnsi="Calibri"/>
          <w:b/>
          <w:bCs/>
          <w:i w:val="false"/>
          <w:iCs w:val="false"/>
          <w:color w:val="5A2D91"/>
          <w:sz w:val="28"/>
          <w:szCs w:val="28"/>
        </w:rPr>
        <w:t xml:space="preserve">4. IMPLEMENTATION PATH</w:t>
      </w:r>
    </w:p>
    <w:p>
      <w:pPr>
        <w:spacing w:after="60" w:before="60"/>
      </w:pPr>
      <w:r>
        <w:rPr>
          <w:rFonts w:ascii="Calibri" w:cs="Calibri" w:eastAsia="Calibri" w:hAnsi="Calibri"/>
          <w:b w:val="false"/>
          <w:bCs w:val="false"/>
          <w:i w:val="false"/>
          <w:iCs w:val="false"/>
          <w:color w:val="1A1A2E"/>
          <w:sz w:val="20"/>
          <w:szCs w:val="20"/>
        </w:rPr>
        <w:t xml:space="preserve">Ordered by impact and dependency. Each phase assumes the previous phase is operational. Time estimates assume active execution, not passive review.</w:t>
      </w:r>
    </w:p>
    <w:p>
      <w:pPr>
        <w:spacing w:after="0" w:before="20"/>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tcBorders>
              <w:top w:val="single" w:color="888888" w:sz="4"/>
              <w:left w:val="single" w:color="888888" w:sz="4"/>
              <w:bottom w:val="single" w:color="888888" w:sz="4"/>
              <w:right w:val="single" w:color="888888" w:sz="4"/>
            </w:tcBorders>
            <w:shd w:fill="5A2D91" w:val="clear"/>
            <w:tcMar>
              <w:top w:type="dxa" w:w="80"/>
              <w:left w:type="dxa" w:w="120"/>
              <w:bottom w:type="dxa" w:w="80"/>
              <w:right w:type="dxa" w:w="120"/>
            </w:tcMar>
          </w:tcPr>
          <w:p>
            <w:pPr>
              <w:jc w:val="center"/>
            </w:pPr>
            <w:r>
              <w:rPr>
                <w:rFonts w:ascii="Calibri" w:cs="Calibri" w:eastAsia="Calibri" w:hAnsi="Calibri"/>
                <w:b/>
                <w:bCs/>
                <w:i w:val="false"/>
                <w:iCs w:val="false"/>
                <w:color w:val="FFFFFF"/>
                <w:sz w:val="17"/>
                <w:szCs w:val="17"/>
              </w:rPr>
              <w:t xml:space="preserve">Phase</w:t>
            </w:r>
          </w:p>
        </w:tc>
        <w:tc>
          <w:tcPr>
            <w:tcW w:type="dxa" w:w="2000"/>
            <w:tcBorders>
              <w:top w:val="single" w:color="888888" w:sz="4"/>
              <w:left w:val="single" w:color="888888" w:sz="4"/>
              <w:bottom w:val="single" w:color="888888" w:sz="4"/>
              <w:right w:val="single" w:color="888888" w:sz="4"/>
            </w:tcBorders>
            <w:shd w:fill="5A2D91" w:val="clear"/>
            <w:tcMar>
              <w:top w:type="dxa" w:w="80"/>
              <w:left w:type="dxa" w:w="120"/>
              <w:bottom w:type="dxa" w:w="80"/>
              <w:right w:type="dxa" w:w="120"/>
            </w:tcMar>
          </w:tcPr>
          <w:p>
            <w:pPr>
              <w:jc w:val="center"/>
            </w:pPr>
            <w:r>
              <w:rPr>
                <w:rFonts w:ascii="Calibri" w:cs="Calibri" w:eastAsia="Calibri" w:hAnsi="Calibri"/>
                <w:b/>
                <w:bCs/>
                <w:i w:val="false"/>
                <w:iCs w:val="false"/>
                <w:color w:val="FFFFFF"/>
                <w:sz w:val="17"/>
                <w:szCs w:val="17"/>
              </w:rPr>
              <w:t xml:space="preserve">Name</w:t>
            </w:r>
          </w:p>
        </w:tc>
        <w:tc>
          <w:tcPr>
            <w:tcW w:type="dxa" w:w="3600"/>
            <w:tcBorders>
              <w:top w:val="single" w:color="888888" w:sz="4"/>
              <w:left w:val="single" w:color="888888" w:sz="4"/>
              <w:bottom w:val="single" w:color="888888" w:sz="4"/>
              <w:right w:val="single" w:color="888888" w:sz="4"/>
            </w:tcBorders>
            <w:shd w:fill="5A2D91" w:val="clear"/>
            <w:tcMar>
              <w:top w:type="dxa" w:w="80"/>
              <w:left w:type="dxa" w:w="120"/>
              <w:bottom w:type="dxa" w:w="80"/>
              <w:right w:type="dxa" w:w="120"/>
            </w:tcMar>
          </w:tcPr>
          <w:p>
            <w:pPr>
              <w:jc w:val="center"/>
            </w:pPr>
            <w:r>
              <w:rPr>
                <w:rFonts w:ascii="Calibri" w:cs="Calibri" w:eastAsia="Calibri" w:hAnsi="Calibri"/>
                <w:b/>
                <w:bCs/>
                <w:i w:val="false"/>
                <w:iCs w:val="false"/>
                <w:color w:val="FFFFFF"/>
                <w:sz w:val="17"/>
                <w:szCs w:val="17"/>
              </w:rPr>
              <w:t xml:space="preserve">Tools to Install</w:t>
            </w:r>
          </w:p>
        </w:tc>
        <w:tc>
          <w:tcPr>
            <w:tcW w:type="dxa" w:w="3160"/>
            <w:tcBorders>
              <w:top w:val="single" w:color="888888" w:sz="4"/>
              <w:left w:val="single" w:color="888888" w:sz="4"/>
              <w:bottom w:val="single" w:color="888888" w:sz="4"/>
              <w:right w:val="single" w:color="888888" w:sz="4"/>
            </w:tcBorders>
            <w:shd w:fill="5A2D91" w:val="clear"/>
            <w:tcMar>
              <w:top w:type="dxa" w:w="80"/>
              <w:left w:type="dxa" w:w="120"/>
              <w:bottom w:type="dxa" w:w="80"/>
              <w:right w:type="dxa" w:w="120"/>
            </w:tcMar>
          </w:tcPr>
          <w:p>
            <w:pPr>
              <w:jc w:val="center"/>
            </w:pPr>
            <w:r>
              <w:rPr>
                <w:rFonts w:ascii="Calibri" w:cs="Calibri" w:eastAsia="Calibri" w:hAnsi="Calibri"/>
                <w:b/>
                <w:bCs/>
                <w:i w:val="false"/>
                <w:iCs w:val="false"/>
                <w:color w:val="FFFFFF"/>
                <w:sz w:val="17"/>
                <w:szCs w:val="17"/>
              </w:rPr>
              <w:t xml:space="preserve">What Becomes Possible</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pPr>
              <w:jc w:val="center"/>
            </w:pPr>
            <w:r>
              <w:rPr>
                <w:rFonts w:ascii="Calibri" w:cs="Calibri" w:eastAsia="Calibri" w:hAnsi="Calibri"/>
                <w:b/>
                <w:bCs/>
                <w:i w:val="false"/>
                <w:iCs w:val="false"/>
                <w:color w:val="5A2D91"/>
                <w:sz w:val="20"/>
                <w:szCs w:val="20"/>
              </w:rPr>
              <w:t xml:space="preserve">0</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i w:val="false"/>
                <w:iCs w:val="false"/>
                <w:color w:val="1E3A5F"/>
                <w:sz w:val="19"/>
                <w:szCs w:val="19"/>
              </w:rPr>
              <w:t xml:space="preserve">Foundation — Machine Setup</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Install Claude Code CLI. Install CCHub (ecosystem GUI). Run `npx claude-code-templates@latest` for PostgreSQL MCP. Verify NAS connection. Install LLM Anonymizer proxy.</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val="false"/>
                <w:bCs w:val="false"/>
                <w:i/>
                <w:iCs/>
                <w:color w:val="16A34A"/>
                <w:sz w:val="18"/>
                <w:szCs w:val="18"/>
              </w:rPr>
              <w:t xml:space="preserve">Claude Code connected to NAS PostgreSQL. Anonymization layer active. Visual management interface operational. All subsequent installs managed through CCHub.</w:t>
            </w:r>
          </w:p>
        </w:tc>
      </w:tr>
      <w:tr>
        <w:tc>
          <w:tcPr>
            <w:tcW w:type="dxa" w:w="600"/>
            <w:tcBorders>
              <w:top w:val="single" w:color="DDDDDD" w:sz="4"/>
              <w:left w:val="single" w:color="DDDDDD" w:sz="4"/>
              <w:bottom w:val="single" w:color="DDDDDD" w:sz="4"/>
              <w:right w:val="single" w:color="DDDDDD" w:sz="4"/>
            </w:tcBorders>
            <w:shd w:fill="EDE4F7" w:val="clear"/>
            <w:tcMar>
              <w:top w:type="dxa" w:w="80"/>
              <w:left w:type="dxa" w:w="100"/>
              <w:bottom w:type="dxa" w:w="80"/>
              <w:right w:type="dxa" w:w="100"/>
            </w:tcMar>
          </w:tcPr>
          <w:p>
            <w:pPr>
              <w:jc w:val="center"/>
            </w:pPr>
            <w:r>
              <w:rPr>
                <w:rFonts w:ascii="Calibri" w:cs="Calibri" w:eastAsia="Calibri" w:hAnsi="Calibri"/>
                <w:b/>
                <w:bCs/>
                <w:i w:val="false"/>
                <w:iCs w:val="false"/>
                <w:color w:val="5A2D91"/>
                <w:sz w:val="20"/>
                <w:szCs w:val="20"/>
              </w:rPr>
              <w:t xml:space="preserve">1</w:t>
            </w:r>
          </w:p>
        </w:tc>
        <w:tc>
          <w:tcPr>
            <w:tcW w:type="dxa" w:w="200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bCs/>
                <w:i w:val="false"/>
                <w:iCs w:val="false"/>
                <w:color w:val="1E3A5F"/>
                <w:sz w:val="19"/>
                <w:szCs w:val="19"/>
              </w:rPr>
              <w:t xml:space="preserve">Memory — Stop the Reset</w:t>
            </w:r>
          </w:p>
        </w:tc>
        <w:tc>
          <w:tcPr>
            <w:tcW w:type="dxa" w:w="360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Install Claude Mem via `/plugin marketplace add thedotmack/claude-mem`. Install claude-code-handoff hooks. Install Session Restore CLI. Configure CLAUDE_MEM_MODE for Meridia workflow.</w:t>
            </w:r>
          </w:p>
        </w:tc>
        <w:tc>
          <w:tcPr>
            <w:tcW w:type="dxa" w:w="316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val="false"/>
                <w:bCs w:val="false"/>
                <w:i/>
                <w:iCs/>
                <w:color w:val="16A34A"/>
                <w:sz w:val="18"/>
                <w:szCs w:val="18"/>
              </w:rPr>
              <w:t xml:space="preserve">Every decision captured. Every session recoverable. The rebuild loop problem is structural, not behavioral — it cannot happen because prior state is always available.</w:t>
            </w:r>
          </w:p>
        </w:tc>
      </w:tr>
      <w:tr>
        <w:tc>
          <w:tcPr>
            <w:tcW w:type="dxa" w:w="600"/>
            <w:tcBorders>
              <w:top w:val="single" w:color="DDDDDD" w:sz="4"/>
              <w:left w:val="single" w:color="DDDDDD" w:sz="4"/>
              <w:bottom w:val="single" w:color="DDDDDD" w:sz="4"/>
              <w:right w:val="single" w:color="DDDDDD" w:sz="4"/>
            </w:tcBorders>
            <w:shd w:fill="EDE4F7" w:val="clear"/>
            <w:tcMar>
              <w:top w:type="dxa" w:w="80"/>
              <w:left w:type="dxa" w:w="100"/>
              <w:bottom w:type="dxa" w:w="80"/>
              <w:right w:type="dxa" w:w="100"/>
            </w:tcMar>
          </w:tcPr>
          <w:p>
            <w:pPr>
              <w:jc w:val="center"/>
            </w:pPr>
            <w:r>
              <w:rPr>
                <w:rFonts w:ascii="Calibri" w:cs="Calibri" w:eastAsia="Calibri" w:hAnsi="Calibri"/>
                <w:b/>
                <w:bCs/>
                <w:i w:val="false"/>
                <w:iCs w:val="false"/>
                <w:color w:val="5A2D91"/>
                <w:sz w:val="20"/>
                <w:szCs w:val="20"/>
              </w:rPr>
              <w:t xml:space="preserve">2</w:t>
            </w:r>
          </w:p>
        </w:tc>
        <w:tc>
          <w:tcPr>
            <w:tcW w:type="dxa" w:w="200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bCs/>
                <w:i w:val="false"/>
                <w:iCs w:val="false"/>
                <w:color w:val="1E3A5F"/>
                <w:sz w:val="19"/>
                <w:szCs w:val="19"/>
              </w:rPr>
              <w:t xml:space="preserve">Discipline — Enforce the Build</w:t>
            </w:r>
          </w:p>
        </w:tc>
        <w:tc>
          <w:tcPr>
            <w:tcW w:type="dxa" w:w="360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Install Superpowers via official Anthropic marketplace. Install Ralph. Initialize CCPM in Integra Core project repo. Write Integra Core PRD in CCPM format.</w:t>
            </w:r>
          </w:p>
        </w:tc>
        <w:tc>
          <w:tcPr>
            <w:tcW w:type="dxa" w:w="316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val="false"/>
                <w:bCs w:val="false"/>
                <w:i/>
                <w:iCs/>
                <w:color w:val="16A34A"/>
                <w:sz w:val="18"/>
                <w:szCs w:val="18"/>
              </w:rPr>
              <w:t xml:space="preserve">Integra Core FastAPI build starts. Superpowers requires approved spec before any code. Ralph runs it to completion with circuit breaker active. CCPM tracks every decision in GitHub Issues.</w:t>
            </w:r>
          </w:p>
        </w:tc>
      </w:tr>
      <w:tr>
        <w:tc>
          <w:tcPr>
            <w:tcW w:type="dxa" w:w="600"/>
            <w:tcBorders>
              <w:top w:val="single" w:color="DDDDDD" w:sz="4"/>
              <w:left w:val="single" w:color="DDDDDD" w:sz="4"/>
              <w:bottom w:val="single" w:color="DDDDDD" w:sz="4"/>
              <w:right w:val="single" w:color="DDDDDD" w:sz="4"/>
            </w:tcBorders>
            <w:shd w:fill="EDE4F7" w:val="clear"/>
            <w:tcMar>
              <w:top w:type="dxa" w:w="80"/>
              <w:left w:type="dxa" w:w="100"/>
              <w:bottom w:type="dxa" w:w="80"/>
              <w:right w:type="dxa" w:w="100"/>
            </w:tcMar>
          </w:tcPr>
          <w:p>
            <w:pPr>
              <w:jc w:val="center"/>
            </w:pPr>
            <w:r>
              <w:rPr>
                <w:rFonts w:ascii="Calibri" w:cs="Calibri" w:eastAsia="Calibri" w:hAnsi="Calibri"/>
                <w:b/>
                <w:bCs/>
                <w:i w:val="false"/>
                <w:iCs w:val="false"/>
                <w:color w:val="5A2D91"/>
                <w:sz w:val="20"/>
                <w:szCs w:val="20"/>
              </w:rPr>
              <w:t xml:space="preserve">3</w:t>
            </w:r>
          </w:p>
        </w:tc>
        <w:tc>
          <w:tcPr>
            <w:tcW w:type="dxa" w:w="200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bCs/>
                <w:i w:val="false"/>
                <w:iCs w:val="false"/>
                <w:color w:val="1E3A5F"/>
                <w:sz w:val="19"/>
                <w:szCs w:val="19"/>
              </w:rPr>
              <w:t xml:space="preserve">Intelligence — Load the Corpus</w:t>
            </w:r>
          </w:p>
        </w:tc>
        <w:tc>
          <w:tcPr>
            <w:tcW w:type="dxa" w:w="360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Install LightRAG on NAS PostgreSQL. Install Context Engineering skills. Load NAS corpus: meeting transcripts, SACSCOC documents, audit reports, board minutes, HMDA data.</w:t>
            </w:r>
          </w:p>
        </w:tc>
        <w:tc>
          <w:tcPr>
            <w:tcW w:type="dxa" w:w="316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val="false"/>
                <w:bCs w:val="false"/>
                <w:i/>
                <w:iCs/>
                <w:color w:val="16A34A"/>
                <w:sz w:val="18"/>
                <w:szCs w:val="18"/>
              </w:rPr>
              <w:t xml:space="preserve">Aletheia can query the full institutional knowledge base structurally. 'What were Keith Mosley's specific technical concerns?' — answered from the corpus, not from memory.</w:t>
            </w:r>
          </w:p>
        </w:tc>
      </w:tr>
      <w:tr>
        <w:tc>
          <w:tcPr>
            <w:tcW w:type="dxa" w:w="600"/>
            <w:tcBorders>
              <w:top w:val="single" w:color="DDDDDD" w:sz="4"/>
              <w:left w:val="single" w:color="DDDDDD" w:sz="4"/>
              <w:bottom w:val="single" w:color="DDDDDD" w:sz="4"/>
              <w:right w:val="single" w:color="DDDDDD" w:sz="4"/>
            </w:tcBorders>
            <w:shd w:fill="EDE4F7" w:val="clear"/>
            <w:tcMar>
              <w:top w:type="dxa" w:w="80"/>
              <w:left w:type="dxa" w:w="100"/>
              <w:bottom w:type="dxa" w:w="80"/>
              <w:right w:type="dxa" w:w="100"/>
            </w:tcMar>
          </w:tcPr>
          <w:p>
            <w:pPr>
              <w:jc w:val="center"/>
            </w:pPr>
            <w:r>
              <w:rPr>
                <w:rFonts w:ascii="Calibri" w:cs="Calibri" w:eastAsia="Calibri" w:hAnsi="Calibri"/>
                <w:b/>
                <w:bCs/>
                <w:i w:val="false"/>
                <w:iCs w:val="false"/>
                <w:color w:val="5A2D91"/>
                <w:sz w:val="20"/>
                <w:szCs w:val="20"/>
              </w:rPr>
              <w:t xml:space="preserve">4</w:t>
            </w:r>
          </w:p>
        </w:tc>
        <w:tc>
          <w:tcPr>
            <w:tcW w:type="dxa" w:w="200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bCs/>
                <w:i w:val="false"/>
                <w:iCs w:val="false"/>
                <w:color w:val="1E3A5F"/>
                <w:sz w:val="19"/>
                <w:szCs w:val="19"/>
              </w:rPr>
              <w:t xml:space="preserve">Design — Close the Quality Gap</w:t>
            </w:r>
          </w:p>
        </w:tc>
        <w:tc>
          <w:tcPr>
            <w:tcW w:type="dxa" w:w="360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Install UI UX Pro Max via `/plugin marketplace add nextlevelbuilder/ui-ux-pro-max-skill`. Install K-Dense Scientific Skills. Configure design system for Meridia aesthetic (gentleman's club: Playfair Display, warm gold, deep navy).</w:t>
            </w:r>
          </w:p>
        </w:tc>
        <w:tc>
          <w:tcPr>
            <w:tcW w:type="dxa" w:w="316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val="false"/>
                <w:bCs w:val="false"/>
                <w:i/>
                <w:iCs/>
                <w:color w:val="16A34A"/>
                <w:sz w:val="18"/>
                <w:szCs w:val="18"/>
              </w:rPr>
              <w:t xml:space="preserve">Every HTML artifact — WayPoint consoles, board slides, Meridia one-pagers — starts from an audience-specific design system. Quality gap closes structurally.</w:t>
            </w:r>
          </w:p>
        </w:tc>
      </w:tr>
      <w:tr>
        <w:tc>
          <w:tcPr>
            <w:tcW w:type="dxa" w:w="600"/>
            <w:tcBorders>
              <w:top w:val="single" w:color="DDDDDD" w:sz="4"/>
              <w:left w:val="single" w:color="DDDDDD" w:sz="4"/>
              <w:bottom w:val="single" w:color="DDDDDD" w:sz="4"/>
              <w:right w:val="single" w:color="DDDDDD" w:sz="4"/>
            </w:tcBorders>
            <w:shd w:fill="EDE4F7" w:val="clear"/>
            <w:tcMar>
              <w:top w:type="dxa" w:w="80"/>
              <w:left w:type="dxa" w:w="100"/>
              <w:bottom w:type="dxa" w:w="80"/>
              <w:right w:type="dxa" w:w="100"/>
            </w:tcMar>
          </w:tcPr>
          <w:p>
            <w:pPr>
              <w:jc w:val="center"/>
            </w:pPr>
            <w:r>
              <w:rPr>
                <w:rFonts w:ascii="Calibri" w:cs="Calibri" w:eastAsia="Calibri" w:hAnsi="Calibri"/>
                <w:b/>
                <w:bCs/>
                <w:i w:val="false"/>
                <w:iCs w:val="false"/>
                <w:color w:val="5A2D91"/>
                <w:sz w:val="20"/>
                <w:szCs w:val="20"/>
              </w:rPr>
              <w:t xml:space="preserve">5</w:t>
            </w:r>
          </w:p>
        </w:tc>
        <w:tc>
          <w:tcPr>
            <w:tcW w:type="dxa" w:w="200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bCs/>
                <w:i w:val="false"/>
                <w:iCs w:val="false"/>
                <w:color w:val="1E3A5F"/>
                <w:sz w:val="19"/>
                <w:szCs w:val="19"/>
              </w:rPr>
              <w:t xml:space="preserve">Integration — Connect the Stack</w:t>
            </w:r>
          </w:p>
        </w:tc>
        <w:tc>
          <w:tcPr>
            <w:tcW w:type="dxa" w:w="360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Install n8n-MCP. Install Composio connect-apps. Configure n8n workflows for: HMDA data pipeline, CRA heat map refresh, differentiated report generation.</w:t>
            </w:r>
          </w:p>
        </w:tc>
        <w:tc>
          <w:tcPr>
            <w:tcW w:type="dxa" w:w="316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val="false"/>
                <w:bCs w:val="false"/>
                <w:i/>
                <w:iCs/>
                <w:color w:val="16A34A"/>
                <w:sz w:val="18"/>
                <w:szCs w:val="18"/>
              </w:rPr>
              <w:t xml:space="preserve">Andre Waits demo: data ingests, processes through n8n, generates board/regulator/technical/operational outputs, sends to appropriate channels. Fully automated.</w:t>
            </w:r>
          </w:p>
        </w:tc>
      </w:tr>
      <w:tr>
        <w:tc>
          <w:tcPr>
            <w:tcW w:type="dxa" w:w="600"/>
            <w:tcBorders>
              <w:top w:val="single" w:color="DDDDDD" w:sz="4"/>
              <w:left w:val="single" w:color="DDDDDD" w:sz="4"/>
              <w:bottom w:val="single" w:color="DDDDDD" w:sz="4"/>
              <w:right w:val="single" w:color="DDDDDD" w:sz="4"/>
            </w:tcBorders>
            <w:shd w:fill="EDE4F7" w:val="clear"/>
            <w:tcMar>
              <w:top w:type="dxa" w:w="80"/>
              <w:left w:type="dxa" w:w="100"/>
              <w:bottom w:type="dxa" w:w="80"/>
              <w:right w:type="dxa" w:w="100"/>
            </w:tcMar>
          </w:tcPr>
          <w:p>
            <w:pPr>
              <w:jc w:val="center"/>
            </w:pPr>
            <w:r>
              <w:rPr>
                <w:rFonts w:ascii="Calibri" w:cs="Calibri" w:eastAsia="Calibri" w:hAnsi="Calibri"/>
                <w:b/>
                <w:bCs/>
                <w:i w:val="false"/>
                <w:iCs w:val="false"/>
                <w:color w:val="5A2D91"/>
                <w:sz w:val="20"/>
                <w:szCs w:val="20"/>
              </w:rPr>
              <w:t xml:space="preserve">6</w:t>
            </w:r>
          </w:p>
        </w:tc>
        <w:tc>
          <w:tcPr>
            <w:tcW w:type="dxa" w:w="200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bCs/>
                <w:i w:val="false"/>
                <w:iCs w:val="false"/>
                <w:color w:val="1E3A5F"/>
                <w:sz w:val="19"/>
                <w:szCs w:val="19"/>
              </w:rPr>
              <w:t xml:space="preserve">Demo — Aletheia Voice</w:t>
            </w:r>
          </w:p>
        </w:tc>
        <w:tc>
          <w:tcPr>
            <w:tcW w:type="dxa" w:w="360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val="false"/>
                <w:bCs w:val="false"/>
                <w:i w:val="false"/>
                <w:iCs w:val="false"/>
                <w:color w:val="1A1A2E"/>
                <w:sz w:val="18"/>
                <w:szCs w:val="18"/>
              </w:rPr>
              <w:t xml:space="preserve">Install VoiceMode. Configure Whisper + Kokoro for local processing. Test voice conversation flow for Keith and Andre demos.</w:t>
            </w:r>
          </w:p>
        </w:tc>
        <w:tc>
          <w:tcPr>
            <w:tcW w:type="dxa" w:w="3160"/>
            <w:tcBorders>
              <w:top w:val="single" w:color="DDDDDD" w:sz="4"/>
              <w:left w:val="single" w:color="DDDDDD" w:sz="4"/>
              <w:bottom w:val="single" w:color="DDDDDD" w:sz="4"/>
              <w:right w:val="single" w:color="DDDDDD" w:sz="4"/>
            </w:tcBorders>
            <w:shd w:fill="EDE4F7" w:val="clear"/>
            <w:tcMar>
              <w:top w:type="dxa" w:w="80"/>
              <w:left w:type="dxa" w:w="120"/>
              <w:bottom w:type="dxa" w:w="80"/>
              <w:right w:type="dxa" w:w="120"/>
            </w:tcMar>
          </w:tcPr>
          <w:p>
            <w:r>
              <w:rPr>
                <w:rFonts w:ascii="Calibri" w:cs="Calibri" w:eastAsia="Calibri" w:hAnsi="Calibri"/>
                <w:b w:val="false"/>
                <w:bCs w:val="false"/>
                <w:i/>
                <w:iCs/>
                <w:color w:val="16A34A"/>
                <w:sz w:val="18"/>
                <w:szCs w:val="18"/>
              </w:rPr>
              <w:t xml:space="preserve">Aletheia conducts the demo in real time via voice. The thing demonstrating was developed by the system it demonstrates. Unreplicatable.</w:t>
            </w:r>
          </w:p>
        </w:tc>
      </w:tr>
    </w:tbl>
    <w:p>
      <w:pPr>
        <w:spacing w:after="0" w:before="40"/>
      </w:pPr>
      <w:r>
        <w:rPr>
          <w:rFonts w:ascii="Calibri" w:cs="Calibri" w:eastAsia="Calibri" w:hAnsi="Calibri"/>
          <w:b w:val="false"/>
          <w:bCs w:val="false"/>
          <w:i w:val="false"/>
          <w:iCs w:val="false"/>
          <w:color w:val="1A1A2E"/>
          <w:sz w:val="20"/>
          <w:szCs w:val="20"/>
        </w:rPr>
        <w:t xml:space="preserve"/>
      </w:r>
    </w:p>
    <w:p>
      <w:pPr>
        <w:pBdr>
          <w:bottom w:val="thick" w:color="5A2D91" w:sz="6" w:space="3"/>
        </w:pBdr>
        <w:spacing w:after="120" w:before="320"/>
      </w:pPr>
      <w:r>
        <w:rPr>
          <w:rFonts w:ascii="Calibri" w:cs="Calibri" w:eastAsia="Calibri" w:hAnsi="Calibri"/>
          <w:b/>
          <w:bCs/>
          <w:i w:val="false"/>
          <w:iCs w:val="false"/>
          <w:color w:val="5A2D91"/>
          <w:sz w:val="28"/>
          <w:szCs w:val="28"/>
        </w:rPr>
        <w:t xml:space="preserve">5. THE CRITICAL PATH</w:t>
      </w:r>
    </w:p>
    <w:p>
      <w:pPr>
        <w:spacing w:after="60" w:before="60"/>
      </w:pPr>
      <w:r>
        <w:rPr>
          <w:rFonts w:ascii="Calibri" w:cs="Calibri" w:eastAsia="Calibri" w:hAnsi="Calibri"/>
          <w:b w:val="false"/>
          <w:bCs w:val="false"/>
          <w:i w:val="false"/>
          <w:iCs w:val="false"/>
          <w:color w:val="1A1A2E"/>
          <w:sz w:val="20"/>
          <w:szCs w:val="20"/>
        </w:rPr>
        <w:t xml:space="preserve">Three things must happen before anything else. Not in parallel — in sequence. Everything else builds on top of them.</w:t>
      </w:r>
    </w:p>
    <w:p>
      <w:pPr>
        <w:spacing w:after="0" w:before="10"/>
      </w:pPr>
      <w:r>
        <w:rPr>
          <w:rFonts w:ascii="Calibri" w:cs="Calibri" w:eastAsia="Calibri" w:hAnsi="Calibri"/>
          <w:b w:val="false"/>
          <w:bCs w:val="false"/>
          <w:i w:val="false"/>
          <w:iCs w:val="false"/>
          <w:color w:val="1A1A2E"/>
          <w:sz w:val="20"/>
          <w:szCs w:val="20"/>
        </w:rPr>
        <w:t xml:space="preserve"/>
      </w:r>
    </w:p>
    <w:p>
      <w:pPr>
        <w:spacing w:after="40" w:before="60"/>
        <w:ind w:left="400"/>
      </w:pPr>
      <w:r>
        <w:rPr>
          <w:rFonts w:ascii="Calibri" w:cs="Calibri" w:eastAsia="Calibri" w:hAnsi="Calibri"/>
          <w:b/>
          <w:bCs/>
          <w:i w:val="false"/>
          <w:iCs w:val="false"/>
          <w:color w:val="5A2D91"/>
          <w:sz w:val="20"/>
          <w:szCs w:val="20"/>
        </w:rPr>
        <w:t xml:space="preserve">1. </w:t>
      </w:r>
      <w:r>
        <w:rPr>
          <w:rFonts w:ascii="Calibri" w:cs="Calibri" w:eastAsia="Calibri" w:hAnsi="Calibri"/>
          <w:b/>
          <w:bCs/>
          <w:i w:val="false"/>
          <w:iCs w:val="false"/>
          <w:color w:val="1A1A2E"/>
          <w:sz w:val="20"/>
          <w:szCs w:val="20"/>
        </w:rPr>
        <w:t xml:space="preserve">Claude Code on the ROG workstation</w:t>
      </w:r>
      <w:r>
        <w:rPr>
          <w:rFonts w:ascii="Calibri" w:cs="Calibri" w:eastAsia="Calibri" w:hAnsi="Calibri"/>
          <w:b w:val="false"/>
          <w:bCs w:val="false"/>
          <w:i w:val="false"/>
          <w:iCs w:val="false"/>
          <w:color w:val="334155"/>
          <w:sz w:val="19"/>
          <w:szCs w:val="19"/>
        </w:rPr>
        <w:t xml:space="preserve"> — This is the operating environment. Everything else is installed into it. Until this runs, nothing else can be installed or configured.</w:t>
      </w:r>
    </w:p>
    <w:p>
      <w:pPr>
        <w:spacing w:after="40" w:before="60"/>
        <w:ind w:left="400"/>
      </w:pPr>
      <w:r>
        <w:rPr>
          <w:rFonts w:ascii="Calibri" w:cs="Calibri" w:eastAsia="Calibri" w:hAnsi="Calibri"/>
          <w:b/>
          <w:bCs/>
          <w:i w:val="false"/>
          <w:iCs w:val="false"/>
          <w:color w:val="5A2D91"/>
          <w:sz w:val="20"/>
          <w:szCs w:val="20"/>
        </w:rPr>
        <w:t xml:space="preserve">2. </w:t>
      </w:r>
      <w:r>
        <w:rPr>
          <w:rFonts w:ascii="Calibri" w:cs="Calibri" w:eastAsia="Calibri" w:hAnsi="Calibri"/>
          <w:b/>
          <w:bCs/>
          <w:i w:val="false"/>
          <w:iCs w:val="false"/>
          <w:color w:val="1A1A2E"/>
          <w:sz w:val="20"/>
          <w:szCs w:val="20"/>
        </w:rPr>
        <w:t xml:space="preserve">Claude Mem</w:t>
      </w:r>
      <w:r>
        <w:rPr>
          <w:rFonts w:ascii="Calibri" w:cs="Calibri" w:eastAsia="Calibri" w:hAnsi="Calibri"/>
          <w:b w:val="false"/>
          <w:bCs w:val="false"/>
          <w:i w:val="false"/>
          <w:iCs w:val="false"/>
          <w:color w:val="334155"/>
          <w:sz w:val="19"/>
          <w:szCs w:val="19"/>
        </w:rPr>
        <w:t xml:space="preserve"> — Until session memory is operational, every Claude Code session starts fresh and the rebuild loop continues. This is the single highest-leverage install in the entire stack.</w:t>
      </w:r>
    </w:p>
    <w:p>
      <w:pPr>
        <w:spacing w:after="40" w:before="60"/>
        <w:ind w:left="400"/>
      </w:pPr>
      <w:r>
        <w:rPr>
          <w:rFonts w:ascii="Calibri" w:cs="Calibri" w:eastAsia="Calibri" w:hAnsi="Calibri"/>
          <w:b/>
          <w:bCs/>
          <w:i w:val="false"/>
          <w:iCs w:val="false"/>
          <w:color w:val="5A2D91"/>
          <w:sz w:val="20"/>
          <w:szCs w:val="20"/>
        </w:rPr>
        <w:t xml:space="preserve">3. </w:t>
      </w:r>
      <w:r>
        <w:rPr>
          <w:rFonts w:ascii="Calibri" w:cs="Calibri" w:eastAsia="Calibri" w:hAnsi="Calibri"/>
          <w:b/>
          <w:bCs/>
          <w:i w:val="false"/>
          <w:iCs w:val="false"/>
          <w:color w:val="1A1A2E"/>
          <w:sz w:val="20"/>
          <w:szCs w:val="20"/>
        </w:rPr>
        <w:t xml:space="preserve">Superpowers + Ralph + CCPM</w:t>
      </w:r>
      <w:r>
        <w:rPr>
          <w:rFonts w:ascii="Calibri" w:cs="Calibri" w:eastAsia="Calibri" w:hAnsi="Calibri"/>
          <w:b w:val="false"/>
          <w:bCs w:val="false"/>
          <w:i w:val="false"/>
          <w:iCs w:val="false"/>
          <w:color w:val="334155"/>
          <w:sz w:val="19"/>
          <w:szCs w:val="19"/>
        </w:rPr>
        <w:t xml:space="preserve"> — These three together enforce the build discipline that Ralph's circuit breaker enables. Without them, Claude Code builds opportunistically. With them, Claude Code builds to completion.</w:t>
      </w:r>
    </w:p>
    <w:p>
      <w:pPr>
        <w:spacing w:after="0" w:before="20"/>
      </w:pPr>
      <w:r>
        <w:rPr>
          <w:rFonts w:ascii="Calibri" w:cs="Calibri" w:eastAsia="Calibri" w:hAnsi="Calibri"/>
          <w:b w:val="false"/>
          <w:bCs w:val="false"/>
          <w:i w:val="false"/>
          <w:iCs w:val="false"/>
          <w:color w:val="1A1A2E"/>
          <w:sz w:val="20"/>
          <w:szCs w:val="20"/>
        </w:rPr>
        <w:t xml:space="preserve"/>
      </w:r>
    </w:p>
    <w:p>
      <w:pPr>
        <w:spacing w:after="60" w:before="60"/>
      </w:pPr>
      <w:r>
        <w:rPr>
          <w:rFonts w:ascii="Calibri" w:cs="Calibri" w:eastAsia="Calibri" w:hAnsi="Calibri"/>
          <w:b w:val="false"/>
          <w:bCs w:val="false"/>
          <w:i w:val="false"/>
          <w:iCs w:val="false"/>
          <w:color w:val="1A1A2E"/>
          <w:sz w:val="20"/>
          <w:szCs w:val="20"/>
        </w:rPr>
        <w:t xml:space="preserve">Once those three are running, the remaining phases can be installed in any order based on priority. The NAS PostgreSQL connection (Phase 0) is a prerequisite for LightRAG (Phase 3) but nothing else.</w:t>
      </w:r>
    </w:p>
    <w:p>
      <w:pPr>
        <w:spacing w:after="0" w:before="20"/>
      </w:pPr>
      <w:r>
        <w:rPr>
          <w:rFonts w:ascii="Calibri" w:cs="Calibri" w:eastAsia="Calibri" w:hAnsi="Calibri"/>
          <w:b w:val="false"/>
          <w:bCs w:val="false"/>
          <w:i w:val="false"/>
          <w:iCs w:val="false"/>
          <w:color w:val="1A1A2E"/>
          <w:sz w:val="20"/>
          <w:szCs w:val="20"/>
        </w:rPr>
        <w:t xml:space="preserve"/>
      </w:r>
    </w:p>
    <w:p>
      <w:pPr>
        <w:pBdr>
          <w:bottom w:val="thick" w:color="5A2D91" w:sz="6" w:space="3"/>
        </w:pBdr>
        <w:spacing w:after="120" w:before="320"/>
      </w:pPr>
      <w:r>
        <w:rPr>
          <w:rFonts w:ascii="Calibri" w:cs="Calibri" w:eastAsia="Calibri" w:hAnsi="Calibri"/>
          <w:b/>
          <w:bCs/>
          <w:i w:val="false"/>
          <w:iCs w:val="false"/>
          <w:color w:val="5A2D91"/>
          <w:sz w:val="28"/>
          <w:szCs w:val="28"/>
        </w:rPr>
        <w:t xml:space="preserve">6. WHAT THIS CHANGES OPERATIONALLY</w:t>
      </w:r>
    </w:p>
    <w:p>
      <w:pPr>
        <w:spacing w:after="80" w:before="200"/>
      </w:pPr>
      <w:r>
        <w:rPr>
          <w:rFonts w:ascii="Calibri" w:cs="Calibri" w:eastAsia="Calibri" w:hAnsi="Calibri"/>
          <w:b/>
          <w:bCs/>
          <w:i w:val="false"/>
          <w:iCs w:val="false"/>
          <w:color w:val="1E3A5F"/>
          <w:sz w:val="22"/>
          <w:szCs w:val="22"/>
        </w:rPr>
        <w:t xml:space="preserve">For Integra Core</w:t>
      </w:r>
    </w:p>
    <w:p>
      <w:pPr>
        <w:spacing w:after="60" w:before="60"/>
      </w:pPr>
      <w:r>
        <w:rPr>
          <w:rFonts w:ascii="Calibri" w:cs="Calibri" w:eastAsia="Calibri" w:hAnsi="Calibri"/>
          <w:b w:val="false"/>
          <w:bCs w:val="false"/>
          <w:i w:val="false"/>
          <w:iCs w:val="false"/>
          <w:color w:val="1A1A2E"/>
          <w:sz w:val="20"/>
          <w:szCs w:val="20"/>
        </w:rPr>
        <w:t xml:space="preserve">The build begins with a CCPM PRD. Ralph runs it with a circuit breaker that prevents drift. Superpowers enforces no-code-without-spec. Claude Mem ensures prior decisions are never lost. The FastAPI backend gets built, tested, and committed — not rebuilt for the seventh time.</w:t>
      </w:r>
    </w:p>
    <w:p>
      <w:pPr>
        <w:spacing w:after="80" w:before="200"/>
      </w:pPr>
      <w:r>
        <w:rPr>
          <w:rFonts w:ascii="Calibri" w:cs="Calibri" w:eastAsia="Calibri" w:hAnsi="Calibri"/>
          <w:b/>
          <w:bCs/>
          <w:i w:val="false"/>
          <w:iCs w:val="false"/>
          <w:color w:val="1E3A5F"/>
          <w:sz w:val="22"/>
          <w:szCs w:val="22"/>
        </w:rPr>
        <w:t xml:space="preserve">For TTS and SACSCOC</w:t>
      </w:r>
    </w:p>
    <w:p>
      <w:pPr>
        <w:spacing w:after="60" w:before="60"/>
      </w:pPr>
      <w:r>
        <w:rPr>
          <w:rFonts w:ascii="Calibri" w:cs="Calibri" w:eastAsia="Calibri" w:hAnsi="Calibri"/>
          <w:b w:val="false"/>
          <w:bCs w:val="false"/>
          <w:i w:val="false"/>
          <w:iCs w:val="false"/>
          <w:color w:val="1A1A2E"/>
          <w:sz w:val="20"/>
          <w:szCs w:val="20"/>
        </w:rPr>
        <w:t xml:space="preserve">The Academic Research Skills pipeline produces SACSCOC narrative documents with anti-leakage protection — every claim traceable to a verified source. LightRAG queries the corpus of prior TTS documents structurally. Session workspaces persist between meetings. The Board presentation quality reflects what the audience expects because UI UX Pro Max enforces an audience-appropriate design system before output.</w:t>
      </w:r>
    </w:p>
    <w:p>
      <w:pPr>
        <w:spacing w:after="80" w:before="200"/>
      </w:pPr>
      <w:r>
        <w:rPr>
          <w:rFonts w:ascii="Calibri" w:cs="Calibri" w:eastAsia="Calibri" w:hAnsi="Calibri"/>
          <w:b/>
          <w:bCs/>
          <w:i w:val="false"/>
          <w:iCs w:val="false"/>
          <w:color w:val="1E3A5F"/>
          <w:sz w:val="22"/>
          <w:szCs w:val="22"/>
        </w:rPr>
        <w:t xml:space="preserve">For Meridia Institutional Champions</w:t>
      </w:r>
    </w:p>
    <w:p>
      <w:pPr>
        <w:spacing w:after="60" w:before="60"/>
      </w:pPr>
      <w:r>
        <w:rPr>
          <w:rFonts w:ascii="Calibri" w:cs="Calibri" w:eastAsia="Calibri" w:hAnsi="Calibri"/>
          <w:b w:val="false"/>
          <w:bCs w:val="false"/>
          <w:i w:val="false"/>
          <w:iCs w:val="false"/>
          <w:color w:val="1A1A2E"/>
          <w:sz w:val="20"/>
          <w:szCs w:val="20"/>
        </w:rPr>
        <w:t xml:space="preserve">Andre Waits gets what he asked for in September: data ingestion, differentiated outputs by audience, real FFIEC/HMDA/ACS data, a system he can feel from all angles. The n8n-MCP pipeline handles the data layer. The K-Dense financial skills handle the analysis. Composio handles the delivery. VoiceMode handles the demo.</w:t>
      </w:r>
    </w:p>
    <w:p>
      <w:pPr>
        <w:spacing w:after="60" w:before="60"/>
      </w:pPr>
      <w:r>
        <w:rPr>
          <w:rFonts w:ascii="Calibri" w:cs="Calibri" w:eastAsia="Calibri" w:hAnsi="Calibri"/>
          <w:b w:val="false"/>
          <w:bCs w:val="false"/>
          <w:i w:val="false"/>
          <w:iCs w:val="false"/>
          <w:color w:val="1A1A2E"/>
          <w:sz w:val="20"/>
          <w:szCs w:val="20"/>
        </w:rPr>
        <w:t xml:space="preserve">Keith Mosley gets live API wiring. Index8.html stops being static. CCPM shows him the full development audit trail — PRD to commit. Ralph proves the system can build autonomously. The session memory proves it remembers.</w:t>
      </w:r>
    </w:p>
    <w:p>
      <w:pPr>
        <w:spacing w:after="80" w:before="200"/>
      </w:pPr>
      <w:r>
        <w:rPr>
          <w:rFonts w:ascii="Calibri" w:cs="Calibri" w:eastAsia="Calibri" w:hAnsi="Calibri"/>
          <w:b/>
          <w:bCs/>
          <w:i w:val="false"/>
          <w:iCs w:val="false"/>
          <w:color w:val="1E3A5F"/>
          <w:sz w:val="22"/>
          <w:szCs w:val="22"/>
        </w:rPr>
        <w:t xml:space="preserve">For the Operating Model</w:t>
      </w:r>
    </w:p>
    <w:p>
      <w:pPr>
        <w:spacing w:after="60" w:before="60"/>
      </w:pPr>
      <w:r>
        <w:rPr>
          <w:rFonts w:ascii="Calibri" w:cs="Calibri" w:eastAsia="Calibri" w:hAnsi="Calibri"/>
          <w:b w:val="false"/>
          <w:bCs w:val="false"/>
          <w:i w:val="false"/>
          <w:iCs w:val="false"/>
          <w:color w:val="1A1A2E"/>
          <w:sz w:val="20"/>
          <w:szCs w:val="20"/>
        </w:rPr>
        <w:t xml:space="preserve">This chat thread is not the system. This chat thread is a surface that sits on top of a system. When Claude Code is properly configured — with Claude Mem, Superpowers, Ralph, CCPM, LightRAG, and the anonymization layer — this conversation becomes optional, not foundational. Decisions made here get captured. Builds started here get completed. Context built here persists.</w:t>
      </w:r>
    </w:p>
    <w:p>
      <w:pPr>
        <w:spacing w:after="60" w:before="60"/>
      </w:pPr>
      <w:r>
        <w:rPr>
          <w:rFonts w:ascii="Calibri" w:cs="Calibri" w:eastAsia="Calibri" w:hAnsi="Calibri"/>
          <w:b w:val="false"/>
          <w:bCs w:val="false"/>
          <w:i w:val="false"/>
          <w:iCs w:val="false"/>
          <w:color w:val="1A1A2E"/>
          <w:sz w:val="20"/>
          <w:szCs w:val="20"/>
        </w:rPr>
        <w:t xml:space="preserve">The system demonstrates itself. That remains the goal.</w:t>
      </w:r>
    </w:p>
    <w:p>
      <w:pPr>
        <w:spacing w:after="0" w:before="40"/>
      </w:pPr>
      <w:r>
        <w:rPr>
          <w:rFonts w:ascii="Calibri" w:cs="Calibri" w:eastAsia="Calibri" w:hAnsi="Calibri"/>
          <w:b w:val="false"/>
          <w:bCs w:val="false"/>
          <w:i w:val="false"/>
          <w:iCs w:val="false"/>
          <w:color w:val="1A1A2E"/>
          <w:sz w:val="20"/>
          <w:szCs w:val="20"/>
        </w:rPr>
        <w:t xml:space="preserve"/>
      </w:r>
    </w:p>
    <w:p>
      <w:pPr>
        <w:pBdr>
          <w:top w:val="single" w:color="E2E8F0" w:sz="2" w:space="4"/>
        </w:pBdr>
        <w:spacing w:after="0" w:before="200"/>
        <w:jc w:val="center"/>
      </w:pPr>
      <w:r>
        <w:rPr>
          <w:rFonts w:ascii="Calibri" w:cs="Calibri" w:eastAsia="Calibri" w:hAnsi="Calibri"/>
          <w:b w:val="false"/>
          <w:bCs w:val="false"/>
          <w:i/>
          <w:iCs/>
          <w:color w:val="64748B"/>
          <w:sz w:val="15"/>
          <w:szCs w:val="15"/>
        </w:rPr>
        <w:t xml:space="preserve">Meridia Holdings LLC  ·  Autonomous Development Infrastructure Report  ·  April 2026  ·  Aliman Neal, Architect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2026-04-25T20:52:15.886Z</dcterms:created>
  <dcterms:modified xsi:type="dcterms:W3CDTF">2026-04-25T20:52:15.887Z</dcterms:modified>
</cp:coreProperties>
</file>

<file path=docProps/custom.xml><?xml version="1.0" encoding="utf-8"?>
<Properties xmlns="http://schemas.openxmlformats.org/officeDocument/2006/custom-properties" xmlns:vt="http://schemas.openxmlformats.org/officeDocument/2006/docPropsVTypes"/>
</file>