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87E0" w14:textId="77777777" w:rsidR="009E04A1" w:rsidRDefault="00046F7E">
      <w:pPr>
        <w:keepNext/>
        <w:spacing w:before="840" w:after="60"/>
        <w:jc w:val="center"/>
      </w:pPr>
      <w:r>
        <w:rPr>
          <w:b/>
          <w:bCs/>
          <w:color w:val="0F1C2E"/>
          <w:sz w:val="72"/>
          <w:szCs w:val="72"/>
        </w:rPr>
        <w:t>MERIDIA HOLDINGS</w:t>
      </w:r>
    </w:p>
    <w:p w14:paraId="38173E51" w14:textId="77777777" w:rsidR="009E04A1" w:rsidRPr="00AF5E3D" w:rsidRDefault="00046F7E">
      <w:pPr>
        <w:keepNext/>
        <w:spacing w:after="60"/>
        <w:jc w:val="center"/>
        <w:rPr>
          <w:sz w:val="22"/>
          <w:szCs w:val="22"/>
        </w:rPr>
      </w:pPr>
      <w:r w:rsidRPr="00AF5E3D">
        <w:rPr>
          <w:i/>
          <w:iCs/>
          <w:color w:val="C9A22B"/>
          <w:sz w:val="36"/>
          <w:szCs w:val="36"/>
        </w:rPr>
        <w:t>The Cathedral View</w:t>
      </w:r>
    </w:p>
    <w:p w14:paraId="6EBE8E20" w14:textId="77777777" w:rsidR="009E04A1" w:rsidRPr="00AF5E3D" w:rsidRDefault="00046F7E">
      <w:pPr>
        <w:keepNext/>
        <w:spacing w:after="60"/>
        <w:jc w:val="center"/>
        <w:rPr>
          <w:sz w:val="22"/>
          <w:szCs w:val="22"/>
        </w:rPr>
      </w:pPr>
      <w:r w:rsidRPr="00AF5E3D">
        <w:rPr>
          <w:color w:val="64748B"/>
          <w:sz w:val="22"/>
          <w:szCs w:val="22"/>
        </w:rPr>
        <w:t xml:space="preserve">Long-Term </w:t>
      </w:r>
      <w:proofErr w:type="gramStart"/>
      <w:r w:rsidRPr="00AF5E3D">
        <w:rPr>
          <w:color w:val="64748B"/>
          <w:sz w:val="22"/>
          <w:szCs w:val="22"/>
        </w:rPr>
        <w:t>Architecture  ·</w:t>
      </w:r>
      <w:proofErr w:type="gramEnd"/>
      <w:r w:rsidRPr="00AF5E3D">
        <w:rPr>
          <w:color w:val="64748B"/>
          <w:sz w:val="22"/>
          <w:szCs w:val="22"/>
        </w:rPr>
        <w:t xml:space="preserve">  Phased Build </w:t>
      </w:r>
      <w:proofErr w:type="gramStart"/>
      <w:r w:rsidRPr="00AF5E3D">
        <w:rPr>
          <w:color w:val="64748B"/>
          <w:sz w:val="22"/>
          <w:szCs w:val="22"/>
        </w:rPr>
        <w:t>Plan  ·</w:t>
      </w:r>
      <w:proofErr w:type="gramEnd"/>
      <w:r w:rsidRPr="00AF5E3D">
        <w:rPr>
          <w:color w:val="64748B"/>
          <w:sz w:val="22"/>
          <w:szCs w:val="22"/>
        </w:rPr>
        <w:t xml:space="preserve">  Governed AI Framework</w:t>
      </w:r>
    </w:p>
    <w:p w14:paraId="1F5F66A0" w14:textId="77777777" w:rsidR="009E04A1" w:rsidRPr="00AF5E3D" w:rsidRDefault="00046F7E">
      <w:pPr>
        <w:spacing w:after="140"/>
        <w:jc w:val="center"/>
        <w:rPr>
          <w:sz w:val="22"/>
          <w:szCs w:val="22"/>
        </w:rPr>
      </w:pPr>
      <w:r w:rsidRPr="00AF5E3D">
        <w:rPr>
          <w:color w:val="64748B"/>
          <w:sz w:val="20"/>
          <w:szCs w:val="20"/>
        </w:rPr>
        <w:t xml:space="preserve">April </w:t>
      </w:r>
      <w:proofErr w:type="gramStart"/>
      <w:r w:rsidRPr="00AF5E3D">
        <w:rPr>
          <w:color w:val="64748B"/>
          <w:sz w:val="20"/>
          <w:szCs w:val="20"/>
        </w:rPr>
        <w:t>2026  ·</w:t>
      </w:r>
      <w:proofErr w:type="gramEnd"/>
      <w:r w:rsidRPr="00AF5E3D">
        <w:rPr>
          <w:color w:val="64748B"/>
          <w:sz w:val="20"/>
          <w:szCs w:val="20"/>
        </w:rPr>
        <w:t xml:space="preserve">  </w:t>
      </w:r>
      <w:proofErr w:type="gramStart"/>
      <w:r w:rsidRPr="00AF5E3D">
        <w:rPr>
          <w:color w:val="64748B"/>
          <w:sz w:val="20"/>
          <w:szCs w:val="20"/>
        </w:rPr>
        <w:t>Confidential  ·</w:t>
      </w:r>
      <w:proofErr w:type="gramEnd"/>
      <w:r w:rsidRPr="00AF5E3D">
        <w:rPr>
          <w:color w:val="64748B"/>
          <w:sz w:val="20"/>
          <w:szCs w:val="20"/>
        </w:rPr>
        <w:t xml:space="preserve">  Prepared for Institutional Review</w:t>
      </w:r>
    </w:p>
    <w:p w14:paraId="29F0CB7D" w14:textId="77777777" w:rsidR="009E04A1" w:rsidRPr="00AF5E3D" w:rsidRDefault="009E04A1">
      <w:pPr>
        <w:pBdr>
          <w:bottom w:val="single" w:sz="6" w:space="6" w:color="C9A22B"/>
        </w:pBdr>
        <w:jc w:val="center"/>
        <w:rPr>
          <w:sz w:val="22"/>
          <w:szCs w:val="22"/>
        </w:rPr>
      </w:pPr>
    </w:p>
    <w:p w14:paraId="15BB3934" w14:textId="77777777" w:rsidR="009E04A1" w:rsidRDefault="009E04A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4D91A098" w14:textId="77777777">
        <w:tblPrEx>
          <w:tblCellMar>
            <w:top w:w="0" w:type="dxa"/>
            <w:bottom w:w="0" w:type="dxa"/>
          </w:tblCellMar>
        </w:tblPrEx>
        <w:trPr>
          <w:cantSplit/>
        </w:trPr>
        <w:tc>
          <w:tcPr>
            <w:tcW w:w="0" w:type="auto"/>
            <w:tcBorders>
              <w:top w:val="single" w:sz="8" w:space="0" w:color="C9A22B"/>
              <w:left w:val="single" w:sz="4" w:space="0" w:color="C9A22B"/>
              <w:bottom w:val="single" w:sz="8" w:space="0" w:color="C9A22B"/>
              <w:right w:val="single" w:sz="4" w:space="0" w:color="C9A22B"/>
            </w:tcBorders>
            <w:shd w:val="clear" w:color="auto" w:fill="FEFCE8"/>
            <w:tcMar>
              <w:top w:w="140" w:type="dxa"/>
              <w:left w:w="220" w:type="dxa"/>
              <w:bottom w:w="140" w:type="dxa"/>
              <w:right w:w="220" w:type="dxa"/>
            </w:tcMar>
          </w:tcPr>
          <w:p w14:paraId="4A8E3B9C" w14:textId="77777777" w:rsidR="009E04A1" w:rsidRDefault="00046F7E">
            <w:r>
              <w:rPr>
                <w:b/>
                <w:bCs/>
                <w:i/>
                <w:iCs/>
                <w:color w:val="0F1C2E"/>
                <w:sz w:val="22"/>
                <w:szCs w:val="22"/>
              </w:rPr>
              <w:t>"What if your bank woke up, with you in mind?"</w:t>
            </w:r>
          </w:p>
        </w:tc>
      </w:tr>
    </w:tbl>
    <w:p w14:paraId="66CAC7A6" w14:textId="77777777" w:rsidR="009E04A1" w:rsidRDefault="009E0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78F39B07" w14:textId="77777777">
        <w:tblPrEx>
          <w:tblCellMar>
            <w:top w:w="0" w:type="dxa"/>
            <w:bottom w:w="0" w:type="dxa"/>
          </w:tblCellMar>
        </w:tblPrEx>
        <w:trPr>
          <w:cantSplit/>
        </w:trPr>
        <w:tc>
          <w:tcPr>
            <w:tcW w:w="0" w:type="auto"/>
            <w:tcBorders>
              <w:top w:val="single" w:sz="8" w:space="0" w:color="C9A22B"/>
              <w:left w:val="single" w:sz="4" w:space="0" w:color="C9A22B"/>
              <w:bottom w:val="single" w:sz="8" w:space="0" w:color="C9A22B"/>
              <w:right w:val="single" w:sz="4" w:space="0" w:color="C9A22B"/>
            </w:tcBorders>
            <w:shd w:val="clear" w:color="auto" w:fill="FEFCE8"/>
            <w:tcMar>
              <w:top w:w="140" w:type="dxa"/>
              <w:left w:w="220" w:type="dxa"/>
              <w:bottom w:w="140" w:type="dxa"/>
              <w:right w:w="220" w:type="dxa"/>
            </w:tcMar>
          </w:tcPr>
          <w:p w14:paraId="0C5A22BE" w14:textId="77777777" w:rsidR="009E04A1" w:rsidRDefault="00046F7E">
            <w:r>
              <w:rPr>
                <w:b/>
                <w:bCs/>
                <w:i/>
                <w:iCs/>
                <w:color w:val="0F1C2E"/>
                <w:sz w:val="22"/>
                <w:szCs w:val="22"/>
              </w:rPr>
              <w:t xml:space="preserve">"What if the products you really needed became offerings at your bank </w:t>
            </w:r>
            <w:proofErr w:type="gramStart"/>
            <w:r>
              <w:rPr>
                <w:b/>
                <w:bCs/>
                <w:i/>
                <w:iCs/>
                <w:color w:val="0F1C2E"/>
                <w:sz w:val="22"/>
                <w:szCs w:val="22"/>
              </w:rPr>
              <w:t>the next</w:t>
            </w:r>
            <w:proofErr w:type="gramEnd"/>
            <w:r>
              <w:rPr>
                <w:b/>
                <w:bCs/>
                <w:i/>
                <w:iCs/>
                <w:color w:val="0F1C2E"/>
                <w:sz w:val="22"/>
                <w:szCs w:val="22"/>
              </w:rPr>
              <w:t xml:space="preserve"> week?"</w:t>
            </w:r>
          </w:p>
        </w:tc>
      </w:tr>
    </w:tbl>
    <w:p w14:paraId="348F4ABD" w14:textId="77777777" w:rsidR="009E04A1" w:rsidRDefault="009E04A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5730B3A8" w14:textId="77777777">
        <w:tblPrEx>
          <w:tblCellMar>
            <w:top w:w="0" w:type="dxa"/>
            <w:bottom w:w="0" w:type="dxa"/>
          </w:tblCellMar>
        </w:tblPrEx>
        <w:trPr>
          <w:cantSplit/>
        </w:trPr>
        <w:tc>
          <w:tcPr>
            <w:tcW w:w="0" w:type="auto"/>
            <w:tcBorders>
              <w:top w:val="single" w:sz="4" w:space="0" w:color="DC2626"/>
              <w:left w:val="single" w:sz="4" w:space="0" w:color="DC2626"/>
              <w:bottom w:val="single" w:sz="4" w:space="0" w:color="DC2626"/>
              <w:right w:val="single" w:sz="4" w:space="0" w:color="DC2626"/>
            </w:tcBorders>
            <w:shd w:val="clear" w:color="auto" w:fill="FEF2F2"/>
            <w:tcMar>
              <w:top w:w="100" w:type="dxa"/>
              <w:left w:w="160" w:type="dxa"/>
              <w:bottom w:w="100" w:type="dxa"/>
              <w:right w:w="160" w:type="dxa"/>
            </w:tcMar>
          </w:tcPr>
          <w:p w14:paraId="08C2C831" w14:textId="77777777" w:rsidR="00AF5E3D" w:rsidRDefault="00046F7E">
            <w:pPr>
              <w:rPr>
                <w:b/>
                <w:bCs/>
                <w:color w:val="DC2626"/>
                <w:sz w:val="18"/>
                <w:szCs w:val="18"/>
              </w:rPr>
            </w:pPr>
            <w:r w:rsidRPr="00AF5E3D">
              <w:rPr>
                <w:b/>
                <w:bCs/>
                <w:color w:val="DC2626"/>
                <w:sz w:val="18"/>
                <w:szCs w:val="18"/>
              </w:rPr>
              <w:t xml:space="preserve">SOURCING STANDARD: </w:t>
            </w:r>
          </w:p>
          <w:p w14:paraId="7832FD6A" w14:textId="1941B4D3" w:rsidR="009E04A1" w:rsidRDefault="00046F7E">
            <w:r w:rsidRPr="00AF5E3D">
              <w:rPr>
                <w:rFonts w:asciiTheme="minorHAnsi" w:hAnsiTheme="minorHAnsi"/>
                <w:color w:val="1A1A2E"/>
                <w:sz w:val="20"/>
                <w:szCs w:val="20"/>
              </w:rPr>
              <w:t>Every factual claim in this document carries one of three labels: SOURCE (verified, with citation), ESTIMATE (range based on comparable market data), or TBD (requires research or attorney review). Unlabeled statements are Meridia's own architecture decisions or strategic positions. This document is a working instrument, not a pitch.</w:t>
            </w:r>
          </w:p>
        </w:tc>
      </w:tr>
    </w:tbl>
    <w:p w14:paraId="02692075" w14:textId="77777777" w:rsidR="009E04A1" w:rsidRDefault="009E04A1">
      <w:pPr>
        <w:spacing w:before="60"/>
      </w:pPr>
    </w:p>
    <w:p w14:paraId="5492A7F1" w14:textId="77777777" w:rsidR="00AF5E3D" w:rsidRDefault="00046F7E">
      <w:pPr>
        <w:spacing w:before="40" w:after="40"/>
        <w:rPr>
          <w:i/>
          <w:iCs/>
          <w:color w:val="64748B"/>
          <w:sz w:val="22"/>
          <w:szCs w:val="22"/>
        </w:rPr>
      </w:pPr>
      <w:r w:rsidRPr="00AF5E3D">
        <w:rPr>
          <w:i/>
          <w:iCs/>
          <w:color w:val="64748B"/>
          <w:sz w:val="22"/>
          <w:szCs w:val="22"/>
        </w:rPr>
        <w:t xml:space="preserve">Document contents: </w:t>
      </w:r>
    </w:p>
    <w:p w14:paraId="74B27F51" w14:textId="65FDCC47" w:rsidR="00AF5E3D" w:rsidRDefault="00046F7E">
      <w:pPr>
        <w:spacing w:before="40" w:after="40"/>
        <w:rPr>
          <w:i/>
          <w:iCs/>
          <w:color w:val="64748B"/>
          <w:sz w:val="22"/>
          <w:szCs w:val="22"/>
        </w:rPr>
      </w:pPr>
      <w:r w:rsidRPr="00AF5E3D">
        <w:rPr>
          <w:i/>
          <w:iCs/>
          <w:color w:val="64748B"/>
          <w:sz w:val="22"/>
          <w:szCs w:val="22"/>
        </w:rPr>
        <w:t xml:space="preserve">Section 1 — What Governed AI Is and Why It </w:t>
      </w:r>
      <w:proofErr w:type="gramStart"/>
      <w:r w:rsidRPr="00AF5E3D">
        <w:rPr>
          <w:i/>
          <w:iCs/>
          <w:color w:val="64748B"/>
          <w:sz w:val="22"/>
          <w:szCs w:val="22"/>
        </w:rPr>
        <w:t>Matters  ·</w:t>
      </w:r>
      <w:proofErr w:type="gramEnd"/>
      <w:r w:rsidRPr="00AF5E3D">
        <w:rPr>
          <w:i/>
          <w:iCs/>
          <w:color w:val="64748B"/>
          <w:sz w:val="22"/>
          <w:szCs w:val="22"/>
        </w:rPr>
        <w:t xml:space="preserve">  Section 2 — The Long-Term </w:t>
      </w:r>
      <w:proofErr w:type="gramStart"/>
      <w:r w:rsidRPr="00AF5E3D">
        <w:rPr>
          <w:i/>
          <w:iCs/>
          <w:color w:val="64748B"/>
          <w:sz w:val="22"/>
          <w:szCs w:val="22"/>
        </w:rPr>
        <w:t>Vision  ·</w:t>
      </w:r>
      <w:proofErr w:type="gramEnd"/>
      <w:r w:rsidRPr="00AF5E3D">
        <w:rPr>
          <w:i/>
          <w:iCs/>
          <w:color w:val="64748B"/>
          <w:sz w:val="22"/>
          <w:szCs w:val="22"/>
        </w:rPr>
        <w:t xml:space="preserve">  </w:t>
      </w:r>
    </w:p>
    <w:p w14:paraId="53790D3D" w14:textId="77777777" w:rsidR="00AF5E3D" w:rsidRDefault="00046F7E">
      <w:pPr>
        <w:spacing w:before="40" w:after="40"/>
        <w:rPr>
          <w:i/>
          <w:iCs/>
          <w:color w:val="64748B"/>
          <w:sz w:val="22"/>
          <w:szCs w:val="22"/>
        </w:rPr>
      </w:pPr>
      <w:r w:rsidRPr="00AF5E3D">
        <w:rPr>
          <w:i/>
          <w:iCs/>
          <w:color w:val="64748B"/>
          <w:sz w:val="22"/>
          <w:szCs w:val="22"/>
        </w:rPr>
        <w:t xml:space="preserve">Section 3 — Phase Architecture with Timelines, Parties, Funding, and </w:t>
      </w:r>
      <w:proofErr w:type="gramStart"/>
      <w:r w:rsidRPr="00AF5E3D">
        <w:rPr>
          <w:i/>
          <w:iCs/>
          <w:color w:val="64748B"/>
          <w:sz w:val="22"/>
          <w:szCs w:val="22"/>
        </w:rPr>
        <w:t>Outputs  ·</w:t>
      </w:r>
      <w:proofErr w:type="gramEnd"/>
      <w:r w:rsidRPr="00AF5E3D">
        <w:rPr>
          <w:i/>
          <w:iCs/>
          <w:color w:val="64748B"/>
          <w:sz w:val="22"/>
          <w:szCs w:val="22"/>
        </w:rPr>
        <w:t xml:space="preserve">  Section 4 — Material </w:t>
      </w:r>
      <w:proofErr w:type="gramStart"/>
      <w:r w:rsidRPr="00AF5E3D">
        <w:rPr>
          <w:i/>
          <w:iCs/>
          <w:color w:val="64748B"/>
          <w:sz w:val="22"/>
          <w:szCs w:val="22"/>
        </w:rPr>
        <w:t>Risks  ·</w:t>
      </w:r>
      <w:proofErr w:type="gramEnd"/>
      <w:r w:rsidRPr="00AF5E3D">
        <w:rPr>
          <w:i/>
          <w:iCs/>
          <w:color w:val="64748B"/>
          <w:sz w:val="22"/>
          <w:szCs w:val="22"/>
        </w:rPr>
        <w:t xml:space="preserve">  </w:t>
      </w:r>
    </w:p>
    <w:p w14:paraId="160ED59D" w14:textId="7ECB2C8D" w:rsidR="009E04A1" w:rsidRPr="00AF5E3D" w:rsidRDefault="00046F7E">
      <w:pPr>
        <w:spacing w:before="40" w:after="40"/>
        <w:rPr>
          <w:sz w:val="22"/>
          <w:szCs w:val="22"/>
        </w:rPr>
      </w:pPr>
      <w:r w:rsidRPr="00AF5E3D">
        <w:rPr>
          <w:i/>
          <w:iCs/>
          <w:color w:val="64748B"/>
          <w:sz w:val="22"/>
          <w:szCs w:val="22"/>
        </w:rPr>
        <w:t>Section 5 — The Andre Waits Conversation Framework</w:t>
      </w:r>
    </w:p>
    <w:p w14:paraId="5225A8DA" w14:textId="77777777" w:rsidR="009E04A1" w:rsidRDefault="00046F7E">
      <w:pPr>
        <w:keepNext/>
        <w:pageBreakBefore/>
        <w:pBdr>
          <w:bottom w:val="single" w:sz="6" w:space="4" w:color="C9A22B"/>
        </w:pBdr>
        <w:spacing w:after="100"/>
      </w:pPr>
      <w:r>
        <w:rPr>
          <w:b/>
          <w:bCs/>
          <w:color w:val="0F1C2E"/>
          <w:sz w:val="38"/>
          <w:szCs w:val="38"/>
        </w:rPr>
        <w:lastRenderedPageBreak/>
        <w:t>SECTION 1 — WHAT GOVERNED AI IS AND WHY IT MATTERS</w:t>
      </w:r>
    </w:p>
    <w:p w14:paraId="09CB8240" w14:textId="77777777" w:rsidR="009E04A1" w:rsidRDefault="00046F7E">
      <w:pPr>
        <w:spacing w:before="50" w:after="50"/>
      </w:pPr>
      <w:r>
        <w:rPr>
          <w:color w:val="1A1A2E"/>
        </w:rPr>
        <w:t>Every meaningful AI deployment in financial services will eventually collide with one of three regulatory walls: explainability, disparate impact, or corpus ownership. Unregulated AI hits all three simultaneously. Governed AI is designed around all three from inception.</w:t>
      </w:r>
    </w:p>
    <w:p w14:paraId="5F507690" w14:textId="77777777" w:rsidR="009E04A1" w:rsidRDefault="009E04A1">
      <w:pPr>
        <w:spacing w:before="40"/>
      </w:pPr>
    </w:p>
    <w:p w14:paraId="2CE15DB0" w14:textId="77777777" w:rsidR="009E04A1" w:rsidRDefault="00046F7E">
      <w:pPr>
        <w:spacing w:before="50" w:after="50"/>
      </w:pPr>
      <w:r>
        <w:rPr>
          <w:color w:val="1A1A2E"/>
        </w:rPr>
        <w:t>This is not a philosophical distinction. It is a legal and operational one with documented financial consequences.</w:t>
      </w:r>
    </w:p>
    <w:p w14:paraId="5CD3E793" w14:textId="77777777" w:rsidR="009E04A1" w:rsidRDefault="009E04A1">
      <w:pPr>
        <w:spacing w:before="60"/>
      </w:pPr>
    </w:p>
    <w:p w14:paraId="4867ECE9" w14:textId="77777777" w:rsidR="009E04A1" w:rsidRDefault="00046F7E">
      <w:pPr>
        <w:keepNext/>
        <w:keepLines/>
        <w:spacing w:before="220" w:after="80"/>
      </w:pPr>
      <w:r>
        <w:rPr>
          <w:b/>
          <w:bCs/>
          <w:color w:val="0F1C2E"/>
          <w:sz w:val="26"/>
          <w:szCs w:val="26"/>
        </w:rPr>
        <w:t>1A — THE REGULATORY PROBLEM UNREGULATED AI CANNOT SOLVE</w:t>
      </w:r>
    </w:p>
    <w:p w14:paraId="55F87FCF" w14:textId="77777777" w:rsidR="009E04A1" w:rsidRDefault="00046F7E">
      <w:pPr>
        <w:spacing w:before="50" w:after="50"/>
      </w:pPr>
      <w:r>
        <w:rPr>
          <w:color w:val="1A1A2E"/>
        </w:rPr>
        <w:t>In 2024, Apple and Goldman Sachs were assessed $89 million in penalties for algorithmic discrimination in their Apple Card credit program.</w:t>
      </w:r>
    </w:p>
    <w:p w14:paraId="394C07E2" w14:textId="77777777" w:rsidR="009E04A1" w:rsidRDefault="00046F7E">
      <w:pPr>
        <w:spacing w:before="20" w:after="30"/>
        <w:ind w:left="300"/>
      </w:pPr>
      <w:r>
        <w:rPr>
          <w:i/>
          <w:iCs/>
          <w:color w:val="64748B"/>
          <w:sz w:val="15"/>
          <w:szCs w:val="15"/>
        </w:rPr>
        <w:t>SOURCE: CFPB enforcement action 2024 — multiple verified sources including HES FinTech, published November 2025.</w:t>
      </w:r>
    </w:p>
    <w:p w14:paraId="34D74138" w14:textId="77777777" w:rsidR="009E04A1" w:rsidRDefault="009E04A1">
      <w:pPr>
        <w:spacing w:before="40"/>
      </w:pPr>
    </w:p>
    <w:p w14:paraId="40EDCC33" w14:textId="77777777" w:rsidR="009E04A1" w:rsidRDefault="00046F7E">
      <w:pPr>
        <w:spacing w:before="50" w:after="50"/>
      </w:pPr>
      <w:r>
        <w:rPr>
          <w:color w:val="1A1A2E"/>
        </w:rPr>
        <w:t>The penalty was not for intentional discrimination. It was for deploying an AI model whose decision logic could not be explained, tested for disparate impact, or audited. The black box nature of the model made compliance impossible after the fact.</w:t>
      </w:r>
    </w:p>
    <w:p w14:paraId="7DBF859C" w14:textId="77777777" w:rsidR="009E04A1" w:rsidRDefault="009E04A1">
      <w:pPr>
        <w:spacing w:before="40"/>
      </w:pPr>
    </w:p>
    <w:p w14:paraId="37759DA5" w14:textId="77777777" w:rsidR="009E04A1" w:rsidRDefault="00046F7E">
      <w:pPr>
        <w:spacing w:before="50" w:after="50"/>
      </w:pPr>
      <w:r>
        <w:rPr>
          <w:color w:val="1A1A2E"/>
        </w:rPr>
        <w:t>The regulatory framework that produced that penalty is specific and documented:</w:t>
      </w:r>
    </w:p>
    <w:p w14:paraId="362D930A" w14:textId="77777777" w:rsidR="009E04A1" w:rsidRDefault="009E04A1">
      <w:pPr>
        <w:spacing w:before="20"/>
      </w:pPr>
    </w:p>
    <w:p w14:paraId="0D6EC725" w14:textId="77777777" w:rsidR="009E04A1" w:rsidRDefault="00046F7E">
      <w:pPr>
        <w:spacing w:before="36" w:after="36"/>
        <w:ind w:left="380" w:hanging="220"/>
      </w:pPr>
      <w:r>
        <w:rPr>
          <w:color w:val="C9A22B"/>
        </w:rPr>
        <w:t xml:space="preserve">—  </w:t>
      </w:r>
      <w:r>
        <w:rPr>
          <w:color w:val="1A1A2E"/>
        </w:rPr>
        <w:t>ECOA (Equal Credit Opportunity Act) and Regulation B require lenders to provide specific reasons for adverse credit decisions. AI models must be explainable at the individual decision level — not just on average.</w:t>
      </w:r>
    </w:p>
    <w:p w14:paraId="6DDA881E" w14:textId="77777777" w:rsidR="009E04A1" w:rsidRDefault="00046F7E">
      <w:pPr>
        <w:spacing w:before="20" w:after="30"/>
        <w:ind w:left="300"/>
      </w:pPr>
      <w:r>
        <w:rPr>
          <w:i/>
          <w:iCs/>
          <w:color w:val="64748B"/>
          <w:sz w:val="15"/>
          <w:szCs w:val="15"/>
        </w:rPr>
        <w:t>SOURCE: Brookings Institution: 'An AI Fair Lending Policy Agenda for the Federal Financial Regulators.' OCC Fair Lending AI Guidance.</w:t>
      </w:r>
    </w:p>
    <w:p w14:paraId="73A4D125" w14:textId="77777777" w:rsidR="009E04A1" w:rsidRDefault="00046F7E">
      <w:pPr>
        <w:spacing w:before="36" w:after="36"/>
        <w:ind w:left="380" w:hanging="220"/>
      </w:pPr>
      <w:r>
        <w:rPr>
          <w:color w:val="C9A22B"/>
        </w:rPr>
        <w:t xml:space="preserve">—  </w:t>
      </w:r>
      <w:r>
        <w:rPr>
          <w:color w:val="1A1A2E"/>
        </w:rPr>
        <w:t>OCC guidance requires that AI and ML models used in credit decisions be explainable, auditable, and regularly tested for accuracy, bias, and data drift.</w:t>
      </w:r>
    </w:p>
    <w:p w14:paraId="14F8682A" w14:textId="77777777" w:rsidR="009E04A1" w:rsidRDefault="00046F7E">
      <w:pPr>
        <w:spacing w:before="20" w:after="30"/>
        <w:ind w:left="300"/>
      </w:pPr>
      <w:r>
        <w:rPr>
          <w:i/>
          <w:iCs/>
          <w:color w:val="64748B"/>
          <w:sz w:val="15"/>
          <w:szCs w:val="15"/>
        </w:rPr>
        <w:t>SOURCE: OCC Fair Lending AI Guidance — signzy.com summary, April 2026.</w:t>
      </w:r>
    </w:p>
    <w:p w14:paraId="18C0C025" w14:textId="77777777" w:rsidR="009E04A1" w:rsidRDefault="00046F7E">
      <w:pPr>
        <w:spacing w:before="36" w:after="36"/>
        <w:ind w:left="380" w:hanging="220"/>
      </w:pPr>
      <w:r>
        <w:rPr>
          <w:color w:val="C9A22B"/>
        </w:rPr>
        <w:t xml:space="preserve">—  </w:t>
      </w:r>
      <w:r>
        <w:rPr>
          <w:color w:val="1A1A2E"/>
        </w:rPr>
        <w:t>CFPB has applied adverse action notification requirements to AI models — meaning AI-driven denials must produce specific, human-readable reasons. 'The model said no' is not a compliant adverse action notice.</w:t>
      </w:r>
    </w:p>
    <w:p w14:paraId="3597F75A" w14:textId="77777777" w:rsidR="009E04A1" w:rsidRDefault="00046F7E">
      <w:pPr>
        <w:spacing w:before="20" w:after="30"/>
        <w:ind w:left="300"/>
      </w:pPr>
      <w:r>
        <w:rPr>
          <w:i/>
          <w:iCs/>
          <w:color w:val="64748B"/>
          <w:sz w:val="15"/>
          <w:szCs w:val="15"/>
        </w:rPr>
        <w:t>SOURCE: Skadden, Arps analysis: 'CFPB Applies Adverse Action Notification Requirement to Artificial Intelligence Models,' January 2024.</w:t>
      </w:r>
    </w:p>
    <w:p w14:paraId="21F8FC1B" w14:textId="77777777" w:rsidR="009E04A1" w:rsidRDefault="00046F7E">
      <w:pPr>
        <w:spacing w:before="36" w:after="36"/>
        <w:ind w:left="380" w:hanging="220"/>
      </w:pPr>
      <w:r>
        <w:rPr>
          <w:color w:val="C9A22B"/>
        </w:rPr>
        <w:t xml:space="preserve">—  </w:t>
      </w:r>
      <w:r>
        <w:rPr>
          <w:color w:val="1A1A2E"/>
        </w:rPr>
        <w:t>Disparate impact — both intentional and unintentional — is prohibited under ECOA and the Fair Housing Act. This requires ongoing testing of model outputs across protected classes, not just model design review.</w:t>
      </w:r>
    </w:p>
    <w:p w14:paraId="67EC6B6D" w14:textId="77777777" w:rsidR="009E04A1" w:rsidRDefault="00046F7E">
      <w:pPr>
        <w:spacing w:before="20" w:after="30"/>
        <w:ind w:left="300"/>
      </w:pPr>
      <w:r>
        <w:rPr>
          <w:i/>
          <w:iCs/>
          <w:color w:val="64748B"/>
          <w:sz w:val="15"/>
          <w:szCs w:val="15"/>
        </w:rPr>
        <w:t>SOURCE: World Journal of Advanced Research and Reviews, 2025, Vol. 26(03).</w:t>
      </w:r>
    </w:p>
    <w:p w14:paraId="73E229B5" w14:textId="77777777" w:rsidR="009E04A1" w:rsidRDefault="009E04A1">
      <w:pPr>
        <w:spacing w:before="60"/>
      </w:pPr>
    </w:p>
    <w:p w14:paraId="46670149" w14:textId="77777777" w:rsidR="009E04A1" w:rsidRDefault="00046F7E">
      <w:pPr>
        <w:keepNext/>
        <w:keepLines/>
        <w:spacing w:before="220" w:after="80"/>
      </w:pPr>
      <w:r>
        <w:rPr>
          <w:b/>
          <w:bCs/>
          <w:color w:val="0F1C2E"/>
          <w:sz w:val="26"/>
          <w:szCs w:val="26"/>
        </w:rPr>
        <w:t>1B — WHAT GOVERNED AI IS, SPECIFICALLY</w:t>
      </w:r>
    </w:p>
    <w:p w14:paraId="78A92329" w14:textId="77777777" w:rsidR="009E04A1" w:rsidRDefault="00046F7E">
      <w:pPr>
        <w:spacing w:before="50" w:after="50"/>
      </w:pPr>
      <w:proofErr w:type="gramStart"/>
      <w:r>
        <w:rPr>
          <w:color w:val="1A1A2E"/>
        </w:rPr>
        <w:t>Governed</w:t>
      </w:r>
      <w:proofErr w:type="gramEnd"/>
      <w:r>
        <w:rPr>
          <w:color w:val="1A1A2E"/>
        </w:rPr>
        <w:t xml:space="preserve"> AI is not a product category. It is an architectural standard — a set of design decisions made at inception that determine whether an AI system can operate in regulated environments.</w:t>
      </w:r>
    </w:p>
    <w:p w14:paraId="0BB6CD57" w14:textId="77777777" w:rsidR="009E04A1" w:rsidRDefault="009E04A1">
      <w:pPr>
        <w:spacing w:before="40"/>
      </w:pPr>
    </w:p>
    <w:p w14:paraId="7EF03661" w14:textId="77777777" w:rsidR="009E04A1" w:rsidRDefault="00046F7E">
      <w:pPr>
        <w:spacing w:before="50" w:after="50"/>
      </w:pPr>
      <w:r>
        <w:rPr>
          <w:color w:val="1A1A2E"/>
        </w:rPr>
        <w:t>The specific architecture decisions that distinguish governed AI from unregulated AI:</w:t>
      </w:r>
    </w:p>
    <w:p w14:paraId="606314C8" w14:textId="77777777" w:rsidR="009E04A1" w:rsidRDefault="009E04A1">
      <w:pPr>
        <w:spacing w:before="20"/>
      </w:pPr>
    </w:p>
    <w:p w14:paraId="54212C13" w14:textId="77777777" w:rsidR="009E04A1" w:rsidRDefault="00046F7E">
      <w:pPr>
        <w:spacing w:before="36" w:after="36"/>
        <w:ind w:left="380" w:hanging="220"/>
      </w:pPr>
      <w:r>
        <w:rPr>
          <w:color w:val="C9A22B"/>
        </w:rPr>
        <w:t xml:space="preserve">—  </w:t>
      </w:r>
      <w:r>
        <w:rPr>
          <w:color w:val="1A1A2E"/>
        </w:rPr>
        <w:t>Audit trail by design — every decision is logged with its inputs, decision logic, and output. Not as an add-on. As the primary output alongside the decision itself.</w:t>
      </w:r>
    </w:p>
    <w:p w14:paraId="17A4B291" w14:textId="77777777" w:rsidR="009E04A1" w:rsidRDefault="00046F7E">
      <w:pPr>
        <w:spacing w:before="36" w:after="36"/>
        <w:ind w:left="380" w:hanging="220"/>
      </w:pPr>
      <w:r>
        <w:rPr>
          <w:color w:val="C9A22B"/>
        </w:rPr>
        <w:t xml:space="preserve">—  </w:t>
      </w:r>
      <w:r>
        <w:rPr>
          <w:color w:val="1A1A2E"/>
        </w:rPr>
        <w:t>Permission cascade — different users see different outputs from the same underlying data. The board sees a strategic summary. The regulator sees a compliance pack. The family sees plain language guidance. The governance layer controls what each receives, not the data layer.</w:t>
      </w:r>
    </w:p>
    <w:p w14:paraId="24631A1A" w14:textId="77777777" w:rsidR="009E04A1" w:rsidRDefault="00046F7E">
      <w:pPr>
        <w:spacing w:before="36" w:after="36"/>
        <w:ind w:left="380" w:hanging="220"/>
      </w:pPr>
      <w:r>
        <w:rPr>
          <w:color w:val="C9A22B"/>
        </w:rPr>
        <w:t xml:space="preserve">—  </w:t>
      </w:r>
      <w:r>
        <w:rPr>
          <w:color w:val="1A1A2E"/>
        </w:rPr>
        <w:t>Corpus ownership — what the system learns from operating belongs to the institution deploying it, not the model provider. This distinction is critical in a competitive intelligence context. The intelligence compounds with the deploying institution, not in a shared model.</w:t>
      </w:r>
    </w:p>
    <w:p w14:paraId="08ED1E7B" w14:textId="77777777" w:rsidR="009E04A1" w:rsidRDefault="00046F7E">
      <w:pPr>
        <w:spacing w:before="36" w:after="36"/>
        <w:ind w:left="380" w:hanging="220"/>
      </w:pPr>
      <w:r>
        <w:rPr>
          <w:color w:val="C9A22B"/>
        </w:rPr>
        <w:t xml:space="preserve">—  </w:t>
      </w:r>
      <w:r>
        <w:rPr>
          <w:color w:val="1A1A2E"/>
        </w:rPr>
        <w:t>Explainability layer — every output can show its reasoning in terms a human and a regulator can examine. Not a summary. The actual decision logic, traceable to its inputs.</w:t>
      </w:r>
    </w:p>
    <w:p w14:paraId="0BB70FA8" w14:textId="77777777" w:rsidR="009E04A1" w:rsidRDefault="00046F7E">
      <w:pPr>
        <w:spacing w:before="36" w:after="36"/>
        <w:ind w:left="380" w:hanging="220"/>
      </w:pPr>
      <w:r>
        <w:rPr>
          <w:color w:val="C9A22B"/>
        </w:rPr>
        <w:t xml:space="preserve">—  </w:t>
      </w:r>
      <w:r>
        <w:rPr>
          <w:color w:val="1A1A2E"/>
        </w:rPr>
        <w:t xml:space="preserve">Human oversight gates — sensitive decisions do not execute without human confirmation. AI proposes. Governance approves. This is not a UX feature. It is </w:t>
      </w:r>
      <w:proofErr w:type="gramStart"/>
      <w:r>
        <w:rPr>
          <w:color w:val="1A1A2E"/>
        </w:rPr>
        <w:t>a compliance</w:t>
      </w:r>
      <w:proofErr w:type="gramEnd"/>
      <w:r>
        <w:rPr>
          <w:color w:val="1A1A2E"/>
        </w:rPr>
        <w:t xml:space="preserve"> architecture.</w:t>
      </w:r>
    </w:p>
    <w:p w14:paraId="08E051A3" w14:textId="77777777" w:rsidR="009E04A1" w:rsidRDefault="009E04A1">
      <w:pPr>
        <w:spacing w:before="60"/>
      </w:pPr>
    </w:p>
    <w:p w14:paraId="20A89722" w14:textId="77777777" w:rsidR="009E04A1" w:rsidRDefault="00046F7E">
      <w:pPr>
        <w:keepNext/>
        <w:keepLines/>
        <w:spacing w:before="220" w:after="80"/>
      </w:pPr>
      <w:r>
        <w:rPr>
          <w:b/>
          <w:bCs/>
          <w:color w:val="0F1C2E"/>
          <w:sz w:val="26"/>
          <w:szCs w:val="26"/>
        </w:rPr>
        <w:lastRenderedPageBreak/>
        <w:t>1C — WHAT GOVERNED AI SOLVES IN MERIDIA SPECIFICALLY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0FE09233" w14:textId="77777777">
        <w:tblPrEx>
          <w:tblCellMar>
            <w:top w:w="0" w:type="dxa"/>
            <w:bottom w:w="0" w:type="dxa"/>
          </w:tblCellMar>
        </w:tblPrEx>
        <w:trPr>
          <w:cantSplit/>
        </w:trPr>
        <w:tc>
          <w:tcPr>
            <w:tcW w:w="0" w:type="auto"/>
            <w:tcBorders>
              <w:top w:val="single" w:sz="6" w:space="0" w:color="0F1C2E"/>
              <w:left w:val="single" w:sz="6" w:space="0" w:color="0F1C2E"/>
              <w:bottom w:val="single" w:sz="6" w:space="0" w:color="0F1C2E"/>
              <w:right w:val="single" w:sz="6" w:space="0" w:color="0F1C2E"/>
            </w:tcBorders>
            <w:shd w:val="clear" w:color="auto" w:fill="F8F9FA"/>
            <w:tcMar>
              <w:top w:w="110" w:type="dxa"/>
              <w:left w:w="180" w:type="dxa"/>
              <w:bottom w:w="110" w:type="dxa"/>
              <w:right w:w="180" w:type="dxa"/>
            </w:tcMar>
          </w:tcPr>
          <w:p w14:paraId="7EBAC0AD" w14:textId="77777777" w:rsidR="009E04A1" w:rsidRDefault="00046F7E">
            <w:pPr>
              <w:keepNext/>
              <w:spacing w:after="50"/>
            </w:pPr>
            <w:r>
              <w:rPr>
                <w:b/>
                <w:bCs/>
                <w:color w:val="0F1C2E"/>
              </w:rPr>
              <w:t>THE BILATERAL SIMULTANEITY PROBLEM — ONLY GOVERNED AI CAN HOLD BOTH SIDES LEGALLY</w:t>
            </w:r>
          </w:p>
          <w:p w14:paraId="5D7E9812" w14:textId="77777777" w:rsidR="009E04A1" w:rsidRDefault="00046F7E">
            <w:pPr>
              <w:spacing w:before="30" w:after="30"/>
            </w:pPr>
            <w:r>
              <w:rPr>
                <w:color w:val="0F1C2E"/>
              </w:rPr>
              <w:t xml:space="preserve">•  </w:t>
            </w:r>
            <w:r>
              <w:rPr>
                <w:color w:val="1A1A2E"/>
              </w:rPr>
              <w:t>Meridia operates simultaneously for the consumer (guidance) and the institution (pipeline intelligence). These are regulated activities with different disclosure requirements, different permission structures, and potentially different ECOA implications.</w:t>
            </w:r>
          </w:p>
          <w:p w14:paraId="5C9CC1AE" w14:textId="77777777" w:rsidR="009E04A1" w:rsidRDefault="00046F7E">
            <w:pPr>
              <w:spacing w:before="30" w:after="30"/>
            </w:pPr>
            <w:r>
              <w:rPr>
                <w:color w:val="0F1C2E"/>
              </w:rPr>
              <w:t xml:space="preserve">•  </w:t>
            </w:r>
            <w:r>
              <w:rPr>
                <w:color w:val="1A1A2E"/>
              </w:rPr>
              <w:t>Without governance architecture that establishes clear roles, disclosures, and permission boundaries for each side of the bilateral read, operating simultaneously for both is not just risky — it is potentially impermissible under existing consumer protection frameworks.</w:t>
            </w:r>
          </w:p>
          <w:p w14:paraId="04BF1392" w14:textId="77777777" w:rsidR="009E04A1" w:rsidRDefault="00046F7E">
            <w:pPr>
              <w:spacing w:before="30" w:after="30"/>
            </w:pPr>
            <w:r>
              <w:rPr>
                <w:color w:val="0F1C2E"/>
              </w:rPr>
              <w:t xml:space="preserve">•  </w:t>
            </w:r>
            <w:r>
              <w:rPr>
                <w:color w:val="1A1A2E"/>
              </w:rPr>
              <w:t xml:space="preserve">Governed AI resolves this by making </w:t>
            </w:r>
            <w:proofErr w:type="gramStart"/>
            <w:r>
              <w:rPr>
                <w:color w:val="1A1A2E"/>
              </w:rPr>
              <w:t>the permission</w:t>
            </w:r>
            <w:proofErr w:type="gramEnd"/>
            <w:r>
              <w:rPr>
                <w:color w:val="1A1A2E"/>
              </w:rPr>
              <w:t xml:space="preserve"> cascade the foundation of the system. What the institution sees and what the consumer sees are governed outputs from the same underlying data — not the same output delivered to two audiences.</w:t>
            </w:r>
          </w:p>
          <w:p w14:paraId="315E75F9" w14:textId="77777777" w:rsidR="009E04A1" w:rsidRDefault="00046F7E">
            <w:pPr>
              <w:spacing w:before="30" w:after="30"/>
            </w:pPr>
            <w:r>
              <w:rPr>
                <w:color w:val="0F1C2E"/>
              </w:rPr>
              <w:t xml:space="preserve">•  </w:t>
            </w:r>
            <w:r>
              <w:rPr>
                <w:color w:val="1A1A2E"/>
              </w:rPr>
              <w:t>This is the architectural answer to the regulatory question the stress test raised: why can't Chase build this? Because Chase cannot govern the disclosure framework for both sides simultaneously from inside the institution. The trust layer requires neutrality that the institution's own compliance structure prevents.</w:t>
            </w:r>
          </w:p>
        </w:tc>
      </w:tr>
    </w:tbl>
    <w:p w14:paraId="35555F9B" w14:textId="77777777" w:rsidR="009E04A1" w:rsidRDefault="009E0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14BA4546" w14:textId="77777777">
        <w:tblPrEx>
          <w:tblCellMar>
            <w:top w:w="0" w:type="dxa"/>
            <w:bottom w:w="0" w:type="dxa"/>
          </w:tblCellMar>
        </w:tblPrEx>
        <w:trPr>
          <w:cantSplit/>
        </w:trPr>
        <w:tc>
          <w:tcPr>
            <w:tcW w:w="0" w:type="auto"/>
            <w:tcBorders>
              <w:top w:val="single" w:sz="6" w:space="0" w:color="16A34A"/>
              <w:left w:val="single" w:sz="6" w:space="0" w:color="16A34A"/>
              <w:bottom w:val="single" w:sz="6" w:space="0" w:color="16A34A"/>
              <w:right w:val="single" w:sz="6" w:space="0" w:color="16A34A"/>
            </w:tcBorders>
            <w:shd w:val="clear" w:color="auto" w:fill="F8F9FA"/>
            <w:tcMar>
              <w:top w:w="110" w:type="dxa"/>
              <w:left w:w="180" w:type="dxa"/>
              <w:bottom w:w="110" w:type="dxa"/>
              <w:right w:w="180" w:type="dxa"/>
            </w:tcMar>
          </w:tcPr>
          <w:p w14:paraId="2741962D" w14:textId="77777777" w:rsidR="009E04A1" w:rsidRDefault="00046F7E">
            <w:pPr>
              <w:keepNext/>
              <w:spacing w:after="50"/>
            </w:pPr>
            <w:r>
              <w:rPr>
                <w:b/>
                <w:bCs/>
                <w:color w:val="16A34A"/>
              </w:rPr>
              <w:t>THE CORPUS OWNERSHIP PROBLEM — MERIDIA'S MOAT REQUIRES GOVERNANCE</w:t>
            </w:r>
          </w:p>
          <w:p w14:paraId="1A2B0029" w14:textId="77777777" w:rsidR="009E04A1" w:rsidRDefault="00046F7E">
            <w:pPr>
              <w:spacing w:before="30" w:after="30"/>
            </w:pPr>
            <w:r>
              <w:rPr>
                <w:color w:val="16A34A"/>
              </w:rPr>
              <w:t xml:space="preserve">•  </w:t>
            </w:r>
            <w:r>
              <w:rPr>
                <w:color w:val="1A1A2E"/>
              </w:rPr>
              <w:t>Meridia's competitive moat is the corpus — behavioral and financial intelligence that accumulates from the bilateral read across thousands of clients. That corpus only has value if Meridia owns it.</w:t>
            </w:r>
          </w:p>
          <w:p w14:paraId="7EB1E721" w14:textId="77777777" w:rsidR="009E04A1" w:rsidRDefault="00046F7E">
            <w:pPr>
              <w:spacing w:before="30" w:after="30"/>
            </w:pPr>
            <w:r>
              <w:rPr>
                <w:color w:val="16A34A"/>
              </w:rPr>
              <w:t xml:space="preserve">•  </w:t>
            </w:r>
            <w:r>
              <w:rPr>
                <w:color w:val="1A1A2E"/>
              </w:rPr>
              <w:t>Without governed AI architecture, the corpus can be claimed by the model provider, shared across deployments, or lost when an institutional partner relationship ends.</w:t>
            </w:r>
          </w:p>
          <w:p w14:paraId="09FCCCB6" w14:textId="77777777" w:rsidR="009E04A1" w:rsidRDefault="00046F7E">
            <w:pPr>
              <w:spacing w:before="30" w:after="30"/>
            </w:pPr>
            <w:r>
              <w:rPr>
                <w:color w:val="16A34A"/>
              </w:rPr>
              <w:t xml:space="preserve">•  </w:t>
            </w:r>
            <w:r>
              <w:rPr>
                <w:color w:val="1A1A2E"/>
              </w:rPr>
              <w:t>Governed AI establishes at the infrastructure level that what the system learns from Meridia's clients stays in Meridia's corpus — not in the foundation model's training data, not in the institutional partner's database.</w:t>
            </w:r>
          </w:p>
          <w:p w14:paraId="42460F00" w14:textId="77777777" w:rsidR="009E04A1" w:rsidRDefault="00046F7E">
            <w:pPr>
              <w:spacing w:before="30" w:after="30"/>
            </w:pPr>
            <w:r>
              <w:rPr>
                <w:color w:val="16A34A"/>
              </w:rPr>
              <w:t xml:space="preserve">•  </w:t>
            </w:r>
            <w:r>
              <w:rPr>
                <w:color w:val="1A1A2E"/>
              </w:rPr>
              <w:t xml:space="preserve">This is not a legal agreement. It is an architectural fact. The corpus ownership model </w:t>
            </w:r>
            <w:proofErr w:type="gramStart"/>
            <w:r>
              <w:rPr>
                <w:color w:val="1A1A2E"/>
              </w:rPr>
              <w:t>has to</w:t>
            </w:r>
            <w:proofErr w:type="gramEnd"/>
            <w:r>
              <w:rPr>
                <w:color w:val="1A1A2E"/>
              </w:rPr>
              <w:t xml:space="preserve"> be designed in, not negotiated after deployment.</w:t>
            </w:r>
          </w:p>
        </w:tc>
      </w:tr>
    </w:tbl>
    <w:p w14:paraId="490052D7" w14:textId="77777777" w:rsidR="009E04A1" w:rsidRDefault="009E0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40F669A4" w14:textId="77777777">
        <w:tblPrEx>
          <w:tblCellMar>
            <w:top w:w="0" w:type="dxa"/>
            <w:bottom w:w="0" w:type="dxa"/>
          </w:tblCellMar>
        </w:tblPrEx>
        <w:trPr>
          <w:cantSplit/>
        </w:trPr>
        <w:tc>
          <w:tcPr>
            <w:tcW w:w="0" w:type="auto"/>
            <w:tcBorders>
              <w:top w:val="single" w:sz="6" w:space="0" w:color="C9A22B"/>
              <w:left w:val="single" w:sz="6" w:space="0" w:color="C9A22B"/>
              <w:bottom w:val="single" w:sz="6" w:space="0" w:color="C9A22B"/>
              <w:right w:val="single" w:sz="6" w:space="0" w:color="C9A22B"/>
            </w:tcBorders>
            <w:shd w:val="clear" w:color="auto" w:fill="F8F9FA"/>
            <w:tcMar>
              <w:top w:w="110" w:type="dxa"/>
              <w:left w:w="180" w:type="dxa"/>
              <w:bottom w:w="110" w:type="dxa"/>
              <w:right w:w="180" w:type="dxa"/>
            </w:tcMar>
          </w:tcPr>
          <w:p w14:paraId="2C76D5BA" w14:textId="77777777" w:rsidR="009E04A1" w:rsidRDefault="00046F7E">
            <w:pPr>
              <w:keepNext/>
              <w:spacing w:after="50"/>
            </w:pPr>
            <w:r>
              <w:rPr>
                <w:b/>
                <w:bCs/>
                <w:color w:val="C9A22B"/>
              </w:rPr>
              <w:t>THE EXPLAINABILITY PROBLEM — MERIDIA'S CRA VALUE REQUIRES DOCUMENTATION</w:t>
            </w:r>
          </w:p>
          <w:p w14:paraId="65F20F51" w14:textId="77777777" w:rsidR="009E04A1" w:rsidRDefault="00046F7E">
            <w:pPr>
              <w:spacing w:before="30" w:after="30"/>
            </w:pPr>
            <w:r>
              <w:rPr>
                <w:color w:val="C9A22B"/>
              </w:rPr>
              <w:t xml:space="preserve">•  </w:t>
            </w:r>
            <w:r>
              <w:rPr>
                <w:color w:val="1A1A2E"/>
              </w:rPr>
              <w:t>Every CRA-reportable activity that Meridia generates for an institutional partner must be documented with its reasoning. The client's income, geography, and demographic factors that qualify them for CRA credit must be traceable.</w:t>
            </w:r>
          </w:p>
          <w:p w14:paraId="124292F6" w14:textId="77777777" w:rsidR="009E04A1" w:rsidRDefault="00046F7E">
            <w:pPr>
              <w:spacing w:before="30" w:after="30"/>
            </w:pPr>
            <w:r>
              <w:rPr>
                <w:color w:val="C9A22B"/>
              </w:rPr>
              <w:t xml:space="preserve">•  </w:t>
            </w:r>
            <w:r>
              <w:rPr>
                <w:color w:val="1A1A2E"/>
              </w:rPr>
              <w:t>Unregulated AI that produces a CRA recommendation without a documented reasoning chain is not CRA credit — it is a liability. The institution cannot defend a CRA exam finding with a black box output.</w:t>
            </w:r>
          </w:p>
          <w:p w14:paraId="1F0C9680" w14:textId="77777777" w:rsidR="009E04A1" w:rsidRDefault="00046F7E">
            <w:pPr>
              <w:spacing w:before="30" w:after="30"/>
            </w:pPr>
            <w:r>
              <w:rPr>
                <w:color w:val="C9A22B"/>
              </w:rPr>
              <w:t xml:space="preserve">•  </w:t>
            </w:r>
            <w:r>
              <w:rPr>
                <w:color w:val="1A1A2E"/>
              </w:rPr>
              <w:t xml:space="preserve">Governed AI produces </w:t>
            </w:r>
            <w:proofErr w:type="gramStart"/>
            <w:r>
              <w:rPr>
                <w:color w:val="1A1A2E"/>
              </w:rPr>
              <w:t>the CRA</w:t>
            </w:r>
            <w:proofErr w:type="gramEnd"/>
            <w:r>
              <w:rPr>
                <w:color w:val="1A1A2E"/>
              </w:rPr>
              <w:t xml:space="preserve"> documentation as a byproduct of normal operation. The audit trail that satisfies the regulator is the same audit trail that makes the bilateral model defensible.</w:t>
            </w:r>
          </w:p>
        </w:tc>
      </w:tr>
    </w:tbl>
    <w:p w14:paraId="483F9ACF" w14:textId="77777777" w:rsidR="009E04A1" w:rsidRDefault="009E04A1">
      <w:pPr>
        <w:spacing w:before="60"/>
      </w:pPr>
    </w:p>
    <w:p w14:paraId="4B22D60F" w14:textId="77777777" w:rsidR="009E04A1" w:rsidRDefault="00046F7E">
      <w:pPr>
        <w:keepNext/>
        <w:keepLines/>
        <w:spacing w:before="220" w:after="80"/>
      </w:pPr>
      <w:r>
        <w:rPr>
          <w:b/>
          <w:bCs/>
          <w:color w:val="0F1C2E"/>
          <w:sz w:val="26"/>
          <w:szCs w:val="26"/>
        </w:rPr>
        <w:t>1D — WHERE AI CURRENTLY SITS IN FINANCIAL SERVICES AND THE GAP MERIDIA FILLS</w:t>
      </w:r>
    </w:p>
    <w:p w14:paraId="127AD5A5" w14:textId="77777777" w:rsidR="009E04A1" w:rsidRDefault="00046F7E">
      <w:pPr>
        <w:spacing w:before="50" w:after="50"/>
      </w:pPr>
      <w:r>
        <w:rPr>
          <w:color w:val="1A1A2E"/>
        </w:rPr>
        <w:t>A verified fact from the May 2025 Government Accountability Office report on AI in financial services: regulators are already using AI for extracting examination documents, identifying risks in supervisory data, and flagging potential legal violations.</w:t>
      </w:r>
    </w:p>
    <w:p w14:paraId="0D62C667" w14:textId="77777777" w:rsidR="009E04A1" w:rsidRDefault="00046F7E">
      <w:pPr>
        <w:spacing w:before="20" w:after="30"/>
        <w:ind w:left="300"/>
      </w:pPr>
      <w:r>
        <w:rPr>
          <w:i/>
          <w:iCs/>
          <w:color w:val="64748B"/>
          <w:sz w:val="15"/>
          <w:szCs w:val="15"/>
        </w:rPr>
        <w:t xml:space="preserve">SOURCE: GAO Report: 'Artificial Intelligence: Use and Oversight in Financial Services,' May 2025 — cited in </w:t>
      </w:r>
      <w:proofErr w:type="spellStart"/>
      <w:r>
        <w:rPr>
          <w:i/>
          <w:iCs/>
          <w:color w:val="64748B"/>
          <w:sz w:val="15"/>
          <w:szCs w:val="15"/>
        </w:rPr>
        <w:t>CrossCheck</w:t>
      </w:r>
      <w:proofErr w:type="spellEnd"/>
      <w:r>
        <w:rPr>
          <w:i/>
          <w:iCs/>
          <w:color w:val="64748B"/>
          <w:sz w:val="15"/>
          <w:szCs w:val="15"/>
        </w:rPr>
        <w:t xml:space="preserve"> Compliance analysis, January 2026.</w:t>
      </w:r>
    </w:p>
    <w:p w14:paraId="21621E62" w14:textId="77777777" w:rsidR="009E04A1" w:rsidRDefault="009E04A1">
      <w:pPr>
        <w:spacing w:before="40"/>
      </w:pPr>
    </w:p>
    <w:p w14:paraId="4C345B96" w14:textId="77777777" w:rsidR="009E04A1" w:rsidRDefault="00046F7E">
      <w:pPr>
        <w:spacing w:before="50" w:after="50"/>
      </w:pPr>
      <w:r>
        <w:rPr>
          <w:color w:val="1A1A2E"/>
        </w:rPr>
        <w:t xml:space="preserve">What this means is that regulators are developing AI literacy </w:t>
      </w:r>
      <w:proofErr w:type="gramStart"/>
      <w:r>
        <w:rPr>
          <w:color w:val="1A1A2E"/>
        </w:rPr>
        <w:t>at the same time that</w:t>
      </w:r>
      <w:proofErr w:type="gramEnd"/>
      <w:r>
        <w:rPr>
          <w:color w:val="1A1A2E"/>
        </w:rPr>
        <w:t xml:space="preserve"> institutions are deploying AI in consumer-facing decisions. The regulatory framework is being built around the problem as the problem is being deployed.</w:t>
      </w:r>
    </w:p>
    <w:p w14:paraId="0FAA55FF" w14:textId="77777777" w:rsidR="009E04A1" w:rsidRDefault="009E04A1">
      <w:pPr>
        <w:spacing w:before="40"/>
      </w:pPr>
    </w:p>
    <w:p w14:paraId="14B1DC93" w14:textId="77777777" w:rsidR="009E04A1" w:rsidRDefault="00046F7E">
      <w:pPr>
        <w:spacing w:before="50" w:after="50"/>
      </w:pPr>
      <w:r>
        <w:rPr>
          <w:color w:val="1A1A2E"/>
        </w:rPr>
        <w:t>The gap Meridia fills is specific: no existing platform simultaneously reads both sides of the financial relationship (institution and consumer), produces governed outputs for each, maintains an auditable corpus that compounds institutional intelligence, and operates in a trust layer that neither side can occupy alone.</w:t>
      </w:r>
    </w:p>
    <w:p w14:paraId="0667AB14" w14:textId="77777777" w:rsidR="009E04A1" w:rsidRDefault="009E04A1">
      <w:pPr>
        <w:spacing w:before="40"/>
      </w:pPr>
    </w:p>
    <w:p w14:paraId="521AD02B" w14:textId="77777777" w:rsidR="009E04A1" w:rsidRDefault="00046F7E">
      <w:pPr>
        <w:spacing w:before="50" w:after="50"/>
      </w:pPr>
      <w:r>
        <w:rPr>
          <w:color w:val="1A1A2E"/>
        </w:rPr>
        <w:t>This is not a claim about what is planned or possible. It is a claim about what does not exist in the current market — and the sourced regulatory framework above is the reason why no institutional player has built it: operating in both directions simultaneously, with full explainability, in a neutral trust layer, requires design decisions that cannot be made from inside either institution.</w:t>
      </w:r>
    </w:p>
    <w:p w14:paraId="69B0DA69" w14:textId="77777777" w:rsidR="009E04A1" w:rsidRDefault="00046F7E">
      <w:pPr>
        <w:keepNext/>
        <w:pageBreakBefore/>
        <w:pBdr>
          <w:bottom w:val="single" w:sz="6" w:space="4" w:color="C9A22B"/>
        </w:pBdr>
        <w:spacing w:after="100"/>
      </w:pPr>
      <w:r>
        <w:rPr>
          <w:b/>
          <w:bCs/>
          <w:color w:val="0F1C2E"/>
          <w:sz w:val="38"/>
          <w:szCs w:val="38"/>
        </w:rPr>
        <w:lastRenderedPageBreak/>
        <w:t>SECTION 2 — THE LONG-TERM 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66E7300D" w14:textId="77777777">
        <w:tblPrEx>
          <w:tblCellMar>
            <w:top w:w="0" w:type="dxa"/>
            <w:bottom w:w="0" w:type="dxa"/>
          </w:tblCellMar>
        </w:tblPrEx>
        <w:trPr>
          <w:cantSplit/>
        </w:trPr>
        <w:tc>
          <w:tcPr>
            <w:tcW w:w="0" w:type="auto"/>
            <w:tcBorders>
              <w:top w:val="single" w:sz="8" w:space="0" w:color="C9A22B"/>
              <w:left w:val="single" w:sz="4" w:space="0" w:color="C9A22B"/>
              <w:bottom w:val="single" w:sz="8" w:space="0" w:color="C9A22B"/>
              <w:right w:val="single" w:sz="4" w:space="0" w:color="C9A22B"/>
            </w:tcBorders>
            <w:shd w:val="clear" w:color="auto" w:fill="FEFCE8"/>
            <w:tcMar>
              <w:top w:w="140" w:type="dxa"/>
              <w:left w:w="220" w:type="dxa"/>
              <w:bottom w:w="140" w:type="dxa"/>
              <w:right w:w="220" w:type="dxa"/>
            </w:tcMar>
          </w:tcPr>
          <w:p w14:paraId="40B7D15A" w14:textId="77777777" w:rsidR="009E04A1" w:rsidRDefault="00046F7E">
            <w:r>
              <w:rPr>
                <w:b/>
                <w:bCs/>
                <w:i/>
                <w:iCs/>
                <w:color w:val="0F1C2E"/>
                <w:sz w:val="22"/>
                <w:szCs w:val="22"/>
              </w:rPr>
              <w:t xml:space="preserve">The Rockefeller position: not owning the </w:t>
            </w:r>
            <w:proofErr w:type="gramStart"/>
            <w:r>
              <w:rPr>
                <w:b/>
                <w:bCs/>
                <w:i/>
                <w:iCs/>
                <w:color w:val="0F1C2E"/>
                <w:sz w:val="22"/>
                <w:szCs w:val="22"/>
              </w:rPr>
              <w:t>oil — owning</w:t>
            </w:r>
            <w:proofErr w:type="gramEnd"/>
            <w:r>
              <w:rPr>
                <w:b/>
                <w:bCs/>
                <w:i/>
                <w:iCs/>
                <w:color w:val="0F1C2E"/>
                <w:sz w:val="22"/>
                <w:szCs w:val="22"/>
              </w:rPr>
              <w:t xml:space="preserve"> the layer that everything </w:t>
            </w:r>
            <w:proofErr w:type="gramStart"/>
            <w:r>
              <w:rPr>
                <w:b/>
                <w:bCs/>
                <w:i/>
                <w:iCs/>
                <w:color w:val="0F1C2E"/>
                <w:sz w:val="22"/>
                <w:szCs w:val="22"/>
              </w:rPr>
              <w:t>has to</w:t>
            </w:r>
            <w:proofErr w:type="gramEnd"/>
            <w:r>
              <w:rPr>
                <w:b/>
                <w:bCs/>
                <w:i/>
                <w:iCs/>
                <w:color w:val="0F1C2E"/>
                <w:sz w:val="22"/>
                <w:szCs w:val="22"/>
              </w:rPr>
              <w:t xml:space="preserve"> pass through.</w:t>
            </w:r>
          </w:p>
        </w:tc>
      </w:tr>
    </w:tbl>
    <w:p w14:paraId="4E2B5211" w14:textId="77777777" w:rsidR="009E04A1" w:rsidRDefault="009E04A1">
      <w:pPr>
        <w:spacing w:before="60"/>
      </w:pPr>
    </w:p>
    <w:p w14:paraId="6EF82CDE" w14:textId="77777777" w:rsidR="009E04A1" w:rsidRDefault="00046F7E">
      <w:pPr>
        <w:spacing w:before="50" w:after="50"/>
      </w:pPr>
      <w:r>
        <w:rPr>
          <w:color w:val="1A1A2E"/>
        </w:rPr>
        <w:t>The long-term vision for Meridia is not a financial services company. It is a governed cognitive infrastructure company — the intelligence layer that financial institutions, families, businesses, and communities depend on to navigate toward each other.</w:t>
      </w:r>
    </w:p>
    <w:p w14:paraId="41DE208F" w14:textId="77777777" w:rsidR="009E04A1" w:rsidRDefault="009E04A1">
      <w:pPr>
        <w:spacing w:before="40"/>
      </w:pPr>
    </w:p>
    <w:p w14:paraId="0193D49C" w14:textId="77777777" w:rsidR="009E04A1" w:rsidRDefault="00046F7E">
      <w:pPr>
        <w:spacing w:before="50" w:after="50"/>
      </w:pPr>
      <w:r>
        <w:rPr>
          <w:color w:val="1A1A2E"/>
        </w:rPr>
        <w:t xml:space="preserve">In ten years, Meridia </w:t>
      </w:r>
      <w:proofErr w:type="gramStart"/>
      <w:r>
        <w:rPr>
          <w:color w:val="1A1A2E"/>
        </w:rPr>
        <w:t>is</w:t>
      </w:r>
      <w:proofErr w:type="gramEnd"/>
      <w:r>
        <w:rPr>
          <w:color w:val="1A1A2E"/>
        </w:rPr>
        <w:t xml:space="preserve"> not the company that </w:t>
      </w:r>
      <w:proofErr w:type="gramStart"/>
      <w:r>
        <w:rPr>
          <w:color w:val="1A1A2E"/>
        </w:rPr>
        <w:t>helps</w:t>
      </w:r>
      <w:proofErr w:type="gramEnd"/>
      <w:r>
        <w:rPr>
          <w:color w:val="1A1A2E"/>
        </w:rPr>
        <w:t xml:space="preserve"> </w:t>
      </w:r>
      <w:proofErr w:type="gramStart"/>
      <w:r>
        <w:rPr>
          <w:color w:val="1A1A2E"/>
        </w:rPr>
        <w:t>you</w:t>
      </w:r>
      <w:proofErr w:type="gramEnd"/>
      <w:r>
        <w:rPr>
          <w:color w:val="1A1A2E"/>
        </w:rPr>
        <w:t xml:space="preserve"> bank. It is the company that the institutions you bank with depend on to understand their customers, identify their opportunities, and defend their compliance — simultaneously.</w:t>
      </w:r>
    </w:p>
    <w:p w14:paraId="1F50232A" w14:textId="77777777" w:rsidR="009E04A1" w:rsidRDefault="009E04A1">
      <w:pPr>
        <w:spacing w:before="60"/>
      </w:pPr>
    </w:p>
    <w:p w14:paraId="6061C877" w14:textId="77777777" w:rsidR="009E04A1" w:rsidRDefault="00046F7E">
      <w:pPr>
        <w:keepNext/>
        <w:keepLines/>
        <w:spacing w:before="220" w:after="80"/>
      </w:pPr>
      <w:r>
        <w:rPr>
          <w:b/>
          <w:bCs/>
          <w:color w:val="0F1C2E"/>
          <w:sz w:val="26"/>
          <w:szCs w:val="26"/>
        </w:rPr>
        <w:t>2A — THE PRODUCT HIERARCHY AT FULL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3"/>
        <w:gridCol w:w="3105"/>
        <w:gridCol w:w="4242"/>
      </w:tblGrid>
      <w:tr w:rsidR="009E04A1" w14:paraId="51E9859C" w14:textId="77777777">
        <w:tblPrEx>
          <w:tblCellMar>
            <w:top w:w="0" w:type="dxa"/>
            <w:bottom w:w="0" w:type="dxa"/>
          </w:tblCellMar>
        </w:tblPrEx>
        <w:trPr>
          <w:cantSplit/>
        </w:trPr>
        <w:tc>
          <w:tcPr>
            <w:tcW w:w="0" w:type="auto"/>
            <w:tcBorders>
              <w:top w:val="single" w:sz="0" w:space="0" w:color="FFFFFF"/>
              <w:left w:val="single" w:sz="0" w:space="0" w:color="FFFFFF"/>
              <w:bottom w:val="single" w:sz="0" w:space="0" w:color="FFFFFF"/>
              <w:right w:val="single" w:sz="0" w:space="0" w:color="FFFFFF"/>
            </w:tcBorders>
            <w:shd w:val="clear" w:color="auto" w:fill="0F1C2E"/>
            <w:tcMar>
              <w:top w:w="80" w:type="dxa"/>
              <w:left w:w="140" w:type="dxa"/>
              <w:bottom w:w="80" w:type="dxa"/>
              <w:right w:w="140" w:type="dxa"/>
            </w:tcMar>
          </w:tcPr>
          <w:p w14:paraId="22546A24" w14:textId="77777777" w:rsidR="009E04A1" w:rsidRDefault="00046F7E">
            <w:r>
              <w:rPr>
                <w:b/>
                <w:bCs/>
                <w:color w:val="C9A22B"/>
                <w:sz w:val="17"/>
                <w:szCs w:val="17"/>
              </w:rPr>
              <w:t>PRODUCT</w:t>
            </w:r>
          </w:p>
        </w:tc>
        <w:tc>
          <w:tcPr>
            <w:tcW w:w="0" w:type="auto"/>
            <w:tcBorders>
              <w:top w:val="single" w:sz="0" w:space="0" w:color="FFFFFF"/>
              <w:left w:val="single" w:sz="0" w:space="0" w:color="FFFFFF"/>
              <w:bottom w:val="single" w:sz="0" w:space="0" w:color="FFFFFF"/>
              <w:right w:val="single" w:sz="0" w:space="0" w:color="FFFFFF"/>
            </w:tcBorders>
            <w:shd w:val="clear" w:color="auto" w:fill="0F1C2E"/>
            <w:tcMar>
              <w:top w:w="80" w:type="dxa"/>
              <w:left w:w="140" w:type="dxa"/>
              <w:bottom w:w="80" w:type="dxa"/>
              <w:right w:w="140" w:type="dxa"/>
            </w:tcMar>
          </w:tcPr>
          <w:p w14:paraId="1B78AE43" w14:textId="77777777" w:rsidR="009E04A1" w:rsidRDefault="00046F7E">
            <w:r>
              <w:rPr>
                <w:b/>
                <w:bCs/>
                <w:color w:val="C9A22B"/>
                <w:sz w:val="17"/>
                <w:szCs w:val="17"/>
              </w:rPr>
              <w:t>SERVES</w:t>
            </w:r>
          </w:p>
        </w:tc>
        <w:tc>
          <w:tcPr>
            <w:tcW w:w="0" w:type="auto"/>
            <w:tcBorders>
              <w:top w:val="single" w:sz="0" w:space="0" w:color="FFFFFF"/>
              <w:left w:val="single" w:sz="0" w:space="0" w:color="FFFFFF"/>
              <w:bottom w:val="single" w:sz="0" w:space="0" w:color="FFFFFF"/>
              <w:right w:val="single" w:sz="0" w:space="0" w:color="FFFFFF"/>
            </w:tcBorders>
            <w:shd w:val="clear" w:color="auto" w:fill="0F1C2E"/>
            <w:tcMar>
              <w:top w:w="80" w:type="dxa"/>
              <w:left w:w="140" w:type="dxa"/>
              <w:bottom w:w="80" w:type="dxa"/>
              <w:right w:w="140" w:type="dxa"/>
            </w:tcMar>
          </w:tcPr>
          <w:p w14:paraId="7FC2093E" w14:textId="77777777" w:rsidR="009E04A1" w:rsidRDefault="00046F7E">
            <w:r>
              <w:rPr>
                <w:b/>
                <w:bCs/>
                <w:color w:val="C9A22B"/>
                <w:sz w:val="17"/>
                <w:szCs w:val="17"/>
              </w:rPr>
              <w:t>WHAT IT PRODUCES</w:t>
            </w:r>
          </w:p>
        </w:tc>
      </w:tr>
      <w:tr w:rsidR="009E04A1" w14:paraId="3E44E8BC"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shd w:val="clear" w:color="auto" w:fill="F8F9FA"/>
            <w:tcMar>
              <w:top w:w="70" w:type="dxa"/>
              <w:left w:w="120" w:type="dxa"/>
              <w:bottom w:w="70" w:type="dxa"/>
              <w:right w:w="120" w:type="dxa"/>
            </w:tcMar>
          </w:tcPr>
          <w:p w14:paraId="06B795B4" w14:textId="77777777" w:rsidR="009E04A1" w:rsidRDefault="00046F7E">
            <w:r>
              <w:rPr>
                <w:b/>
                <w:bCs/>
                <w:color w:val="0F1C2E"/>
                <w:sz w:val="18"/>
                <w:szCs w:val="18"/>
              </w:rPr>
              <w:t>Meridia Assessment</w:t>
            </w:r>
          </w:p>
        </w:tc>
        <w:tc>
          <w:tcPr>
            <w:tcW w:w="0" w:type="auto"/>
            <w:tcBorders>
              <w:top w:val="single" w:sz="4" w:space="0" w:color="E2E8F0"/>
              <w:left w:val="single" w:sz="4" w:space="0" w:color="E2E8F0"/>
              <w:bottom w:val="single" w:sz="4" w:space="0" w:color="E2E8F0"/>
              <w:right w:val="single" w:sz="4" w:space="0" w:color="E2E8F0"/>
            </w:tcBorders>
            <w:shd w:val="clear" w:color="auto" w:fill="F8F9FA"/>
            <w:tcMar>
              <w:top w:w="70" w:type="dxa"/>
              <w:left w:w="120" w:type="dxa"/>
              <w:bottom w:w="70" w:type="dxa"/>
              <w:right w:w="120" w:type="dxa"/>
            </w:tcMar>
          </w:tcPr>
          <w:p w14:paraId="4BF6E0AC" w14:textId="77777777" w:rsidR="009E04A1" w:rsidRDefault="00046F7E">
            <w:r>
              <w:rPr>
                <w:color w:val="1A1A2E"/>
                <w:sz w:val="17"/>
                <w:szCs w:val="17"/>
              </w:rPr>
              <w:t>Individuals, households, small businesses</w:t>
            </w:r>
          </w:p>
        </w:tc>
        <w:tc>
          <w:tcPr>
            <w:tcW w:w="0" w:type="auto"/>
            <w:tcBorders>
              <w:top w:val="single" w:sz="4" w:space="0" w:color="E2E8F0"/>
              <w:left w:val="single" w:sz="4" w:space="0" w:color="E2E8F0"/>
              <w:bottom w:val="single" w:sz="4" w:space="0" w:color="E2E8F0"/>
              <w:right w:val="single" w:sz="4" w:space="0" w:color="E2E8F0"/>
            </w:tcBorders>
            <w:shd w:val="clear" w:color="auto" w:fill="F8F9FA"/>
            <w:tcMar>
              <w:top w:w="70" w:type="dxa"/>
              <w:left w:w="120" w:type="dxa"/>
              <w:bottom w:w="70" w:type="dxa"/>
              <w:right w:w="120" w:type="dxa"/>
            </w:tcMar>
          </w:tcPr>
          <w:p w14:paraId="59160EDC" w14:textId="77777777" w:rsidR="009E04A1" w:rsidRDefault="00046F7E">
            <w:r>
              <w:rPr>
                <w:color w:val="64748B"/>
                <w:sz w:val="17"/>
                <w:szCs w:val="17"/>
              </w:rPr>
              <w:t>Complete financial picture, honest institutional read, actionable roadmap, governed corpus entry</w:t>
            </w:r>
          </w:p>
        </w:tc>
      </w:tr>
      <w:tr w:rsidR="009E04A1" w14:paraId="27E5A983"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shd w:val="clear" w:color="auto" w:fill="FFFFFF"/>
            <w:tcMar>
              <w:top w:w="70" w:type="dxa"/>
              <w:left w:w="120" w:type="dxa"/>
              <w:bottom w:w="70" w:type="dxa"/>
              <w:right w:w="120" w:type="dxa"/>
            </w:tcMar>
          </w:tcPr>
          <w:p w14:paraId="74A153D4" w14:textId="77777777" w:rsidR="009E04A1" w:rsidRDefault="00046F7E">
            <w:r>
              <w:rPr>
                <w:b/>
                <w:bCs/>
                <w:color w:val="0F1C2E"/>
                <w:sz w:val="18"/>
                <w:szCs w:val="18"/>
              </w:rPr>
              <w:t>WayPoint Core</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70" w:type="dxa"/>
              <w:left w:w="120" w:type="dxa"/>
              <w:bottom w:w="70" w:type="dxa"/>
              <w:right w:w="120" w:type="dxa"/>
            </w:tcMar>
          </w:tcPr>
          <w:p w14:paraId="6C19DC8E" w14:textId="77777777" w:rsidR="009E04A1" w:rsidRDefault="00046F7E">
            <w:r>
              <w:rPr>
                <w:color w:val="1A1A2E"/>
                <w:sz w:val="17"/>
                <w:szCs w:val="17"/>
              </w:rPr>
              <w:t>Everyday financial stability seekers</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70" w:type="dxa"/>
              <w:left w:w="120" w:type="dxa"/>
              <w:bottom w:w="70" w:type="dxa"/>
              <w:right w:w="120" w:type="dxa"/>
            </w:tcMar>
          </w:tcPr>
          <w:p w14:paraId="372F2D32" w14:textId="77777777" w:rsidR="009E04A1" w:rsidRDefault="00046F7E">
            <w:r>
              <w:rPr>
                <w:color w:val="64748B"/>
                <w:sz w:val="17"/>
                <w:szCs w:val="17"/>
              </w:rPr>
              <w:t>Guided progression from current state to qualification thresholds across banking, credit, and business products</w:t>
            </w:r>
          </w:p>
        </w:tc>
      </w:tr>
      <w:tr w:rsidR="009E04A1" w14:paraId="3EDD169D"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shd w:val="clear" w:color="auto" w:fill="F8F9FA"/>
            <w:tcMar>
              <w:top w:w="70" w:type="dxa"/>
              <w:left w:w="120" w:type="dxa"/>
              <w:bottom w:w="70" w:type="dxa"/>
              <w:right w:w="120" w:type="dxa"/>
            </w:tcMar>
          </w:tcPr>
          <w:p w14:paraId="30A4D1F8" w14:textId="77777777" w:rsidR="009E04A1" w:rsidRDefault="00046F7E">
            <w:r>
              <w:rPr>
                <w:b/>
                <w:bCs/>
                <w:color w:val="0F1C2E"/>
                <w:sz w:val="18"/>
                <w:szCs w:val="18"/>
              </w:rPr>
              <w:t>WayPoint Renaissance</w:t>
            </w:r>
          </w:p>
        </w:tc>
        <w:tc>
          <w:tcPr>
            <w:tcW w:w="0" w:type="auto"/>
            <w:tcBorders>
              <w:top w:val="single" w:sz="4" w:space="0" w:color="E2E8F0"/>
              <w:left w:val="single" w:sz="4" w:space="0" w:color="E2E8F0"/>
              <w:bottom w:val="single" w:sz="4" w:space="0" w:color="E2E8F0"/>
              <w:right w:val="single" w:sz="4" w:space="0" w:color="E2E8F0"/>
            </w:tcBorders>
            <w:shd w:val="clear" w:color="auto" w:fill="F8F9FA"/>
            <w:tcMar>
              <w:top w:w="70" w:type="dxa"/>
              <w:left w:w="120" w:type="dxa"/>
              <w:bottom w:w="70" w:type="dxa"/>
              <w:right w:w="120" w:type="dxa"/>
            </w:tcMar>
          </w:tcPr>
          <w:p w14:paraId="3E17E698" w14:textId="77777777" w:rsidR="009E04A1" w:rsidRDefault="00046F7E">
            <w:r>
              <w:rPr>
                <w:color w:val="1A1A2E"/>
                <w:sz w:val="17"/>
                <w:szCs w:val="17"/>
              </w:rPr>
              <w:t>Re-entry clients — ChexSystems, prepaid-only, formerly incarcerated</w:t>
            </w:r>
          </w:p>
        </w:tc>
        <w:tc>
          <w:tcPr>
            <w:tcW w:w="0" w:type="auto"/>
            <w:tcBorders>
              <w:top w:val="single" w:sz="4" w:space="0" w:color="E2E8F0"/>
              <w:left w:val="single" w:sz="4" w:space="0" w:color="E2E8F0"/>
              <w:bottom w:val="single" w:sz="4" w:space="0" w:color="E2E8F0"/>
              <w:right w:val="single" w:sz="4" w:space="0" w:color="E2E8F0"/>
            </w:tcBorders>
            <w:shd w:val="clear" w:color="auto" w:fill="F8F9FA"/>
            <w:tcMar>
              <w:top w:w="70" w:type="dxa"/>
              <w:left w:w="120" w:type="dxa"/>
              <w:bottom w:w="70" w:type="dxa"/>
              <w:right w:w="120" w:type="dxa"/>
            </w:tcMar>
          </w:tcPr>
          <w:p w14:paraId="35F62458" w14:textId="77777777" w:rsidR="009E04A1" w:rsidRDefault="00046F7E">
            <w:r>
              <w:rPr>
                <w:color w:val="64748B"/>
                <w:sz w:val="17"/>
                <w:szCs w:val="17"/>
              </w:rPr>
              <w:t>Dignity-first pathway from financial exclusion to full banking access</w:t>
            </w:r>
          </w:p>
        </w:tc>
      </w:tr>
      <w:tr w:rsidR="009E04A1" w14:paraId="76E72A44"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shd w:val="clear" w:color="auto" w:fill="FFFFFF"/>
            <w:tcMar>
              <w:top w:w="70" w:type="dxa"/>
              <w:left w:w="120" w:type="dxa"/>
              <w:bottom w:w="70" w:type="dxa"/>
              <w:right w:w="120" w:type="dxa"/>
            </w:tcMar>
          </w:tcPr>
          <w:p w14:paraId="42B96C49" w14:textId="77777777" w:rsidR="009E04A1" w:rsidRDefault="00046F7E">
            <w:r>
              <w:rPr>
                <w:b/>
                <w:bCs/>
                <w:color w:val="0F1C2E"/>
                <w:sz w:val="18"/>
                <w:szCs w:val="18"/>
              </w:rPr>
              <w:t>WayPoint Edge</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70" w:type="dxa"/>
              <w:left w:w="120" w:type="dxa"/>
              <w:bottom w:w="70" w:type="dxa"/>
              <w:right w:w="120" w:type="dxa"/>
            </w:tcMar>
          </w:tcPr>
          <w:p w14:paraId="5E7C11E5" w14:textId="77777777" w:rsidR="009E04A1" w:rsidRDefault="00046F7E">
            <w:r>
              <w:rPr>
                <w:color w:val="1A1A2E"/>
                <w:sz w:val="17"/>
                <w:szCs w:val="17"/>
              </w:rPr>
              <w:t>Industries in permanent penalty boxes — cannabis, creators, seasonal trades</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70" w:type="dxa"/>
              <w:left w:w="120" w:type="dxa"/>
              <w:bottom w:w="70" w:type="dxa"/>
              <w:right w:w="120" w:type="dxa"/>
            </w:tcMar>
          </w:tcPr>
          <w:p w14:paraId="58C7752D" w14:textId="77777777" w:rsidR="009E04A1" w:rsidRDefault="00046F7E">
            <w:r>
              <w:rPr>
                <w:color w:val="64748B"/>
                <w:sz w:val="17"/>
                <w:szCs w:val="17"/>
              </w:rPr>
              <w:t>Vertical-specific product routing and institutional relationship development</w:t>
            </w:r>
          </w:p>
        </w:tc>
      </w:tr>
      <w:tr w:rsidR="009E04A1" w14:paraId="2FEED2CD"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shd w:val="clear" w:color="auto" w:fill="F8F9FA"/>
            <w:tcMar>
              <w:top w:w="70" w:type="dxa"/>
              <w:left w:w="120" w:type="dxa"/>
              <w:bottom w:w="70" w:type="dxa"/>
              <w:right w:w="120" w:type="dxa"/>
            </w:tcMar>
          </w:tcPr>
          <w:p w14:paraId="1D4D7AA0" w14:textId="77777777" w:rsidR="009E04A1" w:rsidRDefault="00046F7E">
            <w:r>
              <w:rPr>
                <w:b/>
                <w:bCs/>
                <w:color w:val="0F1C2E"/>
                <w:sz w:val="18"/>
                <w:szCs w:val="18"/>
              </w:rPr>
              <w:t>WayPoint Crown</w:t>
            </w:r>
          </w:p>
        </w:tc>
        <w:tc>
          <w:tcPr>
            <w:tcW w:w="0" w:type="auto"/>
            <w:tcBorders>
              <w:top w:val="single" w:sz="4" w:space="0" w:color="E2E8F0"/>
              <w:left w:val="single" w:sz="4" w:space="0" w:color="E2E8F0"/>
              <w:bottom w:val="single" w:sz="4" w:space="0" w:color="E2E8F0"/>
              <w:right w:val="single" w:sz="4" w:space="0" w:color="E2E8F0"/>
            </w:tcBorders>
            <w:shd w:val="clear" w:color="auto" w:fill="F8F9FA"/>
            <w:tcMar>
              <w:top w:w="70" w:type="dxa"/>
              <w:left w:w="120" w:type="dxa"/>
              <w:bottom w:w="70" w:type="dxa"/>
              <w:right w:w="120" w:type="dxa"/>
            </w:tcMar>
          </w:tcPr>
          <w:p w14:paraId="406612C8" w14:textId="77777777" w:rsidR="009E04A1" w:rsidRDefault="00046F7E">
            <w:r>
              <w:rPr>
                <w:color w:val="1A1A2E"/>
                <w:sz w:val="17"/>
                <w:szCs w:val="17"/>
              </w:rPr>
              <w:t>UHNW, family offices, multi-generational wealth</w:t>
            </w:r>
          </w:p>
        </w:tc>
        <w:tc>
          <w:tcPr>
            <w:tcW w:w="0" w:type="auto"/>
            <w:tcBorders>
              <w:top w:val="single" w:sz="4" w:space="0" w:color="E2E8F0"/>
              <w:left w:val="single" w:sz="4" w:space="0" w:color="E2E8F0"/>
              <w:bottom w:val="single" w:sz="4" w:space="0" w:color="E2E8F0"/>
              <w:right w:val="single" w:sz="4" w:space="0" w:color="E2E8F0"/>
            </w:tcBorders>
            <w:shd w:val="clear" w:color="auto" w:fill="F8F9FA"/>
            <w:tcMar>
              <w:top w:w="70" w:type="dxa"/>
              <w:left w:w="120" w:type="dxa"/>
              <w:bottom w:w="70" w:type="dxa"/>
              <w:right w:w="120" w:type="dxa"/>
            </w:tcMar>
          </w:tcPr>
          <w:p w14:paraId="26EB6783" w14:textId="77777777" w:rsidR="009E04A1" w:rsidRDefault="00046F7E">
            <w:r>
              <w:rPr>
                <w:color w:val="64748B"/>
                <w:sz w:val="17"/>
                <w:szCs w:val="17"/>
              </w:rPr>
              <w:t>Full entity mapping, trust architecture, generational governance, and institutional intelligence at depth</w:t>
            </w:r>
          </w:p>
        </w:tc>
      </w:tr>
      <w:tr w:rsidR="009E04A1" w14:paraId="6D3B25B2"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shd w:val="clear" w:color="auto" w:fill="FFFFFF"/>
            <w:tcMar>
              <w:top w:w="70" w:type="dxa"/>
              <w:left w:w="120" w:type="dxa"/>
              <w:bottom w:w="70" w:type="dxa"/>
              <w:right w:w="120" w:type="dxa"/>
            </w:tcMar>
          </w:tcPr>
          <w:p w14:paraId="7819BD83" w14:textId="77777777" w:rsidR="009E04A1" w:rsidRDefault="00046F7E">
            <w:r>
              <w:rPr>
                <w:b/>
                <w:bCs/>
                <w:color w:val="0F1C2E"/>
                <w:sz w:val="18"/>
                <w:szCs w:val="18"/>
              </w:rPr>
              <w:t>Institutional Intelligence Layer</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70" w:type="dxa"/>
              <w:left w:w="120" w:type="dxa"/>
              <w:bottom w:w="70" w:type="dxa"/>
              <w:right w:w="120" w:type="dxa"/>
            </w:tcMar>
          </w:tcPr>
          <w:p w14:paraId="0E884FE4" w14:textId="77777777" w:rsidR="009E04A1" w:rsidRDefault="00046F7E">
            <w:r>
              <w:rPr>
                <w:color w:val="1A1A2E"/>
                <w:sz w:val="17"/>
                <w:szCs w:val="17"/>
              </w:rPr>
              <w:t>Bank CRA officers, credit committees, relationship managers</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70" w:type="dxa"/>
              <w:left w:w="120" w:type="dxa"/>
              <w:bottom w:w="70" w:type="dxa"/>
              <w:right w:w="120" w:type="dxa"/>
            </w:tcMar>
          </w:tcPr>
          <w:p w14:paraId="1E6D96B3" w14:textId="77777777" w:rsidR="009E04A1" w:rsidRDefault="00046F7E">
            <w:r>
              <w:rPr>
                <w:color w:val="64748B"/>
                <w:sz w:val="17"/>
                <w:szCs w:val="17"/>
              </w:rPr>
              <w:t>CRA heat map, qualified pipeline signal, deal assessment, differentiated reporting by audience</w:t>
            </w:r>
          </w:p>
        </w:tc>
      </w:tr>
      <w:tr w:rsidR="009E04A1" w14:paraId="5B8DFD5E"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shd w:val="clear" w:color="auto" w:fill="F8F9FA"/>
            <w:tcMar>
              <w:top w:w="70" w:type="dxa"/>
              <w:left w:w="120" w:type="dxa"/>
              <w:bottom w:w="70" w:type="dxa"/>
              <w:right w:w="120" w:type="dxa"/>
            </w:tcMar>
          </w:tcPr>
          <w:p w14:paraId="1122013F" w14:textId="77777777" w:rsidR="009E04A1" w:rsidRDefault="00046F7E">
            <w:r>
              <w:rPr>
                <w:b/>
                <w:bCs/>
                <w:color w:val="0F1C2E"/>
                <w:sz w:val="18"/>
                <w:szCs w:val="18"/>
              </w:rPr>
              <w:t>Data Intelligence Layer (Phase 3+)</w:t>
            </w:r>
          </w:p>
        </w:tc>
        <w:tc>
          <w:tcPr>
            <w:tcW w:w="0" w:type="auto"/>
            <w:tcBorders>
              <w:top w:val="single" w:sz="4" w:space="0" w:color="E2E8F0"/>
              <w:left w:val="single" w:sz="4" w:space="0" w:color="E2E8F0"/>
              <w:bottom w:val="single" w:sz="4" w:space="0" w:color="E2E8F0"/>
              <w:right w:val="single" w:sz="4" w:space="0" w:color="E2E8F0"/>
            </w:tcBorders>
            <w:shd w:val="clear" w:color="auto" w:fill="F8F9FA"/>
            <w:tcMar>
              <w:top w:w="70" w:type="dxa"/>
              <w:left w:w="120" w:type="dxa"/>
              <w:bottom w:w="70" w:type="dxa"/>
              <w:right w:w="120" w:type="dxa"/>
            </w:tcMar>
          </w:tcPr>
          <w:p w14:paraId="609690CC" w14:textId="77777777" w:rsidR="009E04A1" w:rsidRDefault="00046F7E">
            <w:r>
              <w:rPr>
                <w:color w:val="1A1A2E"/>
                <w:sz w:val="17"/>
                <w:szCs w:val="17"/>
              </w:rPr>
              <w:t>Research institutions, policy bodies, government agencies</w:t>
            </w:r>
          </w:p>
        </w:tc>
        <w:tc>
          <w:tcPr>
            <w:tcW w:w="0" w:type="auto"/>
            <w:tcBorders>
              <w:top w:val="single" w:sz="4" w:space="0" w:color="E2E8F0"/>
              <w:left w:val="single" w:sz="4" w:space="0" w:color="E2E8F0"/>
              <w:bottom w:val="single" w:sz="4" w:space="0" w:color="E2E8F0"/>
              <w:right w:val="single" w:sz="4" w:space="0" w:color="E2E8F0"/>
            </w:tcBorders>
            <w:shd w:val="clear" w:color="auto" w:fill="F8F9FA"/>
            <w:tcMar>
              <w:top w:w="70" w:type="dxa"/>
              <w:left w:w="120" w:type="dxa"/>
              <w:bottom w:w="70" w:type="dxa"/>
              <w:right w:w="120" w:type="dxa"/>
            </w:tcMar>
          </w:tcPr>
          <w:p w14:paraId="0B3DC3D2" w14:textId="77777777" w:rsidR="009E04A1" w:rsidRDefault="00046F7E">
            <w:r>
              <w:rPr>
                <w:color w:val="64748B"/>
                <w:sz w:val="17"/>
                <w:szCs w:val="17"/>
              </w:rPr>
              <w:t>Anonymized corpus intelligence — behavioral patterns, qualification trajectories, market gap analysis</w:t>
            </w:r>
          </w:p>
        </w:tc>
      </w:tr>
    </w:tbl>
    <w:p w14:paraId="713DF42F" w14:textId="77777777" w:rsidR="009E04A1" w:rsidRDefault="009E04A1">
      <w:pPr>
        <w:spacing w:before="60"/>
      </w:pPr>
    </w:p>
    <w:p w14:paraId="70CDA4A2" w14:textId="77777777" w:rsidR="009E04A1" w:rsidRDefault="00046F7E">
      <w:pPr>
        <w:keepNext/>
        <w:keepLines/>
        <w:spacing w:before="220" w:after="80"/>
      </w:pPr>
      <w:r>
        <w:rPr>
          <w:b/>
          <w:bCs/>
          <w:color w:val="0F1C2E"/>
          <w:sz w:val="26"/>
          <w:szCs w:val="26"/>
        </w:rPr>
        <w:t>2B — THE INSTITUTIONAL RELATIONSHIP ARCHITECTURE</w:t>
      </w:r>
    </w:p>
    <w:p w14:paraId="1C31DAE8" w14:textId="77777777" w:rsidR="009E04A1" w:rsidRDefault="00046F7E">
      <w:pPr>
        <w:spacing w:before="50" w:after="50"/>
      </w:pPr>
      <w:r>
        <w:rPr>
          <w:color w:val="1A1A2E"/>
        </w:rPr>
        <w:t>Meridia's institutional relationships operate on two tracks simultaneously. This is not a sales strategy. It is the architectural expression of the bilateral model.</w:t>
      </w:r>
    </w:p>
    <w:p w14:paraId="3FA7BA17" w14:textId="77777777" w:rsidR="009E04A1" w:rsidRDefault="009E04A1">
      <w:pPr>
        <w:spacing w:before="40"/>
      </w:pPr>
    </w:p>
    <w:p w14:paraId="209AECF5" w14:textId="77777777" w:rsidR="009E04A1" w:rsidRDefault="00046F7E">
      <w:pPr>
        <w:spacing w:before="36" w:after="36"/>
        <w:ind w:left="380" w:hanging="220"/>
      </w:pPr>
      <w:r>
        <w:rPr>
          <w:color w:val="C9A22B"/>
        </w:rPr>
        <w:t xml:space="preserve">—  </w:t>
      </w:r>
      <w:r>
        <w:rPr>
          <w:color w:val="1A1A2E"/>
        </w:rPr>
        <w:t>Track 1 — CRA and Community Development: Chase Bank, community banks, CDFIs. The conversation is compliance, documentation, and qualified pipeline. Budget source: CRA compliance budget, not discretionary.</w:t>
      </w:r>
    </w:p>
    <w:p w14:paraId="72813C5B" w14:textId="77777777" w:rsidR="009E04A1" w:rsidRDefault="00046F7E">
      <w:pPr>
        <w:spacing w:before="36" w:after="36"/>
        <w:ind w:left="380" w:hanging="220"/>
      </w:pPr>
      <w:r>
        <w:rPr>
          <w:color w:val="C9A22B"/>
        </w:rPr>
        <w:t xml:space="preserve">—  </w:t>
      </w:r>
      <w:r>
        <w:rPr>
          <w:color w:val="1A1A2E"/>
        </w:rPr>
        <w:t xml:space="preserve">Track 2 — Institutional Intelligence and Deal Flow: JP Morgan corporate banking, wealth management, institutional partners. The conversation </w:t>
      </w:r>
      <w:proofErr w:type="gramStart"/>
      <w:r>
        <w:rPr>
          <w:color w:val="1A1A2E"/>
        </w:rPr>
        <w:t>is</w:t>
      </w:r>
      <w:proofErr w:type="gramEnd"/>
      <w:r>
        <w:rPr>
          <w:color w:val="1A1A2E"/>
        </w:rPr>
        <w:t xml:space="preserve"> market intelligence, deal assessment, and qualified opportunity pipeline. Budget source: business development and relationship management.</w:t>
      </w:r>
    </w:p>
    <w:p w14:paraId="62F56897" w14:textId="77777777" w:rsidR="009E04A1" w:rsidRDefault="00046F7E">
      <w:pPr>
        <w:spacing w:before="36" w:after="36"/>
        <w:ind w:left="380" w:hanging="220"/>
      </w:pPr>
      <w:r>
        <w:rPr>
          <w:color w:val="C9A22B"/>
        </w:rPr>
        <w:t xml:space="preserve">—  </w:t>
      </w:r>
      <w:r>
        <w:rPr>
          <w:color w:val="1A1A2E"/>
        </w:rPr>
        <w:t xml:space="preserve">Track 3 — BaaS Infrastructure: The chartered institution whose banking rails power the Meridia product shelf. Initially Unit, </w:t>
      </w:r>
      <w:proofErr w:type="spellStart"/>
      <w:r>
        <w:rPr>
          <w:color w:val="1A1A2E"/>
        </w:rPr>
        <w:t>Synctera</w:t>
      </w:r>
      <w:proofErr w:type="spellEnd"/>
      <w:r>
        <w:rPr>
          <w:color w:val="1A1A2E"/>
        </w:rPr>
        <w:t>, or Column Bank. Ultimately, potentially, a direct institutional relationship with a chartered partner.</w:t>
      </w:r>
    </w:p>
    <w:p w14:paraId="7BBA5AAB" w14:textId="77777777" w:rsidR="009E04A1" w:rsidRDefault="009E04A1">
      <w:pPr>
        <w:spacing w:before="40"/>
      </w:pPr>
    </w:p>
    <w:p w14:paraId="37354EF4" w14:textId="77777777" w:rsidR="009E04A1" w:rsidRDefault="00046F7E">
      <w:pPr>
        <w:spacing w:before="50" w:after="50"/>
      </w:pPr>
      <w:r>
        <w:rPr>
          <w:color w:val="1A1A2E"/>
        </w:rPr>
        <w:t>These three tracks activate in sequence. Track 1 establishes the CRA value proposition with documented outcomes. Track 2 follows from Track 1's institutional credibility. Track 3 activates when Track 1 and Track 2 have produced enough revenue and institutional validation to meet the current BaaS entry bar.</w:t>
      </w:r>
    </w:p>
    <w:p w14:paraId="1322B1CC" w14:textId="77777777" w:rsidR="009E04A1" w:rsidRDefault="00046F7E">
      <w:pPr>
        <w:keepNext/>
        <w:pageBreakBefore/>
        <w:pBdr>
          <w:bottom w:val="single" w:sz="6" w:space="4" w:color="C9A22B"/>
        </w:pBdr>
        <w:spacing w:after="100"/>
      </w:pPr>
      <w:r>
        <w:rPr>
          <w:b/>
          <w:bCs/>
          <w:color w:val="0F1C2E"/>
          <w:sz w:val="38"/>
          <w:szCs w:val="38"/>
        </w:rPr>
        <w:lastRenderedPageBreak/>
        <w:t>SECTION 3 — PHASE ARCHITECTURE</w:t>
      </w:r>
    </w:p>
    <w:p w14:paraId="350B99B4" w14:textId="77777777" w:rsidR="009E04A1" w:rsidRDefault="00046F7E">
      <w:pPr>
        <w:spacing w:before="50" w:after="50"/>
      </w:pPr>
      <w:r>
        <w:rPr>
          <w:color w:val="1A1A2E"/>
        </w:rPr>
        <w:t>Six phases. Each phase has a defined entry condition, timeline, required parties, funding requirement, and documented outputs. No phase begins without the entry condition from the previous phase being met.</w:t>
      </w:r>
    </w:p>
    <w:p w14:paraId="191469E1" w14:textId="77777777" w:rsidR="009E04A1" w:rsidRDefault="009E04A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4E7D7D30" w14:textId="77777777">
        <w:tblPrEx>
          <w:tblCellMar>
            <w:top w:w="0" w:type="dxa"/>
            <w:bottom w:w="0" w:type="dxa"/>
          </w:tblCellMar>
        </w:tblPrEx>
        <w:trPr>
          <w:cantSplit/>
        </w:trPr>
        <w:tc>
          <w:tcPr>
            <w:tcW w:w="0" w:type="auto"/>
            <w:tcBorders>
              <w:top w:val="single" w:sz="6" w:space="0" w:color="D97706"/>
              <w:left w:val="single" w:sz="6" w:space="0" w:color="D97706"/>
              <w:bottom w:val="single" w:sz="6" w:space="0" w:color="D97706"/>
              <w:right w:val="single" w:sz="6" w:space="0" w:color="D97706"/>
            </w:tcBorders>
            <w:shd w:val="clear" w:color="auto" w:fill="F8F9FA"/>
            <w:tcMar>
              <w:top w:w="110" w:type="dxa"/>
              <w:left w:w="180" w:type="dxa"/>
              <w:bottom w:w="110" w:type="dxa"/>
              <w:right w:w="180" w:type="dxa"/>
            </w:tcMar>
          </w:tcPr>
          <w:p w14:paraId="3F2EAE43" w14:textId="77777777" w:rsidR="009E04A1" w:rsidRDefault="00046F7E">
            <w:pPr>
              <w:keepNext/>
              <w:spacing w:after="50"/>
            </w:pPr>
            <w:r>
              <w:rPr>
                <w:b/>
                <w:bCs/>
                <w:color w:val="D97706"/>
              </w:rPr>
              <w:t>HOW TO READ THE TIMELINES</w:t>
            </w:r>
          </w:p>
          <w:p w14:paraId="7CE00BCA" w14:textId="77777777" w:rsidR="009E04A1" w:rsidRDefault="00046F7E">
            <w:pPr>
              <w:spacing w:before="30" w:after="30"/>
            </w:pPr>
            <w:r>
              <w:rPr>
                <w:color w:val="D97706"/>
              </w:rPr>
              <w:t xml:space="preserve">•  </w:t>
            </w:r>
            <w:r>
              <w:rPr>
                <w:color w:val="1A1A2E"/>
              </w:rPr>
              <w:t>Timelines are based on comparable FinTech builds: Mercury (2 years from founding to launch), Relay (6 years to Series B). BaaS partnership agreements currently take 12-18 months in the post-Synapse regulatory environment.</w:t>
            </w:r>
          </w:p>
          <w:p w14:paraId="3A314137" w14:textId="77777777" w:rsidR="009E04A1" w:rsidRDefault="00046F7E">
            <w:pPr>
              <w:spacing w:before="30" w:after="30"/>
            </w:pPr>
            <w:r>
              <w:rPr>
                <w:color w:val="D97706"/>
              </w:rPr>
              <w:t xml:space="preserve">•  </w:t>
            </w:r>
            <w:r>
              <w:rPr>
                <w:color w:val="1A1A2E"/>
              </w:rPr>
              <w:t xml:space="preserve">SOURCE: American Banker, Contrary Research Mercury breakdown, </w:t>
            </w:r>
            <w:proofErr w:type="spellStart"/>
            <w:r>
              <w:rPr>
                <w:color w:val="1A1A2E"/>
              </w:rPr>
              <w:t>BetaKit</w:t>
            </w:r>
            <w:proofErr w:type="spellEnd"/>
            <w:r>
              <w:rPr>
                <w:color w:val="1A1A2E"/>
              </w:rPr>
              <w:t xml:space="preserve"> Relay Series B coverage.</w:t>
            </w:r>
          </w:p>
          <w:p w14:paraId="0E9FA623" w14:textId="77777777" w:rsidR="009E04A1" w:rsidRDefault="00046F7E">
            <w:pPr>
              <w:spacing w:before="30" w:after="30"/>
            </w:pPr>
            <w:r>
              <w:rPr>
                <w:color w:val="D97706"/>
              </w:rPr>
              <w:t xml:space="preserve">•  </w:t>
            </w:r>
            <w:r>
              <w:rPr>
                <w:color w:val="1A1A2E"/>
              </w:rPr>
              <w:t>Every timeline here is an estimate. The actual timeline depends on execution speed, BaaS partner willingness, and institutional relationship development — none of which is predictable with precision.</w:t>
            </w:r>
          </w:p>
          <w:p w14:paraId="1DB54750" w14:textId="77777777" w:rsidR="009E04A1" w:rsidRDefault="00046F7E">
            <w:pPr>
              <w:spacing w:before="30" w:after="30"/>
            </w:pPr>
            <w:r>
              <w:rPr>
                <w:color w:val="D97706"/>
              </w:rPr>
              <w:t xml:space="preserve">•  </w:t>
            </w:r>
            <w:r>
              <w:rPr>
                <w:color w:val="1A1A2E"/>
              </w:rPr>
              <w:t>What is not an estimate: the sequence. Each phase depends on the previous one. Skipping sequence has been the most common reason for FinTech failure in the current regulatory environment.</w:t>
            </w:r>
          </w:p>
        </w:tc>
      </w:tr>
    </w:tbl>
    <w:p w14:paraId="3F386BF6" w14:textId="77777777" w:rsidR="009E04A1" w:rsidRDefault="009E04A1">
      <w:pPr>
        <w:spacing w:before="60"/>
      </w:pPr>
    </w:p>
    <w:p w14:paraId="4E345DCD" w14:textId="77777777" w:rsidR="003E014E" w:rsidRDefault="003E014E">
      <w:pPr>
        <w:spacing w:before="60"/>
      </w:pPr>
    </w:p>
    <w:p w14:paraId="640B817C" w14:textId="77777777" w:rsidR="003E014E" w:rsidRDefault="003E014E">
      <w:pPr>
        <w:spacing w:before="60"/>
      </w:pPr>
    </w:p>
    <w:p w14:paraId="6ACB6E48" w14:textId="77777777" w:rsidR="003E014E" w:rsidRDefault="003E014E">
      <w:pPr>
        <w:spacing w:before="60"/>
      </w:pPr>
    </w:p>
    <w:p w14:paraId="129CA9EF" w14:textId="77777777" w:rsidR="003E014E" w:rsidRDefault="003E014E">
      <w:pPr>
        <w:spacing w:before="60"/>
      </w:pPr>
    </w:p>
    <w:p w14:paraId="0CD697FC" w14:textId="77777777" w:rsidR="003E014E" w:rsidRDefault="003E014E">
      <w:pPr>
        <w:spacing w:before="60"/>
      </w:pPr>
    </w:p>
    <w:p w14:paraId="23D0EFB1" w14:textId="77777777" w:rsidR="003E014E" w:rsidRDefault="003E014E">
      <w:pPr>
        <w:spacing w:before="60"/>
      </w:pPr>
    </w:p>
    <w:p w14:paraId="7E250005" w14:textId="77777777" w:rsidR="003E014E" w:rsidRDefault="003E014E">
      <w:pPr>
        <w:spacing w:before="60"/>
      </w:pPr>
    </w:p>
    <w:p w14:paraId="52775592" w14:textId="77777777" w:rsidR="003E014E" w:rsidRDefault="003E014E">
      <w:pPr>
        <w:spacing w:before="60"/>
      </w:pPr>
    </w:p>
    <w:p w14:paraId="62A15AFF" w14:textId="77777777" w:rsidR="003E014E" w:rsidRDefault="003E014E">
      <w:pPr>
        <w:spacing w:before="60"/>
      </w:pPr>
    </w:p>
    <w:p w14:paraId="47F6CAF0" w14:textId="77777777" w:rsidR="003E014E" w:rsidRDefault="003E014E">
      <w:pPr>
        <w:spacing w:before="60"/>
      </w:pPr>
    </w:p>
    <w:p w14:paraId="2768462E" w14:textId="77777777" w:rsidR="003E014E" w:rsidRDefault="003E014E">
      <w:pPr>
        <w:spacing w:before="60"/>
      </w:pPr>
    </w:p>
    <w:p w14:paraId="017FE368" w14:textId="77777777" w:rsidR="003E014E" w:rsidRDefault="003E014E">
      <w:pPr>
        <w:spacing w:before="60"/>
      </w:pPr>
    </w:p>
    <w:p w14:paraId="19E91009" w14:textId="77777777" w:rsidR="003E014E" w:rsidRDefault="003E014E">
      <w:pPr>
        <w:spacing w:before="60"/>
      </w:pPr>
    </w:p>
    <w:p w14:paraId="5F02DFAC" w14:textId="77777777" w:rsidR="003E014E" w:rsidRDefault="003E014E">
      <w:pPr>
        <w:spacing w:before="60"/>
      </w:pPr>
    </w:p>
    <w:p w14:paraId="4EE6305B" w14:textId="77777777" w:rsidR="003E014E" w:rsidRDefault="003E014E">
      <w:pPr>
        <w:spacing w:before="60"/>
      </w:pPr>
    </w:p>
    <w:p w14:paraId="14C9D798" w14:textId="77777777" w:rsidR="003E014E" w:rsidRDefault="003E014E">
      <w:pPr>
        <w:spacing w:before="60"/>
      </w:pPr>
    </w:p>
    <w:p w14:paraId="7BC00F4C" w14:textId="77777777" w:rsidR="003E014E" w:rsidRDefault="003E014E">
      <w:pPr>
        <w:spacing w:before="60"/>
      </w:pPr>
    </w:p>
    <w:p w14:paraId="35B0114C" w14:textId="77777777" w:rsidR="003E014E" w:rsidRDefault="003E014E">
      <w:pPr>
        <w:spacing w:before="60"/>
      </w:pPr>
    </w:p>
    <w:p w14:paraId="5B801515" w14:textId="77777777" w:rsidR="003E014E" w:rsidRDefault="003E014E">
      <w:pPr>
        <w:spacing w:before="60"/>
      </w:pPr>
    </w:p>
    <w:p w14:paraId="6346FCD7" w14:textId="77777777" w:rsidR="003E014E" w:rsidRDefault="003E014E">
      <w:pPr>
        <w:spacing w:before="60"/>
      </w:pPr>
    </w:p>
    <w:p w14:paraId="0BDAE7B3" w14:textId="77777777" w:rsidR="003E014E" w:rsidRDefault="003E014E">
      <w:pPr>
        <w:spacing w:before="60"/>
      </w:pPr>
    </w:p>
    <w:p w14:paraId="1AA4D538" w14:textId="77777777" w:rsidR="003E014E" w:rsidRDefault="003E014E">
      <w:pPr>
        <w:spacing w:before="60"/>
      </w:pPr>
    </w:p>
    <w:p w14:paraId="1D22287C" w14:textId="77777777" w:rsidR="003E014E" w:rsidRDefault="003E014E">
      <w:pPr>
        <w:spacing w:before="60"/>
      </w:pPr>
    </w:p>
    <w:p w14:paraId="0E475FA6" w14:textId="77777777" w:rsidR="003E014E" w:rsidRDefault="003E014E">
      <w:pPr>
        <w:spacing w:before="60"/>
      </w:pPr>
    </w:p>
    <w:p w14:paraId="56F783FD" w14:textId="77777777" w:rsidR="003E014E" w:rsidRDefault="003E014E">
      <w:pPr>
        <w:spacing w:before="60"/>
      </w:pPr>
    </w:p>
    <w:p w14:paraId="4576F67C" w14:textId="77777777" w:rsidR="003E014E" w:rsidRDefault="003E014E">
      <w:pPr>
        <w:spacing w:before="60"/>
      </w:pPr>
    </w:p>
    <w:p w14:paraId="07073CBF" w14:textId="77777777" w:rsidR="003E014E" w:rsidRDefault="003E014E">
      <w:pPr>
        <w:spacing w:before="60"/>
      </w:pPr>
    </w:p>
    <w:p w14:paraId="3A2BE368" w14:textId="77777777" w:rsidR="003E014E" w:rsidRDefault="003E014E">
      <w:pPr>
        <w:spacing w:before="60"/>
      </w:pPr>
    </w:p>
    <w:p w14:paraId="1109607A" w14:textId="77777777" w:rsidR="003E014E" w:rsidRDefault="003E014E">
      <w:pPr>
        <w:spacing w:before="60"/>
      </w:pPr>
    </w:p>
    <w:p w14:paraId="7D12D9F2" w14:textId="77777777" w:rsidR="003E014E" w:rsidRDefault="003E014E">
      <w:pPr>
        <w:spacing w:before="60"/>
      </w:pPr>
    </w:p>
    <w:p w14:paraId="53270D97" w14:textId="77777777" w:rsidR="003E014E" w:rsidRDefault="003E014E">
      <w:pPr>
        <w:spacing w:before="60"/>
      </w:pPr>
    </w:p>
    <w:p w14:paraId="0D7FD8CB" w14:textId="77777777" w:rsidR="003E014E" w:rsidRDefault="003E014E">
      <w:pPr>
        <w:spacing w:before="60"/>
      </w:pPr>
    </w:p>
    <w:p w14:paraId="0776B1C0" w14:textId="77777777" w:rsidR="003E014E" w:rsidRDefault="003E014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9E04A1" w14:paraId="68DC2B85" w14:textId="77777777">
        <w:tblPrEx>
          <w:tblCellMar>
            <w:top w:w="0" w:type="dxa"/>
            <w:bottom w:w="0" w:type="dxa"/>
          </w:tblCellMar>
        </w:tblPrEx>
        <w:trPr>
          <w:cantSplit/>
        </w:trPr>
        <w:tc>
          <w:tcPr>
            <w:tcW w:w="700" w:type="dxa"/>
            <w:tcBorders>
              <w:top w:val="single" w:sz="0" w:space="0" w:color="FFFFFF"/>
              <w:left w:val="single" w:sz="0" w:space="0" w:color="FFFFFF"/>
              <w:bottom w:val="single" w:sz="0" w:space="0" w:color="FFFFFF"/>
              <w:right w:val="single" w:sz="0" w:space="0" w:color="FFFFFF"/>
            </w:tcBorders>
            <w:shd w:val="clear" w:color="auto" w:fill="0F1C2E"/>
            <w:tcMar>
              <w:top w:w="100" w:type="dxa"/>
              <w:left w:w="120" w:type="dxa"/>
              <w:bottom w:w="100" w:type="dxa"/>
              <w:right w:w="120" w:type="dxa"/>
            </w:tcMar>
            <w:vAlign w:val="center"/>
          </w:tcPr>
          <w:p w14:paraId="729287D1" w14:textId="77777777" w:rsidR="009E04A1" w:rsidRDefault="00046F7E">
            <w:pPr>
              <w:jc w:val="center"/>
            </w:pPr>
            <w:r>
              <w:rPr>
                <w:b/>
                <w:bCs/>
                <w:color w:val="C9A22B"/>
                <w:sz w:val="56"/>
                <w:szCs w:val="56"/>
              </w:rPr>
              <w:lastRenderedPageBreak/>
              <w:t>0</w:t>
            </w:r>
          </w:p>
        </w:tc>
        <w:tc>
          <w:tcPr>
            <w:tcW w:w="0" w:type="auto"/>
            <w:tcBorders>
              <w:top w:val="single" w:sz="0" w:space="0" w:color="FFFFFF"/>
              <w:left w:val="single" w:sz="0" w:space="0" w:color="FFFFFF"/>
              <w:bottom w:val="single" w:sz="0" w:space="0" w:color="FFFFFF"/>
              <w:right w:val="single" w:sz="0" w:space="0" w:color="FFFFFF"/>
            </w:tcBorders>
            <w:shd w:val="clear" w:color="auto" w:fill="0F1C2E"/>
            <w:tcMar>
              <w:top w:w="100" w:type="dxa"/>
              <w:left w:w="140" w:type="dxa"/>
              <w:bottom w:w="100" w:type="dxa"/>
              <w:right w:w="140" w:type="dxa"/>
            </w:tcMar>
          </w:tcPr>
          <w:p w14:paraId="7A7159C1" w14:textId="77777777" w:rsidR="009E04A1" w:rsidRDefault="00046F7E">
            <w:pPr>
              <w:keepNext/>
              <w:spacing w:after="20"/>
            </w:pPr>
            <w:r>
              <w:rPr>
                <w:b/>
                <w:bCs/>
                <w:color w:val="FFFFFF"/>
                <w:sz w:val="28"/>
                <w:szCs w:val="28"/>
              </w:rPr>
              <w:t>FOUNDATION</w:t>
            </w:r>
          </w:p>
          <w:p w14:paraId="698D32A1" w14:textId="77777777" w:rsidR="009E04A1" w:rsidRDefault="00046F7E">
            <w:r>
              <w:rPr>
                <w:color w:val="C9A22B"/>
                <w:sz w:val="17"/>
                <w:szCs w:val="17"/>
              </w:rPr>
              <w:t xml:space="preserve">Q2–Q3 </w:t>
            </w:r>
            <w:proofErr w:type="gramStart"/>
            <w:r>
              <w:rPr>
                <w:color w:val="C9A22B"/>
                <w:sz w:val="17"/>
                <w:szCs w:val="17"/>
              </w:rPr>
              <w:t>2026  ·</w:t>
            </w:r>
            <w:proofErr w:type="gramEnd"/>
            <w:r>
              <w:rPr>
                <w:color w:val="C9A22B"/>
                <w:sz w:val="17"/>
                <w:szCs w:val="17"/>
              </w:rPr>
              <w:t xml:space="preserve">  3–4 </w:t>
            </w:r>
            <w:proofErr w:type="gramStart"/>
            <w:r>
              <w:rPr>
                <w:color w:val="C9A22B"/>
                <w:sz w:val="17"/>
                <w:szCs w:val="17"/>
              </w:rPr>
              <w:t>months  ·</w:t>
            </w:r>
            <w:proofErr w:type="gramEnd"/>
            <w:r>
              <w:rPr>
                <w:color w:val="C9A22B"/>
                <w:sz w:val="17"/>
                <w:szCs w:val="17"/>
              </w:rPr>
              <w:t xml:space="preserve">  </w:t>
            </w:r>
            <w:r>
              <w:rPr>
                <w:color w:val="9CA3AF"/>
                <w:sz w:val="17"/>
                <w:szCs w:val="17"/>
              </w:rPr>
              <w:t>Current Priority</w:t>
            </w:r>
          </w:p>
        </w:tc>
      </w:tr>
    </w:tbl>
    <w:p w14:paraId="617E6FC5" w14:textId="77777777" w:rsidR="009E04A1" w:rsidRDefault="009E04A1">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5F7C86B3"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A92CC55" w14:textId="77777777" w:rsidR="009E04A1" w:rsidRDefault="00046F7E">
            <w:pPr>
              <w:keepNext/>
              <w:spacing w:after="40"/>
            </w:pPr>
            <w:r>
              <w:rPr>
                <w:b/>
                <w:bCs/>
                <w:color w:val="C9A22B"/>
                <w:sz w:val="17"/>
                <w:szCs w:val="17"/>
              </w:rPr>
              <w:t>ENTRY CONDITION</w:t>
            </w:r>
          </w:p>
          <w:p w14:paraId="7CB5A4B4" w14:textId="77777777" w:rsidR="009E04A1" w:rsidRDefault="00046F7E">
            <w:pPr>
              <w:spacing w:before="28" w:after="28"/>
            </w:pPr>
            <w:r>
              <w:rPr>
                <w:color w:val="0F1C2E"/>
                <w:sz w:val="18"/>
                <w:szCs w:val="18"/>
              </w:rPr>
              <w:t xml:space="preserve">•  </w:t>
            </w:r>
            <w:r>
              <w:rPr>
                <w:color w:val="1A1A2E"/>
                <w:sz w:val="18"/>
                <w:szCs w:val="18"/>
              </w:rPr>
              <w:t>None — this is the starting gate. Nothing in subsequent phases is accessible without these foundations in place.</w:t>
            </w:r>
          </w:p>
        </w:tc>
      </w:tr>
      <w:tr w:rsidR="009E04A1" w14:paraId="12D776B4"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7485DDD" w14:textId="77777777" w:rsidR="009E04A1" w:rsidRDefault="00046F7E">
            <w:pPr>
              <w:keepNext/>
              <w:spacing w:after="40"/>
            </w:pPr>
            <w:r>
              <w:rPr>
                <w:b/>
                <w:bCs/>
                <w:color w:val="C9A22B"/>
                <w:sz w:val="17"/>
                <w:szCs w:val="17"/>
              </w:rPr>
              <w:t>NECESSARY PARTIES</w:t>
            </w:r>
          </w:p>
          <w:p w14:paraId="3E45C326" w14:textId="77777777" w:rsidR="009E04A1" w:rsidRDefault="00046F7E">
            <w:pPr>
              <w:spacing w:before="28" w:after="28"/>
            </w:pPr>
            <w:r>
              <w:rPr>
                <w:color w:val="0F1C2E"/>
                <w:sz w:val="18"/>
                <w:szCs w:val="18"/>
              </w:rPr>
              <w:t xml:space="preserve">•  </w:t>
            </w:r>
            <w:r>
              <w:rPr>
                <w:color w:val="1A1A2E"/>
                <w:sz w:val="18"/>
                <w:szCs w:val="18"/>
              </w:rPr>
              <w:t>Startup attorney — FinTech and financial services experience required, not a general business attorney</w:t>
            </w:r>
          </w:p>
          <w:p w14:paraId="155C56CF" w14:textId="77777777" w:rsidR="009E04A1" w:rsidRDefault="00046F7E">
            <w:pPr>
              <w:spacing w:before="28" w:after="28"/>
            </w:pPr>
            <w:r>
              <w:rPr>
                <w:color w:val="0F1C2E"/>
                <w:sz w:val="18"/>
                <w:szCs w:val="18"/>
              </w:rPr>
              <w:t xml:space="preserve">•  </w:t>
            </w:r>
            <w:r>
              <w:rPr>
                <w:color w:val="1A1A2E"/>
                <w:sz w:val="18"/>
                <w:szCs w:val="18"/>
              </w:rPr>
              <w:t>Aliman Neal — founder, architect, and the only person who can define what Meridia is building</w:t>
            </w:r>
          </w:p>
          <w:p w14:paraId="127AFA0D" w14:textId="77777777" w:rsidR="009E04A1" w:rsidRDefault="00046F7E">
            <w:pPr>
              <w:spacing w:before="28" w:after="28"/>
            </w:pPr>
            <w:r>
              <w:rPr>
                <w:color w:val="0F1C2E"/>
                <w:sz w:val="18"/>
                <w:szCs w:val="18"/>
              </w:rPr>
              <w:t xml:space="preserve">•  </w:t>
            </w:r>
            <w:r>
              <w:rPr>
                <w:color w:val="1A1A2E"/>
                <w:sz w:val="18"/>
                <w:szCs w:val="18"/>
              </w:rPr>
              <w:t>Kanetra Neal — Recess design partner and Shadow Rock Elementary connection (Recess track runs parallel)</w:t>
            </w:r>
          </w:p>
        </w:tc>
      </w:tr>
      <w:tr w:rsidR="009E04A1" w14:paraId="33095A09"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EF190C8" w14:textId="77777777" w:rsidR="009E04A1" w:rsidRDefault="00046F7E">
            <w:pPr>
              <w:keepNext/>
              <w:spacing w:after="40"/>
            </w:pPr>
            <w:r>
              <w:rPr>
                <w:b/>
                <w:bCs/>
                <w:color w:val="C9A22B"/>
                <w:sz w:val="17"/>
                <w:szCs w:val="17"/>
              </w:rPr>
              <w:t>SPECIFIC DELIVERABLES REQUIRED</w:t>
            </w:r>
          </w:p>
          <w:p w14:paraId="444C4E1B" w14:textId="77777777" w:rsidR="009E04A1" w:rsidRDefault="00046F7E">
            <w:pPr>
              <w:spacing w:before="28" w:after="28"/>
            </w:pPr>
            <w:r>
              <w:rPr>
                <w:color w:val="0F1C2E"/>
                <w:sz w:val="18"/>
                <w:szCs w:val="18"/>
              </w:rPr>
              <w:t xml:space="preserve">•  </w:t>
            </w:r>
            <w:r>
              <w:rPr>
                <w:color w:val="1A1A2E"/>
                <w:sz w:val="18"/>
                <w:szCs w:val="18"/>
              </w:rPr>
              <w:t>Operating agreement with equity governance defined — before any advisor, employee, or partner is engaged</w:t>
            </w:r>
          </w:p>
          <w:p w14:paraId="3E5D289E" w14:textId="77777777" w:rsidR="009E04A1" w:rsidRDefault="00046F7E">
            <w:pPr>
              <w:spacing w:before="28" w:after="28"/>
            </w:pPr>
            <w:r>
              <w:rPr>
                <w:color w:val="0F1C2E"/>
                <w:sz w:val="18"/>
                <w:szCs w:val="18"/>
              </w:rPr>
              <w:t xml:space="preserve">•  </w:t>
            </w:r>
            <w:r>
              <w:rPr>
                <w:color w:val="1A1A2E"/>
                <w:sz w:val="18"/>
                <w:szCs w:val="18"/>
              </w:rPr>
              <w:t>BSA/AML policy framework — required by any BaaS partner before review begins</w:t>
            </w:r>
          </w:p>
          <w:p w14:paraId="16EC01D4" w14:textId="77777777" w:rsidR="009E04A1" w:rsidRDefault="00046F7E">
            <w:pPr>
              <w:spacing w:before="28" w:after="28"/>
            </w:pPr>
            <w:r>
              <w:rPr>
                <w:color w:val="0F1C2E"/>
                <w:sz w:val="18"/>
                <w:szCs w:val="18"/>
              </w:rPr>
              <w:t xml:space="preserve">•  </w:t>
            </w:r>
            <w:r>
              <w:rPr>
                <w:color w:val="1A1A2E"/>
                <w:sz w:val="18"/>
                <w:szCs w:val="18"/>
              </w:rPr>
              <w:t>KYC procedure documentation — required for any product that onboards financial data from real users</w:t>
            </w:r>
          </w:p>
          <w:p w14:paraId="770EDFFA" w14:textId="77777777" w:rsidR="009E04A1" w:rsidRDefault="00046F7E">
            <w:pPr>
              <w:spacing w:before="28" w:after="28"/>
            </w:pPr>
            <w:r>
              <w:rPr>
                <w:color w:val="0F1C2E"/>
                <w:sz w:val="18"/>
                <w:szCs w:val="18"/>
              </w:rPr>
              <w:t xml:space="preserve">•  </w:t>
            </w:r>
            <w:r>
              <w:rPr>
                <w:color w:val="1A1A2E"/>
                <w:sz w:val="18"/>
                <w:szCs w:val="18"/>
              </w:rPr>
              <w:t>Data use agreement template for institutional partnerships</w:t>
            </w:r>
          </w:p>
          <w:p w14:paraId="10B38258" w14:textId="77777777" w:rsidR="009E04A1" w:rsidRDefault="00046F7E">
            <w:pPr>
              <w:spacing w:before="28" w:after="28"/>
            </w:pPr>
            <w:r>
              <w:rPr>
                <w:color w:val="0F1C2E"/>
                <w:sz w:val="18"/>
                <w:szCs w:val="18"/>
              </w:rPr>
              <w:t xml:space="preserve">•  </w:t>
            </w:r>
            <w:r>
              <w:rPr>
                <w:color w:val="1A1A2E"/>
                <w:sz w:val="18"/>
                <w:szCs w:val="18"/>
              </w:rPr>
              <w:t>COPPA/FERPA consent architecture for Recess (parallel track)</w:t>
            </w:r>
          </w:p>
          <w:p w14:paraId="519C1BA5" w14:textId="77777777" w:rsidR="009E04A1" w:rsidRDefault="00046F7E">
            <w:pPr>
              <w:spacing w:before="28" w:after="28"/>
            </w:pPr>
            <w:r>
              <w:rPr>
                <w:color w:val="0F1C2E"/>
                <w:sz w:val="18"/>
                <w:szCs w:val="18"/>
              </w:rPr>
              <w:t xml:space="preserve">•  </w:t>
            </w:r>
            <w:r>
              <w:rPr>
                <w:color w:val="1A1A2E"/>
                <w:sz w:val="18"/>
                <w:szCs w:val="18"/>
              </w:rPr>
              <w:t>Advisor agreement template with equity vesting and deliverable structure</w:t>
            </w:r>
          </w:p>
          <w:p w14:paraId="6CDD7330" w14:textId="77777777" w:rsidR="009E04A1" w:rsidRDefault="00046F7E">
            <w:pPr>
              <w:spacing w:before="20"/>
            </w:pPr>
            <w:r>
              <w:rPr>
                <w:i/>
                <w:iCs/>
                <w:color w:val="D97706"/>
                <w:sz w:val="15"/>
                <w:szCs w:val="15"/>
              </w:rPr>
              <w:t>Estimated: Attorney fees: $8,000–$15,000 for initial document set. Source: general legal market rates for startup FinTech counsel.</w:t>
            </w:r>
          </w:p>
          <w:p w14:paraId="0698E802" w14:textId="77777777" w:rsidR="009E04A1" w:rsidRDefault="00046F7E">
            <w:pPr>
              <w:spacing w:before="20"/>
            </w:pPr>
            <w:r>
              <w:rPr>
                <w:i/>
                <w:iCs/>
                <w:color w:val="DC2626"/>
                <w:sz w:val="15"/>
                <w:szCs w:val="15"/>
              </w:rPr>
              <w:t>TBD: Specific attorney — not yet identified. This is the first action item.</w:t>
            </w:r>
          </w:p>
        </w:tc>
      </w:tr>
      <w:tr w:rsidR="009E04A1" w14:paraId="1D8DE95F"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8CFE5C9" w14:textId="77777777" w:rsidR="009E04A1" w:rsidRDefault="00046F7E">
            <w:pPr>
              <w:keepNext/>
              <w:spacing w:after="40"/>
            </w:pPr>
            <w:r>
              <w:rPr>
                <w:b/>
                <w:bCs/>
                <w:color w:val="C9A22B"/>
                <w:sz w:val="17"/>
                <w:szCs w:val="17"/>
              </w:rPr>
              <w:t>FUNDING REQUIRED</w:t>
            </w:r>
          </w:p>
          <w:p w14:paraId="2AAF13AE" w14:textId="77777777" w:rsidR="009E04A1" w:rsidRDefault="00046F7E">
            <w:pPr>
              <w:spacing w:before="28" w:after="28"/>
            </w:pPr>
            <w:r>
              <w:rPr>
                <w:color w:val="0F1C2E"/>
                <w:sz w:val="18"/>
                <w:szCs w:val="18"/>
              </w:rPr>
              <w:t xml:space="preserve">•  </w:t>
            </w:r>
            <w:r>
              <w:rPr>
                <w:color w:val="1A1A2E"/>
                <w:sz w:val="18"/>
                <w:szCs w:val="18"/>
              </w:rPr>
              <w:t>Self-funded. No external capital needed or appropriate at this stage.</w:t>
            </w:r>
          </w:p>
          <w:p w14:paraId="1992D4E0" w14:textId="77777777" w:rsidR="009E04A1" w:rsidRDefault="00046F7E">
            <w:pPr>
              <w:spacing w:before="28" w:after="28"/>
            </w:pPr>
            <w:r>
              <w:rPr>
                <w:color w:val="0F1C2E"/>
                <w:sz w:val="18"/>
                <w:szCs w:val="18"/>
              </w:rPr>
              <w:t xml:space="preserve">•  </w:t>
            </w:r>
            <w:r>
              <w:rPr>
                <w:color w:val="1A1A2E"/>
                <w:sz w:val="18"/>
                <w:szCs w:val="18"/>
              </w:rPr>
              <w:t>Attorney fees: $8,000–$15,000</w:t>
            </w:r>
          </w:p>
          <w:p w14:paraId="30FD66F9" w14:textId="77777777" w:rsidR="009E04A1" w:rsidRDefault="00046F7E">
            <w:pPr>
              <w:spacing w:before="28" w:after="28"/>
            </w:pPr>
            <w:r>
              <w:rPr>
                <w:color w:val="0F1C2E"/>
                <w:sz w:val="18"/>
                <w:szCs w:val="18"/>
              </w:rPr>
              <w:t xml:space="preserve">•  </w:t>
            </w:r>
            <w:r>
              <w:rPr>
                <w:color w:val="1A1A2E"/>
                <w:sz w:val="18"/>
                <w:szCs w:val="18"/>
              </w:rPr>
              <w:t>Infrastructure (already built — NAS, Integra Core, Cloudflare): operational cost only</w:t>
            </w:r>
          </w:p>
          <w:p w14:paraId="046430E2" w14:textId="77777777" w:rsidR="009E04A1" w:rsidRDefault="00046F7E">
            <w:pPr>
              <w:spacing w:before="28" w:after="28"/>
            </w:pPr>
            <w:r>
              <w:rPr>
                <w:color w:val="0F1C2E"/>
                <w:sz w:val="18"/>
                <w:szCs w:val="18"/>
              </w:rPr>
              <w:t xml:space="preserve">•  </w:t>
            </w:r>
            <w:r>
              <w:rPr>
                <w:color w:val="1A1A2E"/>
                <w:sz w:val="18"/>
                <w:szCs w:val="18"/>
              </w:rPr>
              <w:t>Domain, business registration, operating accounts: $500–$1,500</w:t>
            </w:r>
          </w:p>
          <w:p w14:paraId="12B3FA16" w14:textId="77777777" w:rsidR="009E04A1" w:rsidRDefault="00046F7E">
            <w:pPr>
              <w:spacing w:before="20"/>
            </w:pPr>
            <w:r>
              <w:rPr>
                <w:i/>
                <w:iCs/>
                <w:color w:val="D97706"/>
                <w:sz w:val="15"/>
                <w:szCs w:val="15"/>
              </w:rPr>
              <w:t>Estimated: Total Phase 0 cost: $10,000–$20,000.</w:t>
            </w:r>
          </w:p>
        </w:tc>
      </w:tr>
      <w:tr w:rsidR="009E04A1" w14:paraId="51C8A7ED"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83EB102" w14:textId="77777777" w:rsidR="009E04A1" w:rsidRDefault="00046F7E">
            <w:pPr>
              <w:keepNext/>
              <w:spacing w:after="40"/>
            </w:pPr>
            <w:r>
              <w:rPr>
                <w:b/>
                <w:bCs/>
                <w:color w:val="C9A22B"/>
                <w:sz w:val="17"/>
                <w:szCs w:val="17"/>
              </w:rPr>
              <w:t>OUTPUTS PRODUCED</w:t>
            </w:r>
          </w:p>
          <w:p w14:paraId="48198F37" w14:textId="77777777" w:rsidR="009E04A1" w:rsidRDefault="00046F7E">
            <w:pPr>
              <w:spacing w:before="28" w:after="28"/>
            </w:pPr>
            <w:r>
              <w:rPr>
                <w:color w:val="0F1C2E"/>
                <w:sz w:val="18"/>
                <w:szCs w:val="18"/>
              </w:rPr>
              <w:t xml:space="preserve">•  </w:t>
            </w:r>
            <w:r>
              <w:rPr>
                <w:color w:val="1A1A2E"/>
                <w:sz w:val="18"/>
                <w:szCs w:val="18"/>
              </w:rPr>
              <w:t>Formal legal entity (LLC or C-Corp — attorney will advise on structure based on investor and BaaS requirements)</w:t>
            </w:r>
          </w:p>
          <w:p w14:paraId="179803A1" w14:textId="77777777" w:rsidR="009E04A1" w:rsidRDefault="00046F7E">
            <w:pPr>
              <w:spacing w:before="28" w:after="28"/>
            </w:pPr>
            <w:r>
              <w:rPr>
                <w:color w:val="0F1C2E"/>
                <w:sz w:val="18"/>
                <w:szCs w:val="18"/>
              </w:rPr>
              <w:t xml:space="preserve">•  </w:t>
            </w:r>
            <w:r>
              <w:rPr>
                <w:color w:val="1A1A2E"/>
                <w:sz w:val="18"/>
                <w:szCs w:val="18"/>
              </w:rPr>
              <w:t>Operating agreement on file</w:t>
            </w:r>
          </w:p>
          <w:p w14:paraId="3DCFF860" w14:textId="77777777" w:rsidR="009E04A1" w:rsidRDefault="00046F7E">
            <w:pPr>
              <w:spacing w:before="28" w:after="28"/>
            </w:pPr>
            <w:r>
              <w:rPr>
                <w:color w:val="0F1C2E"/>
                <w:sz w:val="18"/>
                <w:szCs w:val="18"/>
              </w:rPr>
              <w:t xml:space="preserve">•  </w:t>
            </w:r>
            <w:r>
              <w:rPr>
                <w:color w:val="1A1A2E"/>
                <w:sz w:val="18"/>
                <w:szCs w:val="18"/>
              </w:rPr>
              <w:t>BSA/AML and KYC policy documentation</w:t>
            </w:r>
          </w:p>
          <w:p w14:paraId="6E786040" w14:textId="77777777" w:rsidR="009E04A1" w:rsidRDefault="00046F7E">
            <w:pPr>
              <w:spacing w:before="28" w:after="28"/>
            </w:pPr>
            <w:r>
              <w:rPr>
                <w:color w:val="0F1C2E"/>
                <w:sz w:val="18"/>
                <w:szCs w:val="18"/>
              </w:rPr>
              <w:t xml:space="preserve">•  </w:t>
            </w:r>
            <w:r>
              <w:rPr>
                <w:color w:val="1A1A2E"/>
                <w:sz w:val="18"/>
                <w:szCs w:val="18"/>
              </w:rPr>
              <w:t>Data use agreement template</w:t>
            </w:r>
          </w:p>
          <w:p w14:paraId="1B116E3D" w14:textId="77777777" w:rsidR="009E04A1" w:rsidRDefault="00046F7E">
            <w:pPr>
              <w:spacing w:before="28" w:after="28"/>
            </w:pPr>
            <w:r>
              <w:rPr>
                <w:color w:val="0F1C2E"/>
                <w:sz w:val="18"/>
                <w:szCs w:val="18"/>
              </w:rPr>
              <w:t xml:space="preserve">•  </w:t>
            </w:r>
            <w:r>
              <w:rPr>
                <w:color w:val="1A1A2E"/>
                <w:sz w:val="18"/>
                <w:szCs w:val="18"/>
              </w:rPr>
              <w:t>CRA heat map with real FFIEC and HMDA data loaded into NAS PostgreSQL — this is the Andre deliverable</w:t>
            </w:r>
          </w:p>
          <w:p w14:paraId="06BEDEB9" w14:textId="77777777" w:rsidR="009E04A1" w:rsidRDefault="00046F7E">
            <w:pPr>
              <w:spacing w:before="28" w:after="28"/>
            </w:pPr>
            <w:r>
              <w:rPr>
                <w:color w:val="0F1C2E"/>
                <w:sz w:val="18"/>
                <w:szCs w:val="18"/>
              </w:rPr>
              <w:t xml:space="preserve">•  </w:t>
            </w:r>
            <w:r>
              <w:rPr>
                <w:color w:val="1A1A2E"/>
                <w:sz w:val="18"/>
                <w:szCs w:val="18"/>
              </w:rPr>
              <w:t xml:space="preserve">Differentiated output demonstration (board, technical, regulator, </w:t>
            </w:r>
            <w:proofErr w:type="gramStart"/>
            <w:r>
              <w:rPr>
                <w:color w:val="1A1A2E"/>
                <w:sz w:val="18"/>
                <w:szCs w:val="18"/>
              </w:rPr>
              <w:t>family) —</w:t>
            </w:r>
            <w:proofErr w:type="gramEnd"/>
            <w:r>
              <w:rPr>
                <w:color w:val="1A1A2E"/>
                <w:sz w:val="18"/>
                <w:szCs w:val="18"/>
              </w:rPr>
              <w:t xml:space="preserve"> Integra Core wired to real data</w:t>
            </w:r>
          </w:p>
          <w:p w14:paraId="63731A66" w14:textId="77777777" w:rsidR="009E04A1" w:rsidRDefault="00046F7E">
            <w:pPr>
              <w:spacing w:before="28" w:after="28"/>
            </w:pPr>
            <w:r>
              <w:rPr>
                <w:color w:val="0F1C2E"/>
                <w:sz w:val="18"/>
                <w:szCs w:val="18"/>
              </w:rPr>
              <w:t xml:space="preserve">•  </w:t>
            </w:r>
            <w:r>
              <w:rPr>
                <w:color w:val="1A1A2E"/>
                <w:sz w:val="18"/>
                <w:szCs w:val="18"/>
              </w:rPr>
              <w:t>One real client through the full intake system with documented outcome</w:t>
            </w:r>
          </w:p>
        </w:tc>
      </w:tr>
      <w:tr w:rsidR="009E04A1" w14:paraId="0E64A1AA"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9DF0604" w14:textId="77777777" w:rsidR="009E04A1" w:rsidRDefault="00046F7E">
            <w:pPr>
              <w:keepNext/>
              <w:spacing w:after="40"/>
            </w:pPr>
            <w:r>
              <w:rPr>
                <w:b/>
                <w:bCs/>
                <w:color w:val="C9A22B"/>
                <w:sz w:val="17"/>
                <w:szCs w:val="17"/>
              </w:rPr>
              <w:t>CRITICAL NOTE — CRA REGULATORY ENVIRONMENT</w:t>
            </w:r>
          </w:p>
          <w:p w14:paraId="1BF695E8" w14:textId="77777777" w:rsidR="009E04A1" w:rsidRDefault="00046F7E">
            <w:pPr>
              <w:spacing w:before="28" w:after="28"/>
            </w:pPr>
            <w:r>
              <w:rPr>
                <w:color w:val="0F1C2E"/>
                <w:sz w:val="18"/>
                <w:szCs w:val="18"/>
              </w:rPr>
              <w:t xml:space="preserve">•  </w:t>
            </w:r>
            <w:r>
              <w:rPr>
                <w:color w:val="1A1A2E"/>
                <w:sz w:val="18"/>
                <w:szCs w:val="18"/>
              </w:rPr>
              <w:t>As of March 28, 2025, the Trump administration announced intent to rescind the 2023 CRA Final Rule, reverting to 1995 framework.</w:t>
            </w:r>
          </w:p>
          <w:p w14:paraId="5DE19F93" w14:textId="77777777" w:rsidR="009E04A1" w:rsidRDefault="00046F7E">
            <w:pPr>
              <w:spacing w:before="28" w:after="28"/>
            </w:pPr>
            <w:r>
              <w:rPr>
                <w:color w:val="0F1C2E"/>
                <w:sz w:val="18"/>
                <w:szCs w:val="18"/>
              </w:rPr>
              <w:t xml:space="preserve">•  </w:t>
            </w:r>
            <w:r>
              <w:rPr>
                <w:color w:val="1A1A2E"/>
                <w:sz w:val="18"/>
                <w:szCs w:val="18"/>
              </w:rPr>
              <w:t>Under 1995 rules: CRA assessment areas are based on physical branch locations, not digital footprint. This weakens the CRA argument for digital-only banking operations.</w:t>
            </w:r>
          </w:p>
          <w:p w14:paraId="33B3B061" w14:textId="77777777" w:rsidR="009E04A1" w:rsidRDefault="00046F7E">
            <w:pPr>
              <w:spacing w:before="28" w:after="28"/>
            </w:pPr>
            <w:proofErr w:type="gramStart"/>
            <w:r>
              <w:rPr>
                <w:color w:val="0F1C2E"/>
                <w:sz w:val="18"/>
                <w:szCs w:val="18"/>
              </w:rPr>
              <w:t xml:space="preserve">•  </w:t>
            </w:r>
            <w:r>
              <w:rPr>
                <w:color w:val="1A1A2E"/>
                <w:sz w:val="18"/>
                <w:szCs w:val="18"/>
              </w:rPr>
              <w:t>What it</w:t>
            </w:r>
            <w:proofErr w:type="gramEnd"/>
            <w:r>
              <w:rPr>
                <w:color w:val="1A1A2E"/>
                <w:sz w:val="18"/>
                <w:szCs w:val="18"/>
              </w:rPr>
              <w:t xml:space="preserve"> does NOT change: banks with physical branches still have CRA obligations in their branch assessment areas. Chase's retail branch network still carries full CRA examination requirements.</w:t>
            </w:r>
          </w:p>
          <w:p w14:paraId="0F825B3F" w14:textId="77777777" w:rsidR="009E04A1" w:rsidRDefault="00046F7E">
            <w:pPr>
              <w:spacing w:before="28" w:after="28"/>
            </w:pPr>
            <w:r>
              <w:rPr>
                <w:color w:val="0F1C2E"/>
                <w:sz w:val="18"/>
                <w:szCs w:val="18"/>
              </w:rPr>
              <w:t xml:space="preserve">•  </w:t>
            </w:r>
            <w:r>
              <w:rPr>
                <w:color w:val="1A1A2E"/>
                <w:sz w:val="18"/>
                <w:szCs w:val="18"/>
              </w:rPr>
              <w:t>The heat map is still the right tool — but the geographic scope and argument framing adjusts based on Chase's physical footprint, not its digital reach.</w:t>
            </w:r>
          </w:p>
          <w:p w14:paraId="16F349D8" w14:textId="77777777" w:rsidR="009E04A1" w:rsidRDefault="00046F7E">
            <w:pPr>
              <w:spacing w:before="20"/>
            </w:pPr>
            <w:r>
              <w:rPr>
                <w:i/>
                <w:iCs/>
                <w:color w:val="64748B"/>
                <w:sz w:val="15"/>
                <w:szCs w:val="15"/>
              </w:rPr>
              <w:t>Source: OCC Bulletin 2025-5: 'Community Reinvestment Act: Rescinding the 2023 CRA Final Rule,' March 28, 2025. Federal Register July 18, 2025.</w:t>
            </w:r>
          </w:p>
        </w:tc>
      </w:tr>
    </w:tbl>
    <w:p w14:paraId="459AA118" w14:textId="77777777" w:rsidR="009E04A1" w:rsidRDefault="009E04A1">
      <w:pPr>
        <w:spacing w:before="60"/>
      </w:pPr>
    </w:p>
    <w:p w14:paraId="1BC64361" w14:textId="77777777" w:rsidR="003E014E" w:rsidRDefault="003E014E">
      <w:pPr>
        <w:spacing w:before="60"/>
      </w:pPr>
    </w:p>
    <w:p w14:paraId="2BD4311C" w14:textId="77777777" w:rsidR="003E014E" w:rsidRDefault="003E014E">
      <w:pPr>
        <w:spacing w:before="60"/>
      </w:pPr>
    </w:p>
    <w:p w14:paraId="14FFA59B" w14:textId="77777777" w:rsidR="003E014E" w:rsidRDefault="003E014E">
      <w:pPr>
        <w:spacing w:before="60"/>
      </w:pPr>
    </w:p>
    <w:p w14:paraId="23429BEC" w14:textId="77777777" w:rsidR="003E014E" w:rsidRDefault="003E014E">
      <w:pPr>
        <w:spacing w:before="60"/>
      </w:pPr>
    </w:p>
    <w:p w14:paraId="231E7780" w14:textId="77777777" w:rsidR="003E014E" w:rsidRDefault="003E014E">
      <w:pPr>
        <w:spacing w:before="60"/>
      </w:pPr>
    </w:p>
    <w:p w14:paraId="0E93EAB9" w14:textId="77777777" w:rsidR="003E014E" w:rsidRDefault="003E014E">
      <w:pPr>
        <w:spacing w:before="60"/>
      </w:pPr>
    </w:p>
    <w:p w14:paraId="366F4DFA" w14:textId="77777777" w:rsidR="003E014E" w:rsidRDefault="003E014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9E04A1" w14:paraId="0AF0CAAB" w14:textId="77777777">
        <w:tblPrEx>
          <w:tblCellMar>
            <w:top w:w="0" w:type="dxa"/>
            <w:bottom w:w="0" w:type="dxa"/>
          </w:tblCellMar>
        </w:tblPrEx>
        <w:trPr>
          <w:cantSplit/>
        </w:trPr>
        <w:tc>
          <w:tcPr>
            <w:tcW w:w="700" w:type="dxa"/>
            <w:tcBorders>
              <w:top w:val="single" w:sz="0" w:space="0" w:color="FFFFFF"/>
              <w:left w:val="single" w:sz="0" w:space="0" w:color="FFFFFF"/>
              <w:bottom w:val="single" w:sz="0" w:space="0" w:color="FFFFFF"/>
              <w:right w:val="single" w:sz="0" w:space="0" w:color="FFFFFF"/>
            </w:tcBorders>
            <w:shd w:val="clear" w:color="auto" w:fill="1E3A5F"/>
            <w:tcMar>
              <w:top w:w="100" w:type="dxa"/>
              <w:left w:w="120" w:type="dxa"/>
              <w:bottom w:w="100" w:type="dxa"/>
              <w:right w:w="120" w:type="dxa"/>
            </w:tcMar>
            <w:vAlign w:val="center"/>
          </w:tcPr>
          <w:p w14:paraId="5822E13F" w14:textId="77777777" w:rsidR="009E04A1" w:rsidRDefault="00046F7E">
            <w:pPr>
              <w:jc w:val="center"/>
            </w:pPr>
            <w:r>
              <w:rPr>
                <w:b/>
                <w:bCs/>
                <w:color w:val="C9A22B"/>
                <w:sz w:val="56"/>
                <w:szCs w:val="56"/>
              </w:rPr>
              <w:lastRenderedPageBreak/>
              <w:t>1</w:t>
            </w:r>
          </w:p>
        </w:tc>
        <w:tc>
          <w:tcPr>
            <w:tcW w:w="0" w:type="auto"/>
            <w:tcBorders>
              <w:top w:val="single" w:sz="0" w:space="0" w:color="FFFFFF"/>
              <w:left w:val="single" w:sz="0" w:space="0" w:color="FFFFFF"/>
              <w:bottom w:val="single" w:sz="0" w:space="0" w:color="FFFFFF"/>
              <w:right w:val="single" w:sz="0" w:space="0" w:color="FFFFFF"/>
            </w:tcBorders>
            <w:shd w:val="clear" w:color="auto" w:fill="1E3A5F"/>
            <w:tcMar>
              <w:top w:w="100" w:type="dxa"/>
              <w:left w:w="140" w:type="dxa"/>
              <w:bottom w:w="100" w:type="dxa"/>
              <w:right w:w="140" w:type="dxa"/>
            </w:tcMar>
          </w:tcPr>
          <w:p w14:paraId="4D280B52" w14:textId="77777777" w:rsidR="009E04A1" w:rsidRDefault="00046F7E">
            <w:pPr>
              <w:keepNext/>
              <w:spacing w:after="20"/>
            </w:pPr>
            <w:r>
              <w:rPr>
                <w:b/>
                <w:bCs/>
                <w:color w:val="FFFFFF"/>
                <w:sz w:val="28"/>
                <w:szCs w:val="28"/>
              </w:rPr>
              <w:t>PROOF OF CONCEPT</w:t>
            </w:r>
          </w:p>
          <w:p w14:paraId="1447360A" w14:textId="77777777" w:rsidR="009E04A1" w:rsidRDefault="00046F7E">
            <w:r>
              <w:rPr>
                <w:color w:val="C9A22B"/>
                <w:sz w:val="17"/>
                <w:szCs w:val="17"/>
              </w:rPr>
              <w:t xml:space="preserve">Q4 2026–Q1 </w:t>
            </w:r>
            <w:proofErr w:type="gramStart"/>
            <w:r>
              <w:rPr>
                <w:color w:val="C9A22B"/>
                <w:sz w:val="17"/>
                <w:szCs w:val="17"/>
              </w:rPr>
              <w:t>2027  ·</w:t>
            </w:r>
            <w:proofErr w:type="gramEnd"/>
            <w:r>
              <w:rPr>
                <w:color w:val="C9A22B"/>
                <w:sz w:val="17"/>
                <w:szCs w:val="17"/>
              </w:rPr>
              <w:t xml:space="preserve">  6–9 </w:t>
            </w:r>
            <w:proofErr w:type="gramStart"/>
            <w:r>
              <w:rPr>
                <w:color w:val="C9A22B"/>
                <w:sz w:val="17"/>
                <w:szCs w:val="17"/>
              </w:rPr>
              <w:t>months  ·</w:t>
            </w:r>
            <w:proofErr w:type="gramEnd"/>
            <w:r>
              <w:rPr>
                <w:color w:val="C9A22B"/>
                <w:sz w:val="17"/>
                <w:szCs w:val="17"/>
              </w:rPr>
              <w:t xml:space="preserve">  </w:t>
            </w:r>
            <w:r>
              <w:rPr>
                <w:color w:val="9CA3AF"/>
                <w:sz w:val="17"/>
                <w:szCs w:val="17"/>
              </w:rPr>
              <w:t>Begins after Phase 0 is complete</w:t>
            </w:r>
          </w:p>
        </w:tc>
      </w:tr>
    </w:tbl>
    <w:p w14:paraId="529BBBF7" w14:textId="77777777" w:rsidR="009E04A1" w:rsidRDefault="009E04A1">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62F4E150"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B86D543" w14:textId="77777777" w:rsidR="009E04A1" w:rsidRDefault="00046F7E">
            <w:pPr>
              <w:keepNext/>
              <w:spacing w:after="40"/>
            </w:pPr>
            <w:r>
              <w:rPr>
                <w:b/>
                <w:bCs/>
                <w:color w:val="C9A22B"/>
                <w:sz w:val="17"/>
                <w:szCs w:val="17"/>
              </w:rPr>
              <w:t>ENTRY CONDITION</w:t>
            </w:r>
          </w:p>
          <w:p w14:paraId="3EB03FB6" w14:textId="77777777" w:rsidR="009E04A1" w:rsidRDefault="00046F7E">
            <w:pPr>
              <w:spacing w:before="28" w:after="28"/>
            </w:pPr>
            <w:r>
              <w:rPr>
                <w:color w:val="0F1C2E"/>
                <w:sz w:val="18"/>
                <w:szCs w:val="18"/>
              </w:rPr>
              <w:t xml:space="preserve">•  </w:t>
            </w:r>
            <w:r>
              <w:rPr>
                <w:color w:val="1A1A2E"/>
                <w:sz w:val="18"/>
                <w:szCs w:val="18"/>
              </w:rPr>
              <w:t>Operating entity formed and attorney documents complete</w:t>
            </w:r>
          </w:p>
          <w:p w14:paraId="0A88F0D4" w14:textId="77777777" w:rsidR="009E04A1" w:rsidRDefault="00046F7E">
            <w:pPr>
              <w:spacing w:before="28" w:after="28"/>
            </w:pPr>
            <w:r>
              <w:rPr>
                <w:color w:val="0F1C2E"/>
                <w:sz w:val="18"/>
                <w:szCs w:val="18"/>
              </w:rPr>
              <w:t xml:space="preserve">•  </w:t>
            </w:r>
            <w:r>
              <w:rPr>
                <w:color w:val="1A1A2E"/>
                <w:sz w:val="18"/>
                <w:szCs w:val="18"/>
              </w:rPr>
              <w:t>CRA heat map with real data deployed</w:t>
            </w:r>
          </w:p>
          <w:p w14:paraId="428BA1F9" w14:textId="77777777" w:rsidR="009E04A1" w:rsidRDefault="00046F7E">
            <w:pPr>
              <w:spacing w:before="28" w:after="28"/>
            </w:pPr>
            <w:r>
              <w:rPr>
                <w:color w:val="0F1C2E"/>
                <w:sz w:val="18"/>
                <w:szCs w:val="18"/>
              </w:rPr>
              <w:t xml:space="preserve">•  </w:t>
            </w:r>
            <w:r>
              <w:rPr>
                <w:color w:val="1A1A2E"/>
                <w:sz w:val="18"/>
                <w:szCs w:val="18"/>
              </w:rPr>
              <w:t>One real client through intake with documented outcome</w:t>
            </w:r>
          </w:p>
          <w:p w14:paraId="01D1A6B3" w14:textId="77777777" w:rsidR="009E04A1" w:rsidRDefault="00046F7E">
            <w:pPr>
              <w:spacing w:before="28" w:after="28"/>
            </w:pPr>
            <w:r>
              <w:rPr>
                <w:color w:val="0F1C2E"/>
                <w:sz w:val="18"/>
                <w:szCs w:val="18"/>
              </w:rPr>
              <w:t xml:space="preserve">•  </w:t>
            </w:r>
            <w:r>
              <w:rPr>
                <w:color w:val="1A1A2E"/>
                <w:sz w:val="18"/>
                <w:szCs w:val="18"/>
              </w:rPr>
              <w:t>Andre Waits meeting conducted with the framework document</w:t>
            </w:r>
          </w:p>
        </w:tc>
      </w:tr>
      <w:tr w:rsidR="009E04A1" w14:paraId="13C645D2"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774B46C" w14:textId="77777777" w:rsidR="009E04A1" w:rsidRDefault="00046F7E">
            <w:pPr>
              <w:keepNext/>
              <w:spacing w:after="40"/>
            </w:pPr>
            <w:r>
              <w:rPr>
                <w:b/>
                <w:bCs/>
                <w:color w:val="C9A22B"/>
                <w:sz w:val="17"/>
                <w:szCs w:val="17"/>
              </w:rPr>
              <w:t>NECESSARY PARTIES</w:t>
            </w:r>
          </w:p>
          <w:p w14:paraId="033A7578" w14:textId="77777777" w:rsidR="009E04A1" w:rsidRDefault="00046F7E">
            <w:pPr>
              <w:spacing w:before="28" w:after="28"/>
            </w:pPr>
            <w:r>
              <w:rPr>
                <w:color w:val="0F1C2E"/>
                <w:sz w:val="18"/>
                <w:szCs w:val="18"/>
              </w:rPr>
              <w:t xml:space="preserve">•  </w:t>
            </w:r>
            <w:r>
              <w:rPr>
                <w:color w:val="1A1A2E"/>
                <w:sz w:val="18"/>
                <w:szCs w:val="18"/>
              </w:rPr>
              <w:t>Andre Waits (JPMC) — institutional champion. The Phase 1 goal is a documented pilot conversation, not a signed agreement.</w:t>
            </w:r>
          </w:p>
          <w:p w14:paraId="74B93516" w14:textId="77777777" w:rsidR="009E04A1" w:rsidRDefault="00046F7E">
            <w:pPr>
              <w:spacing w:before="28" w:after="28"/>
            </w:pPr>
            <w:r w:rsidRPr="00AF5E3D">
              <w:rPr>
                <w:color w:val="0F1C2E"/>
                <w:sz w:val="18"/>
                <w:szCs w:val="18"/>
                <w:lang w:val="fr-FR"/>
              </w:rPr>
              <w:t xml:space="preserve">•  </w:t>
            </w:r>
            <w:r w:rsidRPr="00AF5E3D">
              <w:rPr>
                <w:color w:val="1A1A2E"/>
                <w:sz w:val="18"/>
                <w:szCs w:val="18"/>
                <w:lang w:val="fr-FR"/>
              </w:rPr>
              <w:t>Aaron Binion (Pinnacle/</w:t>
            </w:r>
            <w:proofErr w:type="spellStart"/>
            <w:r w:rsidRPr="00AF5E3D">
              <w:rPr>
                <w:color w:val="1A1A2E"/>
                <w:sz w:val="18"/>
                <w:szCs w:val="18"/>
                <w:lang w:val="fr-FR"/>
              </w:rPr>
              <w:t>Synovus</w:t>
            </w:r>
            <w:proofErr w:type="spellEnd"/>
            <w:r w:rsidRPr="00AF5E3D">
              <w:rPr>
                <w:color w:val="1A1A2E"/>
                <w:sz w:val="18"/>
                <w:szCs w:val="18"/>
                <w:lang w:val="fr-FR"/>
              </w:rPr>
              <w:t xml:space="preserve">) — </w:t>
            </w:r>
            <w:proofErr w:type="spellStart"/>
            <w:r w:rsidRPr="00AF5E3D">
              <w:rPr>
                <w:color w:val="1A1A2E"/>
                <w:sz w:val="18"/>
                <w:szCs w:val="18"/>
                <w:lang w:val="fr-FR"/>
              </w:rPr>
              <w:t>parallel</w:t>
            </w:r>
            <w:proofErr w:type="spellEnd"/>
            <w:r w:rsidRPr="00AF5E3D">
              <w:rPr>
                <w:color w:val="1A1A2E"/>
                <w:sz w:val="18"/>
                <w:szCs w:val="18"/>
                <w:lang w:val="fr-FR"/>
              </w:rPr>
              <w:t xml:space="preserve"> </w:t>
            </w:r>
            <w:proofErr w:type="spellStart"/>
            <w:r w:rsidRPr="00AF5E3D">
              <w:rPr>
                <w:color w:val="1A1A2E"/>
                <w:sz w:val="18"/>
                <w:szCs w:val="18"/>
                <w:lang w:val="fr-FR"/>
              </w:rPr>
              <w:t>institutional</w:t>
            </w:r>
            <w:proofErr w:type="spellEnd"/>
            <w:r w:rsidRPr="00AF5E3D">
              <w:rPr>
                <w:color w:val="1A1A2E"/>
                <w:sz w:val="18"/>
                <w:szCs w:val="18"/>
                <w:lang w:val="fr-FR"/>
              </w:rPr>
              <w:t xml:space="preserve"> conversation. </w:t>
            </w:r>
            <w:r>
              <w:rPr>
                <w:color w:val="1A1A2E"/>
                <w:sz w:val="18"/>
                <w:szCs w:val="18"/>
              </w:rPr>
              <w:t>Pinnacle is a potential direct banking partner rather than a BaaS intermediary.</w:t>
            </w:r>
          </w:p>
          <w:p w14:paraId="00368B8D" w14:textId="77777777" w:rsidR="009E04A1" w:rsidRDefault="00046F7E">
            <w:pPr>
              <w:spacing w:before="28" w:after="28"/>
            </w:pPr>
            <w:r>
              <w:rPr>
                <w:color w:val="0F1C2E"/>
                <w:sz w:val="18"/>
                <w:szCs w:val="18"/>
              </w:rPr>
              <w:t xml:space="preserve">•  </w:t>
            </w:r>
            <w:r>
              <w:rPr>
                <w:color w:val="1A1A2E"/>
                <w:sz w:val="18"/>
                <w:szCs w:val="18"/>
              </w:rPr>
              <w:t>Keith Mosley (Genuine Parts Co</w:t>
            </w:r>
            <w:proofErr w:type="gramStart"/>
            <w:r>
              <w:rPr>
                <w:color w:val="1A1A2E"/>
                <w:sz w:val="18"/>
                <w:szCs w:val="18"/>
              </w:rPr>
              <w:t>.) —</w:t>
            </w:r>
            <w:proofErr w:type="gramEnd"/>
            <w:r>
              <w:rPr>
                <w:color w:val="1A1A2E"/>
                <w:sz w:val="18"/>
                <w:szCs w:val="18"/>
              </w:rPr>
              <w:t xml:space="preserve"> enterprise architecture validation. Phase 1 is the session where Keith sees live data wired to the backend.</w:t>
            </w:r>
          </w:p>
          <w:p w14:paraId="479462AF" w14:textId="77777777" w:rsidR="009E04A1" w:rsidRDefault="00046F7E">
            <w:pPr>
              <w:spacing w:before="28" w:after="28"/>
            </w:pPr>
            <w:r>
              <w:rPr>
                <w:color w:val="0F1C2E"/>
                <w:sz w:val="18"/>
                <w:szCs w:val="18"/>
              </w:rPr>
              <w:t xml:space="preserve">•  </w:t>
            </w:r>
            <w:r>
              <w:rPr>
                <w:color w:val="1A1A2E"/>
                <w:sz w:val="18"/>
                <w:szCs w:val="18"/>
              </w:rPr>
              <w:t xml:space="preserve">BaaS partner — initial conversation only. Unit, </w:t>
            </w:r>
            <w:proofErr w:type="spellStart"/>
            <w:r>
              <w:rPr>
                <w:color w:val="1A1A2E"/>
                <w:sz w:val="18"/>
                <w:szCs w:val="18"/>
              </w:rPr>
              <w:t>Synctera</w:t>
            </w:r>
            <w:proofErr w:type="spellEnd"/>
            <w:r>
              <w:rPr>
                <w:color w:val="1A1A2E"/>
                <w:sz w:val="18"/>
                <w:szCs w:val="18"/>
              </w:rPr>
              <w:t>, or Column Bank. Conversation does not convert to agreement in Phase 1.</w:t>
            </w:r>
          </w:p>
          <w:p w14:paraId="229AB1D6" w14:textId="77777777" w:rsidR="009E04A1" w:rsidRDefault="00046F7E">
            <w:pPr>
              <w:spacing w:before="28" w:after="28"/>
            </w:pPr>
            <w:r>
              <w:rPr>
                <w:color w:val="0F1C2E"/>
                <w:sz w:val="18"/>
                <w:szCs w:val="18"/>
              </w:rPr>
              <w:t xml:space="preserve">•  </w:t>
            </w:r>
            <w:r>
              <w:rPr>
                <w:color w:val="1A1A2E"/>
                <w:sz w:val="18"/>
                <w:szCs w:val="18"/>
              </w:rPr>
              <w:t xml:space="preserve">CAFE Fintech Accelerator or </w:t>
            </w:r>
            <w:proofErr w:type="spellStart"/>
            <w:r>
              <w:rPr>
                <w:color w:val="1A1A2E"/>
                <w:sz w:val="18"/>
                <w:szCs w:val="18"/>
              </w:rPr>
              <w:t>MassChallenge</w:t>
            </w:r>
            <w:proofErr w:type="spellEnd"/>
            <w:r>
              <w:rPr>
                <w:color w:val="1A1A2E"/>
                <w:sz w:val="18"/>
                <w:szCs w:val="18"/>
              </w:rPr>
              <w:t xml:space="preserve"> Fintech — program application to access network of 40+ financial services executives and regulators.</w:t>
            </w:r>
          </w:p>
          <w:p w14:paraId="23A533F0" w14:textId="77777777" w:rsidR="009E04A1" w:rsidRDefault="00046F7E">
            <w:pPr>
              <w:spacing w:before="20"/>
            </w:pPr>
            <w:r>
              <w:rPr>
                <w:i/>
                <w:iCs/>
                <w:color w:val="64748B"/>
                <w:sz w:val="15"/>
                <w:szCs w:val="15"/>
              </w:rPr>
              <w:t xml:space="preserve">Source: CAFE Fintech Accelerator: ftcafe.org — two-month cohort, equity-free, access to 40+ financial executives. </w:t>
            </w:r>
            <w:proofErr w:type="spellStart"/>
            <w:r>
              <w:rPr>
                <w:i/>
                <w:iCs/>
                <w:color w:val="64748B"/>
                <w:sz w:val="15"/>
                <w:szCs w:val="15"/>
              </w:rPr>
              <w:t>MassChallenge</w:t>
            </w:r>
            <w:proofErr w:type="spellEnd"/>
            <w:r>
              <w:rPr>
                <w:i/>
                <w:iCs/>
                <w:color w:val="64748B"/>
                <w:sz w:val="15"/>
                <w:szCs w:val="15"/>
              </w:rPr>
              <w:t xml:space="preserve"> Fintech: masschallenge.org — annual program.</w:t>
            </w:r>
          </w:p>
        </w:tc>
      </w:tr>
      <w:tr w:rsidR="009E04A1" w14:paraId="0382796C"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87155A4" w14:textId="77777777" w:rsidR="009E04A1" w:rsidRDefault="00046F7E">
            <w:pPr>
              <w:keepNext/>
              <w:spacing w:after="40"/>
            </w:pPr>
            <w:r>
              <w:rPr>
                <w:b/>
                <w:bCs/>
                <w:color w:val="C9A22B"/>
                <w:sz w:val="17"/>
                <w:szCs w:val="17"/>
              </w:rPr>
              <w:t>FUNDING REQUIRED</w:t>
            </w:r>
          </w:p>
          <w:p w14:paraId="6EEF51F0" w14:textId="77777777" w:rsidR="009E04A1" w:rsidRDefault="00046F7E">
            <w:pPr>
              <w:spacing w:before="28" w:after="28"/>
            </w:pPr>
            <w:r>
              <w:rPr>
                <w:color w:val="0F1C2E"/>
                <w:sz w:val="18"/>
                <w:szCs w:val="18"/>
              </w:rPr>
              <w:t xml:space="preserve">•  </w:t>
            </w:r>
            <w:r>
              <w:rPr>
                <w:color w:val="1A1A2E"/>
                <w:sz w:val="18"/>
                <w:szCs w:val="18"/>
              </w:rPr>
              <w:t>Pre-seed: $250,000–$750,000 is the realistic range for this stage in FinTech.</w:t>
            </w:r>
          </w:p>
          <w:p w14:paraId="6E274A76" w14:textId="77777777" w:rsidR="009E04A1" w:rsidRDefault="00046F7E">
            <w:pPr>
              <w:spacing w:before="28" w:after="28"/>
            </w:pPr>
            <w:r>
              <w:rPr>
                <w:color w:val="0F1C2E"/>
                <w:sz w:val="18"/>
                <w:szCs w:val="18"/>
              </w:rPr>
              <w:t xml:space="preserve">•  </w:t>
            </w:r>
            <w:r>
              <w:rPr>
                <w:color w:val="1A1A2E"/>
                <w:sz w:val="18"/>
                <w:szCs w:val="18"/>
              </w:rPr>
              <w:t>Sources at this stage: angel investors (not VC — too early), HBCU-focused innovation funds, CDFIs with entrepreneurship programs, mission-aligned family offices.</w:t>
            </w:r>
          </w:p>
          <w:p w14:paraId="74608ED2" w14:textId="77777777" w:rsidR="009E04A1" w:rsidRDefault="00046F7E">
            <w:pPr>
              <w:spacing w:before="28" w:after="28"/>
            </w:pPr>
            <w:r>
              <w:rPr>
                <w:color w:val="0F1C2E"/>
                <w:sz w:val="18"/>
                <w:szCs w:val="18"/>
              </w:rPr>
              <w:t xml:space="preserve">•  </w:t>
            </w:r>
            <w:r>
              <w:rPr>
                <w:color w:val="1A1A2E"/>
                <w:sz w:val="18"/>
                <w:szCs w:val="18"/>
              </w:rPr>
              <w:t>Note: VC is not appropriate at Phase 1. VCs expect product-market fit evidence. Phase 1 is building that evidence.</w:t>
            </w:r>
          </w:p>
          <w:p w14:paraId="3753F52B" w14:textId="77777777" w:rsidR="009E04A1" w:rsidRDefault="00046F7E">
            <w:pPr>
              <w:spacing w:before="28" w:after="28"/>
            </w:pPr>
            <w:r>
              <w:rPr>
                <w:color w:val="0F1C2E"/>
                <w:sz w:val="18"/>
                <w:szCs w:val="18"/>
              </w:rPr>
              <w:t xml:space="preserve">•  </w:t>
            </w:r>
            <w:r>
              <w:rPr>
                <w:color w:val="1A1A2E"/>
                <w:sz w:val="18"/>
                <w:szCs w:val="18"/>
              </w:rPr>
              <w:t>Alternative: bootstrap through tax practice revenue + first institutional licensing fees if pilot converts.</w:t>
            </w:r>
          </w:p>
          <w:p w14:paraId="2AF1353C" w14:textId="77777777" w:rsidR="009E04A1" w:rsidRDefault="00046F7E">
            <w:pPr>
              <w:spacing w:before="20"/>
            </w:pPr>
            <w:r>
              <w:rPr>
                <w:i/>
                <w:iCs/>
                <w:color w:val="64748B"/>
                <w:sz w:val="15"/>
                <w:szCs w:val="15"/>
              </w:rPr>
              <w:t xml:space="preserve">Source: US </w:t>
            </w:r>
            <w:proofErr w:type="gramStart"/>
            <w:r>
              <w:rPr>
                <w:i/>
                <w:iCs/>
                <w:color w:val="64748B"/>
                <w:sz w:val="15"/>
                <w:szCs w:val="15"/>
              </w:rPr>
              <w:t>Pre-seed</w:t>
            </w:r>
            <w:proofErr w:type="gramEnd"/>
            <w:r>
              <w:rPr>
                <w:i/>
                <w:iCs/>
                <w:color w:val="64748B"/>
                <w:sz w:val="15"/>
                <w:szCs w:val="15"/>
              </w:rPr>
              <w:t xml:space="preserve"> range $500K–$3M: growthlist.co database, verified against Crunchbase 2024 data. Lower end appropriate for non-technical founding teams with existing revenue.</w:t>
            </w:r>
          </w:p>
          <w:p w14:paraId="029404A2" w14:textId="77777777" w:rsidR="009E04A1" w:rsidRDefault="00046F7E">
            <w:pPr>
              <w:spacing w:before="20"/>
            </w:pPr>
            <w:r>
              <w:rPr>
                <w:i/>
                <w:iCs/>
                <w:color w:val="D97706"/>
                <w:sz w:val="15"/>
                <w:szCs w:val="15"/>
              </w:rPr>
              <w:t>Estimated: $250K–$750K is the right range for Phase 1 given existing infrastructure and bootstrap capability.</w:t>
            </w:r>
          </w:p>
        </w:tc>
      </w:tr>
      <w:tr w:rsidR="009E04A1" w14:paraId="1C6B5FA5"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F78CB0D" w14:textId="77777777" w:rsidR="009E04A1" w:rsidRDefault="00046F7E">
            <w:pPr>
              <w:keepNext/>
              <w:spacing w:after="40"/>
            </w:pPr>
            <w:r>
              <w:rPr>
                <w:b/>
                <w:bCs/>
                <w:color w:val="C9A22B"/>
                <w:sz w:val="17"/>
                <w:szCs w:val="17"/>
              </w:rPr>
              <w:t>OUTPUTS PRODUCED</w:t>
            </w:r>
          </w:p>
          <w:p w14:paraId="18127FA4" w14:textId="77777777" w:rsidR="009E04A1" w:rsidRDefault="00046F7E">
            <w:pPr>
              <w:spacing w:before="28" w:after="28"/>
            </w:pPr>
            <w:r>
              <w:rPr>
                <w:color w:val="0F1C2E"/>
                <w:sz w:val="18"/>
                <w:szCs w:val="18"/>
              </w:rPr>
              <w:t xml:space="preserve">•  </w:t>
            </w:r>
            <w:r>
              <w:rPr>
                <w:color w:val="1A1A2E"/>
                <w:sz w:val="18"/>
                <w:szCs w:val="18"/>
              </w:rPr>
              <w:t>Documented pilot conversation with Andre — specific ask, specific terms, specific timeline</w:t>
            </w:r>
          </w:p>
          <w:p w14:paraId="18B77D8A" w14:textId="77777777" w:rsidR="009E04A1" w:rsidRDefault="00046F7E">
            <w:pPr>
              <w:spacing w:before="28" w:after="28"/>
            </w:pPr>
            <w:r>
              <w:rPr>
                <w:color w:val="0F1C2E"/>
                <w:sz w:val="18"/>
                <w:szCs w:val="18"/>
              </w:rPr>
              <w:t xml:space="preserve">•  </w:t>
            </w:r>
            <w:r>
              <w:rPr>
                <w:color w:val="1A1A2E"/>
                <w:sz w:val="18"/>
                <w:szCs w:val="18"/>
              </w:rPr>
              <w:t>CRA heat map presented to institutional partner with real FFIEC/HMDA data, Atlanta MSA and Georgia focus</w:t>
            </w:r>
          </w:p>
          <w:p w14:paraId="5257CB22" w14:textId="77777777" w:rsidR="009E04A1" w:rsidRDefault="00046F7E">
            <w:pPr>
              <w:spacing w:before="28" w:after="28"/>
            </w:pPr>
            <w:r>
              <w:rPr>
                <w:color w:val="0F1C2E"/>
                <w:sz w:val="18"/>
                <w:szCs w:val="18"/>
              </w:rPr>
              <w:t xml:space="preserve">•  </w:t>
            </w:r>
            <w:r>
              <w:rPr>
                <w:color w:val="1A1A2E"/>
                <w:sz w:val="18"/>
                <w:szCs w:val="18"/>
              </w:rPr>
              <w:t>Differentiated output demonstration — board summary, technical analysis, regulator pack, family view from same dataset</w:t>
            </w:r>
          </w:p>
          <w:p w14:paraId="0D18B371" w14:textId="77777777" w:rsidR="009E04A1" w:rsidRDefault="00046F7E">
            <w:pPr>
              <w:spacing w:before="28" w:after="28"/>
            </w:pPr>
            <w:r>
              <w:rPr>
                <w:color w:val="0F1C2E"/>
                <w:sz w:val="18"/>
                <w:szCs w:val="18"/>
              </w:rPr>
              <w:t xml:space="preserve">•  </w:t>
            </w:r>
            <w:r>
              <w:rPr>
                <w:color w:val="1A1A2E"/>
                <w:sz w:val="18"/>
                <w:szCs w:val="18"/>
              </w:rPr>
              <w:t>First paying client — not a pilot, a transaction. Real money for real guidance.</w:t>
            </w:r>
          </w:p>
          <w:p w14:paraId="07A8B299" w14:textId="77777777" w:rsidR="009E04A1" w:rsidRDefault="00046F7E">
            <w:pPr>
              <w:spacing w:before="28" w:after="28"/>
            </w:pPr>
            <w:r>
              <w:rPr>
                <w:color w:val="0F1C2E"/>
                <w:sz w:val="18"/>
                <w:szCs w:val="18"/>
              </w:rPr>
              <w:t xml:space="preserve">•  </w:t>
            </w:r>
            <w:r>
              <w:rPr>
                <w:color w:val="1A1A2E"/>
                <w:sz w:val="18"/>
                <w:szCs w:val="18"/>
              </w:rPr>
              <w:t>Initial BaaS partner conversation — not agreement, conversation. Documenting entry requirements and timeline.</w:t>
            </w:r>
          </w:p>
          <w:p w14:paraId="6DD84210" w14:textId="77777777" w:rsidR="009E04A1" w:rsidRDefault="00046F7E">
            <w:pPr>
              <w:spacing w:before="28" w:after="28"/>
            </w:pPr>
            <w:r>
              <w:rPr>
                <w:color w:val="0F1C2E"/>
                <w:sz w:val="18"/>
                <w:szCs w:val="18"/>
              </w:rPr>
              <w:t xml:space="preserve">•  </w:t>
            </w:r>
            <w:r>
              <w:rPr>
                <w:color w:val="1A1A2E"/>
                <w:sz w:val="18"/>
                <w:szCs w:val="18"/>
              </w:rPr>
              <w:t>Accelerator cohort completion if accepted — 40+ institutional relationships initiated</w:t>
            </w:r>
          </w:p>
        </w:tc>
      </w:tr>
    </w:tbl>
    <w:p w14:paraId="5E40EBEC" w14:textId="77777777" w:rsidR="009E04A1" w:rsidRDefault="009E04A1">
      <w:pPr>
        <w:spacing w:before="60"/>
      </w:pPr>
    </w:p>
    <w:p w14:paraId="6D433C54" w14:textId="77777777" w:rsidR="003E014E" w:rsidRDefault="003E014E">
      <w:pPr>
        <w:spacing w:before="60"/>
      </w:pPr>
    </w:p>
    <w:p w14:paraId="6F0D92C3" w14:textId="77777777" w:rsidR="003E014E" w:rsidRDefault="003E014E">
      <w:pPr>
        <w:spacing w:before="60"/>
      </w:pPr>
    </w:p>
    <w:p w14:paraId="61E2739A" w14:textId="77777777" w:rsidR="003E014E" w:rsidRDefault="003E014E">
      <w:pPr>
        <w:spacing w:before="60"/>
      </w:pPr>
    </w:p>
    <w:p w14:paraId="24FC3EF7" w14:textId="77777777" w:rsidR="003E014E" w:rsidRDefault="003E014E">
      <w:pPr>
        <w:spacing w:before="60"/>
      </w:pPr>
    </w:p>
    <w:p w14:paraId="688A6D97" w14:textId="77777777" w:rsidR="003E014E" w:rsidRDefault="003E014E">
      <w:pPr>
        <w:spacing w:before="60"/>
      </w:pPr>
    </w:p>
    <w:p w14:paraId="5685D75E" w14:textId="77777777" w:rsidR="003E014E" w:rsidRDefault="003E014E">
      <w:pPr>
        <w:spacing w:before="60"/>
      </w:pPr>
    </w:p>
    <w:p w14:paraId="1D7F83FA" w14:textId="77777777" w:rsidR="003E014E" w:rsidRDefault="003E014E">
      <w:pPr>
        <w:spacing w:before="60"/>
      </w:pPr>
    </w:p>
    <w:p w14:paraId="7C8422B0" w14:textId="77777777" w:rsidR="003E014E" w:rsidRDefault="003E014E">
      <w:pPr>
        <w:spacing w:before="60"/>
      </w:pPr>
    </w:p>
    <w:p w14:paraId="7C59ACC6" w14:textId="77777777" w:rsidR="003E014E" w:rsidRDefault="003E014E">
      <w:pPr>
        <w:spacing w:before="60"/>
      </w:pPr>
    </w:p>
    <w:p w14:paraId="79B22FC4" w14:textId="77777777" w:rsidR="003E014E" w:rsidRDefault="003E014E">
      <w:pPr>
        <w:spacing w:before="60"/>
      </w:pPr>
    </w:p>
    <w:p w14:paraId="6F90A1CD" w14:textId="77777777" w:rsidR="003E014E" w:rsidRDefault="003E014E">
      <w:pPr>
        <w:spacing w:before="60"/>
      </w:pPr>
    </w:p>
    <w:p w14:paraId="75B5A050" w14:textId="77777777" w:rsidR="003E014E" w:rsidRDefault="003E014E">
      <w:pPr>
        <w:spacing w:before="60"/>
      </w:pPr>
    </w:p>
    <w:p w14:paraId="0ACFB2E6" w14:textId="77777777" w:rsidR="003E014E" w:rsidRDefault="003E014E">
      <w:pPr>
        <w:spacing w:before="60"/>
      </w:pPr>
    </w:p>
    <w:p w14:paraId="1FC9E627" w14:textId="77777777" w:rsidR="003E014E" w:rsidRDefault="003E014E">
      <w:pPr>
        <w:spacing w:before="60"/>
      </w:pPr>
    </w:p>
    <w:p w14:paraId="54EDC607" w14:textId="77777777" w:rsidR="003E014E" w:rsidRDefault="003E014E">
      <w:pPr>
        <w:spacing w:before="60"/>
      </w:pPr>
    </w:p>
    <w:p w14:paraId="750A8FAC" w14:textId="77777777" w:rsidR="003E014E" w:rsidRDefault="003E014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9E04A1" w14:paraId="714408C8" w14:textId="77777777">
        <w:tblPrEx>
          <w:tblCellMar>
            <w:top w:w="0" w:type="dxa"/>
            <w:bottom w:w="0" w:type="dxa"/>
          </w:tblCellMar>
        </w:tblPrEx>
        <w:trPr>
          <w:cantSplit/>
        </w:trPr>
        <w:tc>
          <w:tcPr>
            <w:tcW w:w="700" w:type="dxa"/>
            <w:tcBorders>
              <w:top w:val="single" w:sz="0" w:space="0" w:color="FFFFFF"/>
              <w:left w:val="single" w:sz="0" w:space="0" w:color="FFFFFF"/>
              <w:bottom w:val="single" w:sz="0" w:space="0" w:color="FFFFFF"/>
              <w:right w:val="single" w:sz="0" w:space="0" w:color="FFFFFF"/>
            </w:tcBorders>
            <w:shd w:val="clear" w:color="auto" w:fill="1A3A5C"/>
            <w:tcMar>
              <w:top w:w="100" w:type="dxa"/>
              <w:left w:w="120" w:type="dxa"/>
              <w:bottom w:w="100" w:type="dxa"/>
              <w:right w:w="120" w:type="dxa"/>
            </w:tcMar>
            <w:vAlign w:val="center"/>
          </w:tcPr>
          <w:p w14:paraId="7BA7924D" w14:textId="77777777" w:rsidR="009E04A1" w:rsidRDefault="00046F7E">
            <w:pPr>
              <w:jc w:val="center"/>
            </w:pPr>
            <w:r>
              <w:rPr>
                <w:b/>
                <w:bCs/>
                <w:color w:val="C9A22B"/>
                <w:sz w:val="56"/>
                <w:szCs w:val="56"/>
              </w:rPr>
              <w:t>2</w:t>
            </w:r>
          </w:p>
        </w:tc>
        <w:tc>
          <w:tcPr>
            <w:tcW w:w="0" w:type="auto"/>
            <w:tcBorders>
              <w:top w:val="single" w:sz="0" w:space="0" w:color="FFFFFF"/>
              <w:left w:val="single" w:sz="0" w:space="0" w:color="FFFFFF"/>
              <w:bottom w:val="single" w:sz="0" w:space="0" w:color="FFFFFF"/>
              <w:right w:val="single" w:sz="0" w:space="0" w:color="FFFFFF"/>
            </w:tcBorders>
            <w:shd w:val="clear" w:color="auto" w:fill="1A3A5C"/>
            <w:tcMar>
              <w:top w:w="100" w:type="dxa"/>
              <w:left w:w="140" w:type="dxa"/>
              <w:bottom w:w="100" w:type="dxa"/>
              <w:right w:w="140" w:type="dxa"/>
            </w:tcMar>
          </w:tcPr>
          <w:p w14:paraId="66A47E72" w14:textId="77777777" w:rsidR="009E04A1" w:rsidRDefault="00046F7E">
            <w:pPr>
              <w:keepNext/>
              <w:spacing w:after="20"/>
            </w:pPr>
            <w:r>
              <w:rPr>
                <w:b/>
                <w:bCs/>
                <w:color w:val="FFFFFF"/>
                <w:sz w:val="28"/>
                <w:szCs w:val="28"/>
              </w:rPr>
              <w:t>MARKET ENTRY</w:t>
            </w:r>
          </w:p>
          <w:p w14:paraId="4F93B999" w14:textId="77777777" w:rsidR="009E04A1" w:rsidRDefault="00046F7E">
            <w:r>
              <w:rPr>
                <w:color w:val="C9A22B"/>
                <w:sz w:val="17"/>
                <w:szCs w:val="17"/>
              </w:rPr>
              <w:t xml:space="preserve">Q2 2027–Q4 </w:t>
            </w:r>
            <w:proofErr w:type="gramStart"/>
            <w:r>
              <w:rPr>
                <w:color w:val="C9A22B"/>
                <w:sz w:val="17"/>
                <w:szCs w:val="17"/>
              </w:rPr>
              <w:t>2028  ·</w:t>
            </w:r>
            <w:proofErr w:type="gramEnd"/>
            <w:r>
              <w:rPr>
                <w:color w:val="C9A22B"/>
                <w:sz w:val="17"/>
                <w:szCs w:val="17"/>
              </w:rPr>
              <w:t xml:space="preserve">  18 </w:t>
            </w:r>
            <w:proofErr w:type="gramStart"/>
            <w:r>
              <w:rPr>
                <w:color w:val="C9A22B"/>
                <w:sz w:val="17"/>
                <w:szCs w:val="17"/>
              </w:rPr>
              <w:t>months  ·</w:t>
            </w:r>
            <w:proofErr w:type="gramEnd"/>
            <w:r>
              <w:rPr>
                <w:color w:val="C9A22B"/>
                <w:sz w:val="17"/>
                <w:szCs w:val="17"/>
              </w:rPr>
              <w:t xml:space="preserve">  </w:t>
            </w:r>
            <w:r>
              <w:rPr>
                <w:color w:val="9CA3AF"/>
                <w:sz w:val="17"/>
                <w:szCs w:val="17"/>
              </w:rPr>
              <w:t>Begins when pilot agreement signed</w:t>
            </w:r>
          </w:p>
        </w:tc>
      </w:tr>
    </w:tbl>
    <w:p w14:paraId="5A11D791" w14:textId="77777777" w:rsidR="009E04A1" w:rsidRDefault="009E04A1">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51828DE3"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987B9B4" w14:textId="77777777" w:rsidR="009E04A1" w:rsidRDefault="00046F7E">
            <w:pPr>
              <w:keepNext/>
              <w:spacing w:after="40"/>
            </w:pPr>
            <w:r>
              <w:rPr>
                <w:b/>
                <w:bCs/>
                <w:color w:val="C9A22B"/>
                <w:sz w:val="17"/>
                <w:szCs w:val="17"/>
              </w:rPr>
              <w:t>ENTRY CONDITION</w:t>
            </w:r>
          </w:p>
          <w:p w14:paraId="66EC1B09" w14:textId="77777777" w:rsidR="009E04A1" w:rsidRDefault="00046F7E">
            <w:pPr>
              <w:spacing w:before="28" w:after="28"/>
            </w:pPr>
            <w:r>
              <w:rPr>
                <w:color w:val="0F1C2E"/>
                <w:sz w:val="18"/>
                <w:szCs w:val="18"/>
              </w:rPr>
              <w:t xml:space="preserve">•  </w:t>
            </w:r>
            <w:r>
              <w:rPr>
                <w:color w:val="1A1A2E"/>
                <w:sz w:val="18"/>
                <w:szCs w:val="18"/>
              </w:rPr>
              <w:t>First paying institutional pilot agreement signed — not letter of intent, signed agreement</w:t>
            </w:r>
          </w:p>
          <w:p w14:paraId="0AD610CC" w14:textId="77777777" w:rsidR="009E04A1" w:rsidRDefault="00046F7E">
            <w:pPr>
              <w:spacing w:before="28" w:after="28"/>
            </w:pPr>
            <w:r>
              <w:rPr>
                <w:color w:val="0F1C2E"/>
                <w:sz w:val="18"/>
                <w:szCs w:val="18"/>
              </w:rPr>
              <w:t xml:space="preserve">•  </w:t>
            </w:r>
            <w:r>
              <w:rPr>
                <w:color w:val="1A1A2E"/>
                <w:sz w:val="18"/>
                <w:szCs w:val="18"/>
              </w:rPr>
              <w:t>Documented outcomes from at least one real consumer client</w:t>
            </w:r>
          </w:p>
          <w:p w14:paraId="514F247F" w14:textId="77777777" w:rsidR="009E04A1" w:rsidRDefault="00046F7E">
            <w:pPr>
              <w:spacing w:before="28" w:after="28"/>
            </w:pPr>
            <w:r>
              <w:rPr>
                <w:color w:val="0F1C2E"/>
                <w:sz w:val="18"/>
                <w:szCs w:val="18"/>
              </w:rPr>
              <w:t xml:space="preserve">•  </w:t>
            </w:r>
            <w:r>
              <w:rPr>
                <w:color w:val="1A1A2E"/>
                <w:sz w:val="18"/>
                <w:szCs w:val="18"/>
              </w:rPr>
              <w:t>BaaS partner conversation has produced a formal application or term sheet</w:t>
            </w:r>
          </w:p>
          <w:p w14:paraId="6437F36D" w14:textId="77777777" w:rsidR="009E04A1" w:rsidRDefault="00046F7E">
            <w:pPr>
              <w:spacing w:before="28" w:after="28"/>
            </w:pPr>
            <w:r>
              <w:rPr>
                <w:color w:val="0F1C2E"/>
                <w:sz w:val="18"/>
                <w:szCs w:val="18"/>
              </w:rPr>
              <w:t xml:space="preserve">•  </w:t>
            </w:r>
            <w:r>
              <w:rPr>
                <w:color w:val="1A1A2E"/>
                <w:sz w:val="18"/>
                <w:szCs w:val="18"/>
              </w:rPr>
              <w:t>Legal entity and compliance framework have passed institutional due diligence review</w:t>
            </w:r>
          </w:p>
        </w:tc>
      </w:tr>
      <w:tr w:rsidR="009E04A1" w14:paraId="23B1AA2B"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88A2FE2" w14:textId="77777777" w:rsidR="009E04A1" w:rsidRDefault="00046F7E">
            <w:pPr>
              <w:keepNext/>
              <w:spacing w:after="40"/>
            </w:pPr>
            <w:r>
              <w:rPr>
                <w:b/>
                <w:bCs/>
                <w:color w:val="C9A22B"/>
                <w:sz w:val="17"/>
                <w:szCs w:val="17"/>
              </w:rPr>
              <w:t>NECESSARY PARTIES</w:t>
            </w:r>
          </w:p>
          <w:p w14:paraId="085BB298" w14:textId="77777777" w:rsidR="009E04A1" w:rsidRDefault="00046F7E">
            <w:pPr>
              <w:spacing w:before="28" w:after="28"/>
            </w:pPr>
            <w:r>
              <w:rPr>
                <w:color w:val="0F1C2E"/>
                <w:sz w:val="18"/>
                <w:szCs w:val="18"/>
              </w:rPr>
              <w:t xml:space="preserve">•  </w:t>
            </w:r>
            <w:r>
              <w:rPr>
                <w:color w:val="1A1A2E"/>
                <w:sz w:val="18"/>
                <w:szCs w:val="18"/>
              </w:rPr>
              <w:t xml:space="preserve">BaaS partner — formal agreement. Unit and </w:t>
            </w:r>
            <w:proofErr w:type="spellStart"/>
            <w:r>
              <w:rPr>
                <w:color w:val="1A1A2E"/>
                <w:sz w:val="18"/>
                <w:szCs w:val="18"/>
              </w:rPr>
              <w:t>Synctera</w:t>
            </w:r>
            <w:proofErr w:type="spellEnd"/>
            <w:r>
              <w:rPr>
                <w:color w:val="1A1A2E"/>
                <w:sz w:val="18"/>
                <w:szCs w:val="18"/>
              </w:rPr>
              <w:t xml:space="preserve"> currently favor Series C+ companies. Column Bank is more accessible for earlier-stage companies with strong compliance frameworks and institutional co-sponsors.</w:t>
            </w:r>
          </w:p>
          <w:p w14:paraId="40DF1B41" w14:textId="77777777" w:rsidR="009E04A1" w:rsidRDefault="00046F7E">
            <w:pPr>
              <w:spacing w:before="28" w:after="28"/>
            </w:pPr>
            <w:r>
              <w:rPr>
                <w:color w:val="0F1C2E"/>
                <w:sz w:val="18"/>
                <w:szCs w:val="18"/>
              </w:rPr>
              <w:t xml:space="preserve">•  </w:t>
            </w:r>
            <w:r>
              <w:rPr>
                <w:color w:val="1A1A2E"/>
                <w:sz w:val="18"/>
                <w:szCs w:val="18"/>
              </w:rPr>
              <w:t>Andre Waits (JPMC) or Aaron Binion (</w:t>
            </w:r>
            <w:proofErr w:type="gramStart"/>
            <w:r>
              <w:rPr>
                <w:color w:val="1A1A2E"/>
                <w:sz w:val="18"/>
                <w:szCs w:val="18"/>
              </w:rPr>
              <w:t>Pinnacle) —</w:t>
            </w:r>
            <w:proofErr w:type="gramEnd"/>
            <w:r>
              <w:rPr>
                <w:color w:val="1A1A2E"/>
                <w:sz w:val="18"/>
                <w:szCs w:val="18"/>
              </w:rPr>
              <w:t xml:space="preserve"> signed pilot agreement is the entry condition. One of these two relationships </w:t>
            </w:r>
            <w:proofErr w:type="gramStart"/>
            <w:r>
              <w:rPr>
                <w:color w:val="1A1A2E"/>
                <w:sz w:val="18"/>
                <w:szCs w:val="18"/>
              </w:rPr>
              <w:t>has to</w:t>
            </w:r>
            <w:proofErr w:type="gramEnd"/>
            <w:r>
              <w:rPr>
                <w:color w:val="1A1A2E"/>
                <w:sz w:val="18"/>
                <w:szCs w:val="18"/>
              </w:rPr>
              <w:t xml:space="preserve"> convert.</w:t>
            </w:r>
          </w:p>
          <w:p w14:paraId="4A2562A1" w14:textId="77777777" w:rsidR="009E04A1" w:rsidRDefault="00046F7E">
            <w:pPr>
              <w:spacing w:before="28" w:after="28"/>
            </w:pPr>
            <w:r>
              <w:rPr>
                <w:color w:val="0F1C2E"/>
                <w:sz w:val="18"/>
                <w:szCs w:val="18"/>
              </w:rPr>
              <w:t xml:space="preserve">•  </w:t>
            </w:r>
            <w:r>
              <w:rPr>
                <w:color w:val="1A1A2E"/>
                <w:sz w:val="18"/>
                <w:szCs w:val="18"/>
              </w:rPr>
              <w:t>Compliance counsel — ongoing, not just for document drafting. Post-Synapse BaaS environment requires active compliance management.</w:t>
            </w:r>
          </w:p>
          <w:p w14:paraId="1745A869" w14:textId="77777777" w:rsidR="009E04A1" w:rsidRDefault="00046F7E">
            <w:pPr>
              <w:spacing w:before="28" w:after="28"/>
            </w:pPr>
            <w:proofErr w:type="gramStart"/>
            <w:r>
              <w:rPr>
                <w:color w:val="0F1C2E"/>
                <w:sz w:val="18"/>
                <w:szCs w:val="18"/>
              </w:rPr>
              <w:t xml:space="preserve">•  </w:t>
            </w:r>
            <w:r>
              <w:rPr>
                <w:color w:val="1A1A2E"/>
                <w:sz w:val="18"/>
                <w:szCs w:val="18"/>
              </w:rPr>
              <w:t>SOC 2 Type</w:t>
            </w:r>
            <w:proofErr w:type="gramEnd"/>
            <w:r>
              <w:rPr>
                <w:color w:val="1A1A2E"/>
                <w:sz w:val="18"/>
                <w:szCs w:val="18"/>
              </w:rPr>
              <w:t xml:space="preserve"> II audit firm — institutional partners will require SOC 2 before meaningful API access.</w:t>
            </w:r>
          </w:p>
          <w:p w14:paraId="665A8987" w14:textId="77777777" w:rsidR="009E04A1" w:rsidRDefault="00046F7E">
            <w:pPr>
              <w:spacing w:before="28" w:after="28"/>
            </w:pPr>
            <w:r>
              <w:rPr>
                <w:color w:val="0F1C2E"/>
                <w:sz w:val="18"/>
                <w:szCs w:val="18"/>
              </w:rPr>
              <w:t xml:space="preserve">•  </w:t>
            </w:r>
            <w:r>
              <w:rPr>
                <w:color w:val="1A1A2E"/>
                <w:sz w:val="18"/>
                <w:szCs w:val="18"/>
              </w:rPr>
              <w:t>First full-time hire — compliance or engineering. Not a generalist.</w:t>
            </w:r>
          </w:p>
          <w:p w14:paraId="3A5AE186" w14:textId="77777777" w:rsidR="009E04A1" w:rsidRDefault="00046F7E">
            <w:pPr>
              <w:spacing w:before="20"/>
            </w:pPr>
            <w:r>
              <w:rPr>
                <w:i/>
                <w:iCs/>
                <w:color w:val="64748B"/>
                <w:sz w:val="15"/>
                <w:szCs w:val="15"/>
              </w:rPr>
              <w:t>Source: BaaS partner entry bar: American Banker, May 2024 — 'Banking-as-a-Service Middleware is Going Direct.' SOC 2 requirement: standard institutional vendor requirement.</w:t>
            </w:r>
          </w:p>
          <w:p w14:paraId="4B8AB795" w14:textId="77777777" w:rsidR="009E04A1" w:rsidRDefault="00046F7E">
            <w:pPr>
              <w:spacing w:before="20"/>
            </w:pPr>
            <w:r>
              <w:rPr>
                <w:i/>
                <w:iCs/>
                <w:color w:val="D97706"/>
                <w:sz w:val="15"/>
                <w:szCs w:val="15"/>
              </w:rPr>
              <w:t>Estimated: SOC 2 Type II audit: $15,000–$50,000 depending on scope and firm. Timeline: 6-12 months from engagement to certification.</w:t>
            </w:r>
          </w:p>
        </w:tc>
      </w:tr>
      <w:tr w:rsidR="009E04A1" w14:paraId="05AA9D89"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1DA01B2" w14:textId="77777777" w:rsidR="009E04A1" w:rsidRDefault="00046F7E">
            <w:pPr>
              <w:keepNext/>
              <w:spacing w:after="40"/>
            </w:pPr>
            <w:r>
              <w:rPr>
                <w:b/>
                <w:bCs/>
                <w:color w:val="C9A22B"/>
                <w:sz w:val="17"/>
                <w:szCs w:val="17"/>
              </w:rPr>
              <w:t>FUNDING REQUIRED</w:t>
            </w:r>
          </w:p>
          <w:p w14:paraId="537FEDD8" w14:textId="77777777" w:rsidR="009E04A1" w:rsidRDefault="00046F7E">
            <w:pPr>
              <w:spacing w:before="28" w:after="28"/>
            </w:pPr>
            <w:r>
              <w:rPr>
                <w:color w:val="0F1C2E"/>
                <w:sz w:val="18"/>
                <w:szCs w:val="18"/>
              </w:rPr>
              <w:t xml:space="preserve">•  </w:t>
            </w:r>
            <w:r>
              <w:rPr>
                <w:color w:val="1A1A2E"/>
                <w:sz w:val="18"/>
                <w:szCs w:val="18"/>
              </w:rPr>
              <w:t>Seed round: $1,000,000–$2,500,000</w:t>
            </w:r>
          </w:p>
          <w:p w14:paraId="6DD44BC3" w14:textId="77777777" w:rsidR="009E04A1" w:rsidRDefault="00046F7E">
            <w:pPr>
              <w:spacing w:before="28" w:after="28"/>
            </w:pPr>
            <w:r>
              <w:rPr>
                <w:color w:val="0F1C2E"/>
                <w:sz w:val="18"/>
                <w:szCs w:val="18"/>
              </w:rPr>
              <w:t xml:space="preserve">•  </w:t>
            </w:r>
            <w:r>
              <w:rPr>
                <w:color w:val="1A1A2E"/>
                <w:sz w:val="18"/>
                <w:szCs w:val="18"/>
              </w:rPr>
              <w:t>Use of funds: BaaS integration costs, SOC 2 audit, compliance counsel, first hire, product development</w:t>
            </w:r>
          </w:p>
          <w:p w14:paraId="046B5EF2" w14:textId="77777777" w:rsidR="009E04A1" w:rsidRDefault="00046F7E">
            <w:pPr>
              <w:spacing w:before="28" w:after="28"/>
            </w:pPr>
            <w:r>
              <w:rPr>
                <w:color w:val="0F1C2E"/>
                <w:sz w:val="18"/>
                <w:szCs w:val="18"/>
              </w:rPr>
              <w:t xml:space="preserve">•  </w:t>
            </w:r>
            <w:r>
              <w:rPr>
                <w:color w:val="1A1A2E"/>
                <w:sz w:val="18"/>
                <w:szCs w:val="18"/>
              </w:rPr>
              <w:t>Sources: mission-aligned VCs (Harlem Capital, Fearless Fund, Backstage Capital focus on underrepresented founders), strategic angels from institutional network, CDFI equity funds</w:t>
            </w:r>
          </w:p>
          <w:p w14:paraId="26261AFE" w14:textId="77777777" w:rsidR="009E04A1" w:rsidRDefault="00046F7E">
            <w:pPr>
              <w:spacing w:before="28" w:after="28"/>
            </w:pPr>
            <w:r>
              <w:rPr>
                <w:color w:val="0F1C2E"/>
                <w:sz w:val="18"/>
                <w:szCs w:val="18"/>
              </w:rPr>
              <w:t xml:space="preserve">•  </w:t>
            </w:r>
            <w:r>
              <w:rPr>
                <w:color w:val="1A1A2E"/>
                <w:sz w:val="18"/>
                <w:szCs w:val="18"/>
              </w:rPr>
              <w:t>Note: At this stage, revenue from Phase 1 pilot reduces dilution pressure. Enter seed with proof of institutional revenue, not just product.</w:t>
            </w:r>
          </w:p>
          <w:p w14:paraId="1EE65B24" w14:textId="77777777" w:rsidR="009E04A1" w:rsidRDefault="00046F7E">
            <w:pPr>
              <w:spacing w:before="20"/>
            </w:pPr>
            <w:r>
              <w:rPr>
                <w:i/>
                <w:iCs/>
                <w:color w:val="64748B"/>
                <w:sz w:val="15"/>
                <w:szCs w:val="15"/>
              </w:rPr>
              <w:t>Source: Seed range for FinTech: HES FinTech analysis and Crunchbase 2024 data. Micro-VCs invest $500K–$2M at seed (</w:t>
            </w:r>
            <w:proofErr w:type="spellStart"/>
            <w:proofErr w:type="gramStart"/>
            <w:r>
              <w:rPr>
                <w:i/>
                <w:iCs/>
                <w:color w:val="64748B"/>
                <w:sz w:val="15"/>
                <w:szCs w:val="15"/>
              </w:rPr>
              <w:t>qubit.capital</w:t>
            </w:r>
            <w:proofErr w:type="spellEnd"/>
            <w:proofErr w:type="gramEnd"/>
            <w:r>
              <w:rPr>
                <w:i/>
                <w:iCs/>
                <w:color w:val="64748B"/>
                <w:sz w:val="15"/>
                <w:szCs w:val="15"/>
              </w:rPr>
              <w:t>).</w:t>
            </w:r>
          </w:p>
          <w:p w14:paraId="064337E4" w14:textId="77777777" w:rsidR="009E04A1" w:rsidRDefault="00046F7E">
            <w:pPr>
              <w:spacing w:before="20"/>
            </w:pPr>
            <w:r>
              <w:rPr>
                <w:i/>
                <w:iCs/>
                <w:color w:val="D97706"/>
                <w:sz w:val="15"/>
                <w:szCs w:val="15"/>
              </w:rPr>
              <w:t>Estimated: $1M–$2.5M appropriate for this stage given existing infrastructure and Phase 1 revenue.</w:t>
            </w:r>
          </w:p>
          <w:p w14:paraId="5BC3E810" w14:textId="77777777" w:rsidR="009E04A1" w:rsidRDefault="00046F7E">
            <w:pPr>
              <w:spacing w:before="20"/>
            </w:pPr>
            <w:r>
              <w:rPr>
                <w:i/>
                <w:iCs/>
                <w:color w:val="DC2626"/>
                <w:sz w:val="15"/>
                <w:szCs w:val="15"/>
              </w:rPr>
              <w:t>TBD: Specific investors not yet identified — accelerator cohort from Phase 1 is the sourcing mechanism.</w:t>
            </w:r>
          </w:p>
        </w:tc>
      </w:tr>
      <w:tr w:rsidR="009E04A1" w14:paraId="5BCE1390"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D6A3D93" w14:textId="77777777" w:rsidR="009E04A1" w:rsidRDefault="00046F7E">
            <w:pPr>
              <w:keepNext/>
              <w:spacing w:after="40"/>
            </w:pPr>
            <w:r>
              <w:rPr>
                <w:b/>
                <w:bCs/>
                <w:color w:val="C9A22B"/>
                <w:sz w:val="17"/>
                <w:szCs w:val="17"/>
              </w:rPr>
              <w:t>OUTPUTS PRODUCED</w:t>
            </w:r>
          </w:p>
          <w:p w14:paraId="6FC92211" w14:textId="77777777" w:rsidR="009E04A1" w:rsidRDefault="00046F7E">
            <w:pPr>
              <w:spacing w:before="28" w:after="28"/>
            </w:pPr>
            <w:r>
              <w:rPr>
                <w:color w:val="0F1C2E"/>
                <w:sz w:val="18"/>
                <w:szCs w:val="18"/>
              </w:rPr>
              <w:t xml:space="preserve">•  </w:t>
            </w:r>
            <w:r>
              <w:rPr>
                <w:color w:val="1A1A2E"/>
                <w:sz w:val="18"/>
                <w:szCs w:val="18"/>
              </w:rPr>
              <w:t>BaaS agreement signed — first real banking product capability (accounts, debit, ACH) available under partner charter</w:t>
            </w:r>
          </w:p>
          <w:p w14:paraId="122CD526" w14:textId="77777777" w:rsidR="009E04A1" w:rsidRDefault="00046F7E">
            <w:pPr>
              <w:spacing w:before="28" w:after="28"/>
            </w:pPr>
            <w:r>
              <w:rPr>
                <w:color w:val="0F1C2E"/>
                <w:sz w:val="18"/>
                <w:szCs w:val="18"/>
              </w:rPr>
              <w:t xml:space="preserve">•  </w:t>
            </w:r>
            <w:r>
              <w:rPr>
                <w:color w:val="1A1A2E"/>
                <w:sz w:val="18"/>
                <w:szCs w:val="18"/>
              </w:rPr>
              <w:t>First institutional licensing revenue — documented, recurring</w:t>
            </w:r>
          </w:p>
          <w:p w14:paraId="5CF9C6BB" w14:textId="77777777" w:rsidR="009E04A1" w:rsidRPr="00AF5E3D" w:rsidRDefault="00046F7E">
            <w:pPr>
              <w:spacing w:before="28" w:after="28"/>
              <w:rPr>
                <w:lang w:val="fr-FR"/>
              </w:rPr>
            </w:pPr>
            <w:r w:rsidRPr="00AF5E3D">
              <w:rPr>
                <w:color w:val="0F1C2E"/>
                <w:sz w:val="18"/>
                <w:szCs w:val="18"/>
                <w:lang w:val="fr-FR"/>
              </w:rPr>
              <w:t xml:space="preserve">•  </w:t>
            </w:r>
            <w:r w:rsidRPr="00AF5E3D">
              <w:rPr>
                <w:color w:val="1A1A2E"/>
                <w:sz w:val="18"/>
                <w:szCs w:val="18"/>
                <w:lang w:val="fr-FR"/>
              </w:rPr>
              <w:t xml:space="preserve">SOC 2 Type II certification — </w:t>
            </w:r>
            <w:proofErr w:type="spellStart"/>
            <w:r w:rsidRPr="00AF5E3D">
              <w:rPr>
                <w:color w:val="1A1A2E"/>
                <w:sz w:val="18"/>
                <w:szCs w:val="18"/>
                <w:lang w:val="fr-FR"/>
              </w:rPr>
              <w:t>institutional</w:t>
            </w:r>
            <w:proofErr w:type="spellEnd"/>
            <w:r w:rsidRPr="00AF5E3D">
              <w:rPr>
                <w:color w:val="1A1A2E"/>
                <w:sz w:val="18"/>
                <w:szCs w:val="18"/>
                <w:lang w:val="fr-FR"/>
              </w:rPr>
              <w:t xml:space="preserve"> </w:t>
            </w:r>
            <w:proofErr w:type="spellStart"/>
            <w:r w:rsidRPr="00AF5E3D">
              <w:rPr>
                <w:color w:val="1A1A2E"/>
                <w:sz w:val="18"/>
                <w:szCs w:val="18"/>
                <w:lang w:val="fr-FR"/>
              </w:rPr>
              <w:t>vendor</w:t>
            </w:r>
            <w:proofErr w:type="spellEnd"/>
            <w:r w:rsidRPr="00AF5E3D">
              <w:rPr>
                <w:color w:val="1A1A2E"/>
                <w:sz w:val="18"/>
                <w:szCs w:val="18"/>
                <w:lang w:val="fr-FR"/>
              </w:rPr>
              <w:t xml:space="preserve"> qualification </w:t>
            </w:r>
            <w:proofErr w:type="spellStart"/>
            <w:r w:rsidRPr="00AF5E3D">
              <w:rPr>
                <w:color w:val="1A1A2E"/>
                <w:sz w:val="18"/>
                <w:szCs w:val="18"/>
                <w:lang w:val="fr-FR"/>
              </w:rPr>
              <w:t>complete</w:t>
            </w:r>
            <w:proofErr w:type="spellEnd"/>
          </w:p>
          <w:p w14:paraId="7549C90D" w14:textId="77777777" w:rsidR="009E04A1" w:rsidRDefault="00046F7E">
            <w:pPr>
              <w:spacing w:before="28" w:after="28"/>
            </w:pPr>
            <w:r>
              <w:rPr>
                <w:color w:val="0F1C2E"/>
                <w:sz w:val="18"/>
                <w:szCs w:val="18"/>
              </w:rPr>
              <w:t xml:space="preserve">•  </w:t>
            </w:r>
            <w:r>
              <w:rPr>
                <w:color w:val="1A1A2E"/>
                <w:sz w:val="18"/>
                <w:szCs w:val="18"/>
              </w:rPr>
              <w:t>Consumer product live — real accounts, real guidance, real corpus accumulation begins</w:t>
            </w:r>
          </w:p>
          <w:p w14:paraId="2AB2DEC0" w14:textId="77777777" w:rsidR="009E04A1" w:rsidRDefault="00046F7E">
            <w:pPr>
              <w:spacing w:before="28" w:after="28"/>
            </w:pPr>
            <w:r>
              <w:rPr>
                <w:color w:val="0F1C2E"/>
                <w:sz w:val="18"/>
                <w:szCs w:val="18"/>
              </w:rPr>
              <w:t xml:space="preserve">•  </w:t>
            </w:r>
            <w:r>
              <w:rPr>
                <w:color w:val="1A1A2E"/>
                <w:sz w:val="18"/>
                <w:szCs w:val="18"/>
              </w:rPr>
              <w:t>Powered by [Institutional Partner] designation — either Chase CRA program or Pinnacle direct</w:t>
            </w:r>
          </w:p>
          <w:p w14:paraId="2B183C4D" w14:textId="77777777" w:rsidR="009E04A1" w:rsidRDefault="00046F7E">
            <w:pPr>
              <w:spacing w:before="28" w:after="28"/>
            </w:pPr>
            <w:r>
              <w:rPr>
                <w:color w:val="0F1C2E"/>
                <w:sz w:val="18"/>
                <w:szCs w:val="18"/>
              </w:rPr>
              <w:t xml:space="preserve">•  </w:t>
            </w:r>
            <w:r>
              <w:rPr>
                <w:color w:val="1A1A2E"/>
                <w:sz w:val="18"/>
                <w:szCs w:val="18"/>
              </w:rPr>
              <w:t>Second institutional conversation initiated from Phase 1 credentials</w:t>
            </w:r>
          </w:p>
        </w:tc>
      </w:tr>
    </w:tbl>
    <w:p w14:paraId="0BD160FE" w14:textId="77777777" w:rsidR="009E04A1" w:rsidRDefault="009E04A1">
      <w:pPr>
        <w:spacing w:before="60"/>
      </w:pPr>
    </w:p>
    <w:p w14:paraId="6D962337" w14:textId="77777777" w:rsidR="009E04A1" w:rsidRDefault="009E04A1">
      <w:pPr>
        <w:spacing w:before="10"/>
      </w:pPr>
    </w:p>
    <w:p w14:paraId="7C7B942A" w14:textId="77777777" w:rsidR="003E014E" w:rsidRDefault="003E014E">
      <w:pPr>
        <w:spacing w:before="10"/>
      </w:pPr>
    </w:p>
    <w:p w14:paraId="32857F83" w14:textId="77777777" w:rsidR="003E014E" w:rsidRDefault="003E014E">
      <w:pPr>
        <w:spacing w:before="10"/>
      </w:pPr>
    </w:p>
    <w:p w14:paraId="430D5024" w14:textId="77777777" w:rsidR="003E014E" w:rsidRDefault="003E014E">
      <w:pPr>
        <w:spacing w:before="10"/>
      </w:pPr>
    </w:p>
    <w:p w14:paraId="5009B939" w14:textId="77777777" w:rsidR="003E014E" w:rsidRDefault="003E014E">
      <w:pPr>
        <w:spacing w:before="10"/>
      </w:pPr>
    </w:p>
    <w:p w14:paraId="2BDC5730" w14:textId="77777777" w:rsidR="003E014E" w:rsidRDefault="003E014E">
      <w:pPr>
        <w:spacing w:before="10"/>
      </w:pPr>
    </w:p>
    <w:p w14:paraId="6CC1AB8E" w14:textId="77777777" w:rsidR="003E014E" w:rsidRDefault="003E014E">
      <w:pPr>
        <w:spacing w:before="10"/>
      </w:pPr>
    </w:p>
    <w:p w14:paraId="7D60D433" w14:textId="77777777" w:rsidR="003E014E" w:rsidRDefault="003E014E">
      <w:pPr>
        <w:spacing w:before="10"/>
      </w:pPr>
    </w:p>
    <w:p w14:paraId="1D1A6DC8" w14:textId="77777777" w:rsidR="003E014E" w:rsidRDefault="003E014E">
      <w:pPr>
        <w:spacing w:before="10"/>
      </w:pPr>
    </w:p>
    <w:p w14:paraId="00BCFF39" w14:textId="77777777" w:rsidR="003E014E" w:rsidRDefault="003E014E">
      <w:pPr>
        <w:spacing w:before="10"/>
      </w:pPr>
    </w:p>
    <w:p w14:paraId="760880DB" w14:textId="77777777" w:rsidR="003E014E" w:rsidRDefault="003E014E">
      <w:pPr>
        <w:spacing w:before="10"/>
      </w:pPr>
    </w:p>
    <w:p w14:paraId="3C26AA65" w14:textId="77777777" w:rsidR="003E014E" w:rsidRDefault="003E014E">
      <w:pPr>
        <w:spacing w:before="10"/>
      </w:pPr>
    </w:p>
    <w:p w14:paraId="38CA8AFB" w14:textId="77777777" w:rsidR="003E014E" w:rsidRDefault="003E014E">
      <w:pPr>
        <w:spacing w:before="10"/>
      </w:pPr>
    </w:p>
    <w:p w14:paraId="10905A5C" w14:textId="77777777" w:rsidR="003E014E" w:rsidRDefault="003E014E">
      <w:pPr>
        <w:spacing w:before="10"/>
      </w:pPr>
    </w:p>
    <w:p w14:paraId="1F99B5B7" w14:textId="77777777" w:rsidR="003E014E" w:rsidRDefault="003E014E">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3E014E" w14:paraId="6AD7CD82" w14:textId="77777777" w:rsidTr="002C11B8">
        <w:tblPrEx>
          <w:tblCellMar>
            <w:top w:w="0" w:type="dxa"/>
            <w:bottom w:w="0" w:type="dxa"/>
          </w:tblCellMar>
        </w:tblPrEx>
        <w:trPr>
          <w:cantSplit/>
        </w:trPr>
        <w:tc>
          <w:tcPr>
            <w:tcW w:w="700" w:type="dxa"/>
            <w:tcBorders>
              <w:top w:val="single" w:sz="0" w:space="0" w:color="FFFFFF"/>
              <w:left w:val="single" w:sz="0" w:space="0" w:color="FFFFFF"/>
              <w:bottom w:val="single" w:sz="0" w:space="0" w:color="FFFFFF"/>
              <w:right w:val="single" w:sz="0" w:space="0" w:color="FFFFFF"/>
            </w:tcBorders>
            <w:shd w:val="clear" w:color="auto" w:fill="243B56"/>
            <w:tcMar>
              <w:top w:w="100" w:type="dxa"/>
              <w:left w:w="120" w:type="dxa"/>
              <w:bottom w:w="100" w:type="dxa"/>
              <w:right w:w="120" w:type="dxa"/>
            </w:tcMar>
            <w:vAlign w:val="center"/>
          </w:tcPr>
          <w:p w14:paraId="104E1EE3" w14:textId="77777777" w:rsidR="003E014E" w:rsidRDefault="003E014E" w:rsidP="002C11B8">
            <w:pPr>
              <w:jc w:val="center"/>
            </w:pPr>
            <w:r>
              <w:rPr>
                <w:b/>
                <w:bCs/>
                <w:color w:val="C9A22B"/>
                <w:sz w:val="56"/>
                <w:szCs w:val="56"/>
              </w:rPr>
              <w:lastRenderedPageBreak/>
              <w:t>3</w:t>
            </w:r>
          </w:p>
        </w:tc>
        <w:tc>
          <w:tcPr>
            <w:tcW w:w="0" w:type="auto"/>
            <w:tcBorders>
              <w:top w:val="single" w:sz="0" w:space="0" w:color="FFFFFF"/>
              <w:left w:val="single" w:sz="0" w:space="0" w:color="FFFFFF"/>
              <w:bottom w:val="single" w:sz="0" w:space="0" w:color="FFFFFF"/>
              <w:right w:val="single" w:sz="0" w:space="0" w:color="FFFFFF"/>
            </w:tcBorders>
            <w:shd w:val="clear" w:color="auto" w:fill="243B56"/>
            <w:tcMar>
              <w:top w:w="100" w:type="dxa"/>
              <w:left w:w="140" w:type="dxa"/>
              <w:bottom w:w="100" w:type="dxa"/>
              <w:right w:w="140" w:type="dxa"/>
            </w:tcMar>
          </w:tcPr>
          <w:p w14:paraId="2003AAAE" w14:textId="77777777" w:rsidR="003E014E" w:rsidRDefault="003E014E" w:rsidP="002C11B8">
            <w:pPr>
              <w:keepNext/>
              <w:spacing w:after="20"/>
            </w:pPr>
            <w:r>
              <w:rPr>
                <w:b/>
                <w:bCs/>
                <w:color w:val="FFFFFF"/>
                <w:sz w:val="28"/>
                <w:szCs w:val="28"/>
              </w:rPr>
              <w:t>INSTITUTIONAL SCALE</w:t>
            </w:r>
          </w:p>
          <w:p w14:paraId="47B7A23D" w14:textId="77777777" w:rsidR="003E014E" w:rsidRDefault="003E014E" w:rsidP="002C11B8">
            <w:r>
              <w:rPr>
                <w:color w:val="C9A22B"/>
                <w:sz w:val="17"/>
                <w:szCs w:val="17"/>
              </w:rPr>
              <w:t>2029–</w:t>
            </w:r>
            <w:proofErr w:type="gramStart"/>
            <w:r>
              <w:rPr>
                <w:color w:val="C9A22B"/>
                <w:sz w:val="17"/>
                <w:szCs w:val="17"/>
              </w:rPr>
              <w:t>2031  ·</w:t>
            </w:r>
            <w:proofErr w:type="gramEnd"/>
            <w:r>
              <w:rPr>
                <w:color w:val="C9A22B"/>
                <w:sz w:val="17"/>
                <w:szCs w:val="17"/>
              </w:rPr>
              <w:t xml:space="preserve">  24–36 </w:t>
            </w:r>
            <w:proofErr w:type="gramStart"/>
            <w:r>
              <w:rPr>
                <w:color w:val="C9A22B"/>
                <w:sz w:val="17"/>
                <w:szCs w:val="17"/>
              </w:rPr>
              <w:t>months  ·</w:t>
            </w:r>
            <w:proofErr w:type="gramEnd"/>
            <w:r>
              <w:rPr>
                <w:color w:val="C9A22B"/>
                <w:sz w:val="17"/>
                <w:szCs w:val="17"/>
              </w:rPr>
              <w:t xml:space="preserve">  </w:t>
            </w:r>
            <w:r>
              <w:rPr>
                <w:color w:val="9CA3AF"/>
                <w:sz w:val="17"/>
                <w:szCs w:val="17"/>
              </w:rPr>
              <w:t>Begins when BaaS integration is live and revenue is recurring</w:t>
            </w:r>
          </w:p>
        </w:tc>
      </w:tr>
    </w:tbl>
    <w:p w14:paraId="227226FB" w14:textId="77777777" w:rsidR="003E014E" w:rsidRDefault="003E014E">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1FFD4731"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3D1F1BD" w14:textId="77777777" w:rsidR="009E04A1" w:rsidRDefault="00046F7E">
            <w:pPr>
              <w:keepNext/>
              <w:spacing w:after="40"/>
            </w:pPr>
            <w:r>
              <w:rPr>
                <w:b/>
                <w:bCs/>
                <w:color w:val="C9A22B"/>
                <w:sz w:val="17"/>
                <w:szCs w:val="17"/>
              </w:rPr>
              <w:t>ENTRY CONDITION</w:t>
            </w:r>
          </w:p>
          <w:p w14:paraId="1833A3C6" w14:textId="77777777" w:rsidR="009E04A1" w:rsidRDefault="00046F7E">
            <w:pPr>
              <w:spacing w:before="28" w:after="28"/>
            </w:pPr>
            <w:r>
              <w:rPr>
                <w:color w:val="0F1C2E"/>
                <w:sz w:val="18"/>
                <w:szCs w:val="18"/>
              </w:rPr>
              <w:t xml:space="preserve">•  </w:t>
            </w:r>
            <w:r>
              <w:rPr>
                <w:color w:val="1A1A2E"/>
                <w:sz w:val="18"/>
                <w:szCs w:val="18"/>
              </w:rPr>
              <w:t xml:space="preserve">BaaS integration </w:t>
            </w:r>
            <w:proofErr w:type="gramStart"/>
            <w:r>
              <w:rPr>
                <w:color w:val="1A1A2E"/>
                <w:sz w:val="18"/>
                <w:szCs w:val="18"/>
              </w:rPr>
              <w:t>live</w:t>
            </w:r>
            <w:proofErr w:type="gramEnd"/>
            <w:r>
              <w:rPr>
                <w:color w:val="1A1A2E"/>
                <w:sz w:val="18"/>
                <w:szCs w:val="18"/>
              </w:rPr>
              <w:t xml:space="preserve"> with real consumer accounts</w:t>
            </w:r>
          </w:p>
          <w:p w14:paraId="101E9AAE" w14:textId="77777777" w:rsidR="009E04A1" w:rsidRDefault="00046F7E">
            <w:pPr>
              <w:spacing w:before="28" w:after="28"/>
            </w:pPr>
            <w:r>
              <w:rPr>
                <w:color w:val="0F1C2E"/>
                <w:sz w:val="18"/>
                <w:szCs w:val="18"/>
              </w:rPr>
              <w:t xml:space="preserve">•  </w:t>
            </w:r>
            <w:r>
              <w:rPr>
                <w:color w:val="1A1A2E"/>
                <w:sz w:val="18"/>
                <w:szCs w:val="18"/>
              </w:rPr>
              <w:t>Minimum two institutional licensing relationships generating recurring revenue</w:t>
            </w:r>
          </w:p>
          <w:p w14:paraId="0120BE16" w14:textId="77777777" w:rsidR="009E04A1" w:rsidRDefault="00046F7E">
            <w:pPr>
              <w:spacing w:before="28" w:after="28"/>
            </w:pPr>
            <w:r>
              <w:rPr>
                <w:color w:val="0F1C2E"/>
                <w:sz w:val="18"/>
                <w:szCs w:val="18"/>
              </w:rPr>
              <w:t xml:space="preserve">•  </w:t>
            </w:r>
            <w:r>
              <w:rPr>
                <w:color w:val="1A1A2E"/>
                <w:sz w:val="18"/>
                <w:szCs w:val="18"/>
              </w:rPr>
              <w:t>SOC 2 certified</w:t>
            </w:r>
          </w:p>
          <w:p w14:paraId="6029004C" w14:textId="77777777" w:rsidR="009E04A1" w:rsidRDefault="00046F7E">
            <w:pPr>
              <w:spacing w:before="28" w:after="28"/>
            </w:pPr>
            <w:r>
              <w:rPr>
                <w:color w:val="0F1C2E"/>
                <w:sz w:val="18"/>
                <w:szCs w:val="18"/>
              </w:rPr>
              <w:t xml:space="preserve">•  </w:t>
            </w:r>
            <w:r>
              <w:rPr>
                <w:color w:val="1A1A2E"/>
                <w:sz w:val="18"/>
                <w:szCs w:val="18"/>
              </w:rPr>
              <w:t>Corpus has meaningful data — minimum 500 completed intakes with tracked outcomes</w:t>
            </w:r>
          </w:p>
        </w:tc>
      </w:tr>
      <w:tr w:rsidR="009E04A1" w14:paraId="7F968EB9"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2A0F11A" w14:textId="77777777" w:rsidR="009E04A1" w:rsidRDefault="00046F7E">
            <w:pPr>
              <w:keepNext/>
              <w:spacing w:after="40"/>
            </w:pPr>
            <w:r>
              <w:rPr>
                <w:b/>
                <w:bCs/>
                <w:color w:val="C9A22B"/>
                <w:sz w:val="17"/>
                <w:szCs w:val="17"/>
              </w:rPr>
              <w:t>NECESSARY PARTIES</w:t>
            </w:r>
          </w:p>
          <w:p w14:paraId="034E452C" w14:textId="77777777" w:rsidR="009E04A1" w:rsidRDefault="00046F7E">
            <w:pPr>
              <w:spacing w:before="28" w:after="28"/>
            </w:pPr>
            <w:r>
              <w:rPr>
                <w:color w:val="0F1C2E"/>
                <w:sz w:val="18"/>
                <w:szCs w:val="18"/>
              </w:rPr>
              <w:t xml:space="preserve">•  </w:t>
            </w:r>
            <w:r>
              <w:rPr>
                <w:color w:val="1A1A2E"/>
                <w:sz w:val="18"/>
                <w:szCs w:val="18"/>
              </w:rPr>
              <w:t>Series A institutional investors — FinTech-focused VCs with financial services network. At this stage, 2-5% of seed-funded companies make it to Series A in current environment.</w:t>
            </w:r>
          </w:p>
          <w:p w14:paraId="6CC04A7A" w14:textId="77777777" w:rsidR="009E04A1" w:rsidRDefault="00046F7E">
            <w:pPr>
              <w:spacing w:before="28" w:after="28"/>
            </w:pPr>
            <w:r>
              <w:rPr>
                <w:color w:val="0F1C2E"/>
                <w:sz w:val="18"/>
                <w:szCs w:val="18"/>
              </w:rPr>
              <w:t xml:space="preserve">•  </w:t>
            </w:r>
            <w:r>
              <w:rPr>
                <w:color w:val="1A1A2E"/>
                <w:sz w:val="18"/>
                <w:szCs w:val="18"/>
              </w:rPr>
              <w:t>Multiple institutional partners — not one pilot, a portfolio of institutional relationships</w:t>
            </w:r>
          </w:p>
          <w:p w14:paraId="27F60B95" w14:textId="77777777" w:rsidR="009E04A1" w:rsidRDefault="00046F7E">
            <w:pPr>
              <w:spacing w:before="28" w:after="28"/>
            </w:pPr>
            <w:r>
              <w:rPr>
                <w:color w:val="0F1C2E"/>
                <w:sz w:val="18"/>
                <w:szCs w:val="18"/>
              </w:rPr>
              <w:t xml:space="preserve">•  </w:t>
            </w:r>
            <w:r>
              <w:rPr>
                <w:color w:val="1A1A2E"/>
                <w:sz w:val="18"/>
                <w:szCs w:val="18"/>
              </w:rPr>
              <w:t>Clinical advisor for Recess — Recess Phase 2 activates in parallel if Shadow Rock pilot produced documented outcomes</w:t>
            </w:r>
          </w:p>
          <w:p w14:paraId="252714D8" w14:textId="77777777" w:rsidR="009E04A1" w:rsidRDefault="00046F7E">
            <w:pPr>
              <w:spacing w:before="28" w:after="28"/>
            </w:pPr>
            <w:r>
              <w:rPr>
                <w:color w:val="0F1C2E"/>
                <w:sz w:val="18"/>
                <w:szCs w:val="18"/>
              </w:rPr>
              <w:t xml:space="preserve">•  </w:t>
            </w:r>
            <w:r>
              <w:rPr>
                <w:color w:val="1A1A2E"/>
                <w:sz w:val="18"/>
                <w:szCs w:val="18"/>
              </w:rPr>
              <w:t>Board of directors — governance structure required before Series A in most cases</w:t>
            </w:r>
          </w:p>
          <w:p w14:paraId="67576168" w14:textId="77777777" w:rsidR="009E04A1" w:rsidRDefault="00046F7E">
            <w:pPr>
              <w:spacing w:before="28" w:after="28"/>
            </w:pPr>
            <w:r>
              <w:rPr>
                <w:color w:val="0F1C2E"/>
                <w:sz w:val="18"/>
                <w:szCs w:val="18"/>
              </w:rPr>
              <w:t xml:space="preserve">•  </w:t>
            </w:r>
            <w:r>
              <w:rPr>
                <w:color w:val="1A1A2E"/>
                <w:sz w:val="18"/>
                <w:szCs w:val="18"/>
              </w:rPr>
              <w:t>Data governance counsel — as corpus grows, data licensing regulatory review required</w:t>
            </w:r>
          </w:p>
          <w:p w14:paraId="1E40C2CD" w14:textId="77777777" w:rsidR="009E04A1" w:rsidRDefault="00046F7E">
            <w:pPr>
              <w:spacing w:before="20"/>
            </w:pPr>
            <w:r>
              <w:rPr>
                <w:i/>
                <w:iCs/>
                <w:color w:val="64748B"/>
                <w:sz w:val="15"/>
                <w:szCs w:val="15"/>
              </w:rPr>
              <w:t>Source: Series A conversion rate: only 2-5% of seed companies in 2024 (easyvc.ai). Average Series A: $15.7M (angelinvestorsnetwork.com).</w:t>
            </w:r>
          </w:p>
          <w:p w14:paraId="357DFB27" w14:textId="77777777" w:rsidR="009E04A1" w:rsidRDefault="00046F7E">
            <w:pPr>
              <w:spacing w:before="20"/>
            </w:pPr>
            <w:r>
              <w:rPr>
                <w:i/>
                <w:iCs/>
                <w:color w:val="D97706"/>
                <w:sz w:val="15"/>
                <w:szCs w:val="15"/>
              </w:rPr>
              <w:t>Estimated: Series A: $8M–$15M appropriate for FinTech intelligence platform with documented institutional revenue.</w:t>
            </w:r>
          </w:p>
          <w:p w14:paraId="3D18E85A" w14:textId="77777777" w:rsidR="009E04A1" w:rsidRDefault="00046F7E">
            <w:pPr>
              <w:spacing w:before="20"/>
            </w:pPr>
            <w:r>
              <w:rPr>
                <w:i/>
                <w:iCs/>
                <w:color w:val="DC2626"/>
                <w:sz w:val="15"/>
                <w:szCs w:val="15"/>
              </w:rPr>
              <w:t>TBD: Series A timing depends on Phase 2 revenue trajectory. Cannot be predicted with confidence.</w:t>
            </w:r>
          </w:p>
        </w:tc>
      </w:tr>
      <w:tr w:rsidR="009E04A1" w14:paraId="5CAF4944"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DEE3ABB" w14:textId="77777777" w:rsidR="009E04A1" w:rsidRDefault="00046F7E">
            <w:pPr>
              <w:keepNext/>
              <w:spacing w:after="40"/>
            </w:pPr>
            <w:r>
              <w:rPr>
                <w:b/>
                <w:bCs/>
                <w:color w:val="C9A22B"/>
                <w:sz w:val="17"/>
                <w:szCs w:val="17"/>
              </w:rPr>
              <w:t>OUTPUTS PRODUCED</w:t>
            </w:r>
          </w:p>
          <w:p w14:paraId="474FE496" w14:textId="77777777" w:rsidR="009E04A1" w:rsidRDefault="00046F7E">
            <w:pPr>
              <w:spacing w:before="28" w:after="28"/>
            </w:pPr>
            <w:r>
              <w:rPr>
                <w:color w:val="0F1C2E"/>
                <w:sz w:val="18"/>
                <w:szCs w:val="18"/>
              </w:rPr>
              <w:t xml:space="preserve">•  </w:t>
            </w:r>
            <w:r>
              <w:rPr>
                <w:color w:val="1A1A2E"/>
                <w:sz w:val="18"/>
                <w:szCs w:val="18"/>
              </w:rPr>
              <w:t>Series A closed — team, product, and infrastructure scaled</w:t>
            </w:r>
          </w:p>
          <w:p w14:paraId="5F01215C" w14:textId="77777777" w:rsidR="009E04A1" w:rsidRDefault="00046F7E">
            <w:pPr>
              <w:spacing w:before="28" w:after="28"/>
            </w:pPr>
            <w:r>
              <w:rPr>
                <w:color w:val="0F1C2E"/>
                <w:sz w:val="18"/>
                <w:szCs w:val="18"/>
              </w:rPr>
              <w:t xml:space="preserve">•  </w:t>
            </w:r>
            <w:r>
              <w:rPr>
                <w:color w:val="1A1A2E"/>
                <w:sz w:val="18"/>
                <w:szCs w:val="18"/>
              </w:rPr>
              <w:t xml:space="preserve">Three or more institutional licensing relationships </w:t>
            </w:r>
            <w:proofErr w:type="gramStart"/>
            <w:r>
              <w:rPr>
                <w:color w:val="1A1A2E"/>
                <w:sz w:val="18"/>
                <w:szCs w:val="18"/>
              </w:rPr>
              <w:t>active</w:t>
            </w:r>
            <w:proofErr w:type="gramEnd"/>
          </w:p>
          <w:p w14:paraId="4969C294" w14:textId="77777777" w:rsidR="009E04A1" w:rsidRDefault="00046F7E">
            <w:pPr>
              <w:spacing w:before="28" w:after="28"/>
            </w:pPr>
            <w:r>
              <w:rPr>
                <w:color w:val="0F1C2E"/>
                <w:sz w:val="18"/>
                <w:szCs w:val="18"/>
              </w:rPr>
              <w:t xml:space="preserve">•  </w:t>
            </w:r>
            <w:r>
              <w:rPr>
                <w:color w:val="1A1A2E"/>
                <w:sz w:val="18"/>
                <w:szCs w:val="18"/>
              </w:rPr>
              <w:t>Data licensing framework approved by counsel — corpus intelligence available for research licensing</w:t>
            </w:r>
          </w:p>
          <w:p w14:paraId="795A80C7" w14:textId="77777777" w:rsidR="009E04A1" w:rsidRDefault="00046F7E">
            <w:pPr>
              <w:spacing w:before="28" w:after="28"/>
            </w:pPr>
            <w:r>
              <w:rPr>
                <w:color w:val="0F1C2E"/>
                <w:sz w:val="18"/>
                <w:szCs w:val="18"/>
              </w:rPr>
              <w:t xml:space="preserve">•  </w:t>
            </w:r>
            <w:r>
              <w:rPr>
                <w:color w:val="1A1A2E"/>
                <w:sz w:val="18"/>
                <w:szCs w:val="18"/>
              </w:rPr>
              <w:t>WayPoint product tiers active — Core, Edge, Renaissance, Crown differentiated by client profile</w:t>
            </w:r>
          </w:p>
          <w:p w14:paraId="200B4A68" w14:textId="77777777" w:rsidR="009E04A1" w:rsidRDefault="00046F7E">
            <w:pPr>
              <w:spacing w:before="28" w:after="28"/>
            </w:pPr>
            <w:r>
              <w:rPr>
                <w:color w:val="0F1C2E"/>
                <w:sz w:val="18"/>
                <w:szCs w:val="18"/>
              </w:rPr>
              <w:t xml:space="preserve">•  </w:t>
            </w:r>
            <w:r>
              <w:rPr>
                <w:color w:val="1A1A2E"/>
                <w:sz w:val="18"/>
                <w:szCs w:val="18"/>
              </w:rPr>
              <w:t>Recess Phase 2 pilot expansion (if Phase 1 documented outcomes)</w:t>
            </w:r>
          </w:p>
          <w:p w14:paraId="6C3231D9" w14:textId="77777777" w:rsidR="009E04A1" w:rsidRDefault="00046F7E">
            <w:pPr>
              <w:spacing w:before="28" w:after="28"/>
            </w:pPr>
            <w:r>
              <w:rPr>
                <w:color w:val="0F1C2E"/>
                <w:sz w:val="18"/>
                <w:szCs w:val="18"/>
              </w:rPr>
              <w:t xml:space="preserve">•  </w:t>
            </w:r>
            <w:r>
              <w:rPr>
                <w:color w:val="1A1A2E"/>
                <w:sz w:val="18"/>
                <w:szCs w:val="18"/>
              </w:rPr>
              <w:t>First government or policy intelligence engagement</w:t>
            </w:r>
          </w:p>
        </w:tc>
      </w:tr>
    </w:tbl>
    <w:p w14:paraId="4B9AA439" w14:textId="77777777" w:rsidR="009E04A1" w:rsidRDefault="009E0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9E04A1" w14:paraId="6D8C9E05" w14:textId="77777777">
        <w:tblPrEx>
          <w:tblCellMar>
            <w:top w:w="0" w:type="dxa"/>
            <w:bottom w:w="0" w:type="dxa"/>
          </w:tblCellMar>
        </w:tblPrEx>
        <w:trPr>
          <w:cantSplit/>
        </w:trPr>
        <w:tc>
          <w:tcPr>
            <w:tcW w:w="700" w:type="dxa"/>
            <w:tcBorders>
              <w:top w:val="single" w:sz="0" w:space="0" w:color="FFFFFF"/>
              <w:left w:val="single" w:sz="0" w:space="0" w:color="FFFFFF"/>
              <w:bottom w:val="single" w:sz="0" w:space="0" w:color="FFFFFF"/>
              <w:right w:val="single" w:sz="0" w:space="0" w:color="FFFFFF"/>
            </w:tcBorders>
            <w:shd w:val="clear" w:color="auto" w:fill="2D4A6B"/>
            <w:tcMar>
              <w:top w:w="100" w:type="dxa"/>
              <w:left w:w="120" w:type="dxa"/>
              <w:bottom w:w="100" w:type="dxa"/>
              <w:right w:w="120" w:type="dxa"/>
            </w:tcMar>
            <w:vAlign w:val="center"/>
          </w:tcPr>
          <w:p w14:paraId="069AF57A" w14:textId="77777777" w:rsidR="009E04A1" w:rsidRDefault="00046F7E">
            <w:pPr>
              <w:jc w:val="center"/>
            </w:pPr>
            <w:r>
              <w:rPr>
                <w:b/>
                <w:bCs/>
                <w:color w:val="C9A22B"/>
                <w:sz w:val="56"/>
                <w:szCs w:val="56"/>
              </w:rPr>
              <w:t>4</w:t>
            </w:r>
          </w:p>
        </w:tc>
        <w:tc>
          <w:tcPr>
            <w:tcW w:w="0" w:type="auto"/>
            <w:tcBorders>
              <w:top w:val="single" w:sz="0" w:space="0" w:color="FFFFFF"/>
              <w:left w:val="single" w:sz="0" w:space="0" w:color="FFFFFF"/>
              <w:bottom w:val="single" w:sz="0" w:space="0" w:color="FFFFFF"/>
              <w:right w:val="single" w:sz="0" w:space="0" w:color="FFFFFF"/>
            </w:tcBorders>
            <w:shd w:val="clear" w:color="auto" w:fill="2D4A6B"/>
            <w:tcMar>
              <w:top w:w="100" w:type="dxa"/>
              <w:left w:w="140" w:type="dxa"/>
              <w:bottom w:w="100" w:type="dxa"/>
              <w:right w:w="140" w:type="dxa"/>
            </w:tcMar>
          </w:tcPr>
          <w:p w14:paraId="01C809D6" w14:textId="77777777" w:rsidR="009E04A1" w:rsidRDefault="00046F7E">
            <w:pPr>
              <w:keepNext/>
              <w:spacing w:after="20"/>
            </w:pPr>
            <w:r>
              <w:rPr>
                <w:b/>
                <w:bCs/>
                <w:color w:val="FFFFFF"/>
                <w:sz w:val="28"/>
                <w:szCs w:val="28"/>
              </w:rPr>
              <w:t>INFRASTRUCTURE POSITION</w:t>
            </w:r>
          </w:p>
          <w:p w14:paraId="722E1947" w14:textId="77777777" w:rsidR="009E04A1" w:rsidRDefault="00046F7E">
            <w:r>
              <w:rPr>
                <w:color w:val="C9A22B"/>
                <w:sz w:val="17"/>
                <w:szCs w:val="17"/>
              </w:rPr>
              <w:t xml:space="preserve">2031 and </w:t>
            </w:r>
            <w:proofErr w:type="gramStart"/>
            <w:r>
              <w:rPr>
                <w:color w:val="C9A22B"/>
                <w:sz w:val="17"/>
                <w:szCs w:val="17"/>
              </w:rPr>
              <w:t>beyond  ·</w:t>
            </w:r>
            <w:proofErr w:type="gramEnd"/>
            <w:r>
              <w:rPr>
                <w:color w:val="C9A22B"/>
                <w:sz w:val="17"/>
                <w:szCs w:val="17"/>
              </w:rPr>
              <w:t xml:space="preserve">  </w:t>
            </w:r>
            <w:r>
              <w:rPr>
                <w:color w:val="9CA3AF"/>
                <w:sz w:val="17"/>
                <w:szCs w:val="17"/>
              </w:rPr>
              <w:t>The Rockefeller position — built, not declared</w:t>
            </w:r>
          </w:p>
        </w:tc>
      </w:tr>
    </w:tbl>
    <w:p w14:paraId="469725DE" w14:textId="77777777" w:rsidR="009E04A1" w:rsidRDefault="009E04A1">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4330FD52"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F949FD3" w14:textId="77777777" w:rsidR="009E04A1" w:rsidRDefault="00046F7E">
            <w:pPr>
              <w:keepNext/>
              <w:spacing w:after="40"/>
            </w:pPr>
            <w:r>
              <w:rPr>
                <w:b/>
                <w:bCs/>
                <w:color w:val="C9A22B"/>
                <w:sz w:val="17"/>
                <w:szCs w:val="17"/>
              </w:rPr>
              <w:t>WHAT THIS PHASE IS</w:t>
            </w:r>
          </w:p>
          <w:p w14:paraId="73C423E3" w14:textId="77777777" w:rsidR="009E04A1" w:rsidRDefault="00046F7E">
            <w:pPr>
              <w:spacing w:before="28" w:after="28"/>
            </w:pPr>
            <w:r>
              <w:rPr>
                <w:color w:val="0F1C2E"/>
                <w:sz w:val="18"/>
                <w:szCs w:val="18"/>
              </w:rPr>
              <w:t xml:space="preserve">•  </w:t>
            </w:r>
            <w:r>
              <w:rPr>
                <w:color w:val="1A1A2E"/>
                <w:sz w:val="18"/>
                <w:szCs w:val="18"/>
              </w:rPr>
              <w:t>The infrastructure position is not a milestone. It is a condition that exists when the corpus, the institutional relationships, and the governed AI architecture have compounded to the point where no new market entrant can replicate the system without starting over from zero.</w:t>
            </w:r>
          </w:p>
          <w:p w14:paraId="46A1AB2F" w14:textId="77777777" w:rsidR="009E04A1" w:rsidRDefault="00046F7E">
            <w:pPr>
              <w:spacing w:before="28" w:after="28"/>
            </w:pPr>
            <w:r>
              <w:rPr>
                <w:color w:val="0F1C2E"/>
                <w:sz w:val="18"/>
                <w:szCs w:val="18"/>
              </w:rPr>
              <w:t xml:space="preserve">•  </w:t>
            </w:r>
            <w:r>
              <w:rPr>
                <w:color w:val="1A1A2E"/>
                <w:sz w:val="18"/>
                <w:szCs w:val="18"/>
              </w:rPr>
              <w:t>This phase is not planned. It is earned through Phase 0 through Phase 3 executed with discipline.</w:t>
            </w:r>
          </w:p>
        </w:tc>
      </w:tr>
      <w:tr w:rsidR="009E04A1" w14:paraId="403A87F8" w14:textId="77777777">
        <w:tblPrEx>
          <w:tblCellMar>
            <w:top w:w="0" w:type="dxa"/>
            <w:bottom w:w="0" w:type="dxa"/>
          </w:tblCellMar>
        </w:tblPrEx>
        <w:trPr>
          <w:cantSplit/>
        </w:trPr>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973050F" w14:textId="77777777" w:rsidR="009E04A1" w:rsidRDefault="00046F7E">
            <w:pPr>
              <w:keepNext/>
              <w:spacing w:after="40"/>
            </w:pPr>
            <w:r>
              <w:rPr>
                <w:b/>
                <w:bCs/>
                <w:color w:val="C9A22B"/>
                <w:sz w:val="17"/>
                <w:szCs w:val="17"/>
              </w:rPr>
              <w:t>WHAT THE INFRASTRUCTURE POSITION LOOKS LIKE</w:t>
            </w:r>
          </w:p>
          <w:p w14:paraId="5C95FB38" w14:textId="77777777" w:rsidR="009E04A1" w:rsidRDefault="00046F7E">
            <w:pPr>
              <w:spacing w:before="28" w:after="28"/>
            </w:pPr>
            <w:r>
              <w:rPr>
                <w:color w:val="0F1C2E"/>
                <w:sz w:val="18"/>
                <w:szCs w:val="18"/>
              </w:rPr>
              <w:t xml:space="preserve">•  </w:t>
            </w:r>
            <w:r>
              <w:rPr>
                <w:color w:val="1A1A2E"/>
                <w:sz w:val="18"/>
                <w:szCs w:val="18"/>
              </w:rPr>
              <w:t>Every institution that wants to serve underserved markets profitably with CRA defensibility either builds what Meridia is — which requires the corpus, the trust layer, and the governed AI architecture Meridia spent a decade developing — or they come through Meridia.</w:t>
            </w:r>
          </w:p>
          <w:p w14:paraId="00D38D55" w14:textId="77777777" w:rsidR="009E04A1" w:rsidRDefault="00046F7E">
            <w:pPr>
              <w:spacing w:before="28" w:after="28"/>
            </w:pPr>
            <w:r>
              <w:rPr>
                <w:color w:val="0F1C2E"/>
                <w:sz w:val="18"/>
                <w:szCs w:val="18"/>
              </w:rPr>
              <w:t xml:space="preserve">•  </w:t>
            </w:r>
            <w:r>
              <w:rPr>
                <w:color w:val="1A1A2E"/>
                <w:sz w:val="18"/>
                <w:szCs w:val="18"/>
              </w:rPr>
              <w:t>The corpus is producing data licensing revenue from research institutions, policy bodies, and government agencies that cannot be obtained anywhere else.</w:t>
            </w:r>
          </w:p>
          <w:p w14:paraId="4EE19E44" w14:textId="77777777" w:rsidR="009E04A1" w:rsidRDefault="00046F7E">
            <w:pPr>
              <w:spacing w:before="28" w:after="28"/>
            </w:pPr>
            <w:r>
              <w:rPr>
                <w:color w:val="0F1C2E"/>
                <w:sz w:val="18"/>
                <w:szCs w:val="18"/>
              </w:rPr>
              <w:t xml:space="preserve">•  </w:t>
            </w:r>
            <w:r>
              <w:rPr>
                <w:color w:val="1A1A2E"/>
                <w:sz w:val="18"/>
                <w:szCs w:val="18"/>
              </w:rPr>
              <w:t>The bilateral read is processing thousands of intakes simultaneously, producing institutional intelligence at a scale no human advisor network can replicate.</w:t>
            </w:r>
          </w:p>
          <w:p w14:paraId="40816CDF" w14:textId="77777777" w:rsidR="009E04A1" w:rsidRDefault="00046F7E">
            <w:pPr>
              <w:spacing w:before="28" w:after="28"/>
            </w:pPr>
            <w:r>
              <w:rPr>
                <w:color w:val="0F1C2E"/>
                <w:sz w:val="18"/>
                <w:szCs w:val="18"/>
              </w:rPr>
              <w:t xml:space="preserve">•  </w:t>
            </w:r>
            <w:r>
              <w:rPr>
                <w:color w:val="1A1A2E"/>
                <w:sz w:val="18"/>
                <w:szCs w:val="18"/>
              </w:rPr>
              <w:t>Multiple BaaS relationships are live — Meridia is not dependent on any single chartered partner.</w:t>
            </w:r>
          </w:p>
        </w:tc>
      </w:tr>
    </w:tbl>
    <w:p w14:paraId="207F1095" w14:textId="77777777" w:rsidR="009E04A1" w:rsidRDefault="00046F7E">
      <w:pPr>
        <w:keepNext/>
        <w:pageBreakBefore/>
        <w:pBdr>
          <w:bottom w:val="single" w:sz="6" w:space="4" w:color="C9A22B"/>
        </w:pBdr>
        <w:spacing w:after="100"/>
      </w:pPr>
      <w:r>
        <w:rPr>
          <w:b/>
          <w:bCs/>
          <w:color w:val="0F1C2E"/>
          <w:sz w:val="38"/>
          <w:szCs w:val="38"/>
        </w:rPr>
        <w:lastRenderedPageBreak/>
        <w:t>SECTION 4 — MATERIAL RISKS</w:t>
      </w:r>
    </w:p>
    <w:p w14:paraId="45ABF5A7" w14:textId="77777777" w:rsidR="009E04A1" w:rsidRDefault="00046F7E">
      <w:pPr>
        <w:spacing w:before="50" w:after="50"/>
      </w:pPr>
      <w:r>
        <w:rPr>
          <w:color w:val="1A1A2E"/>
        </w:rPr>
        <w:t xml:space="preserve">These risks are stated without softening. Each one is real and </w:t>
      </w:r>
      <w:proofErr w:type="gramStart"/>
      <w:r>
        <w:rPr>
          <w:color w:val="1A1A2E"/>
        </w:rPr>
        <w:t>has to</w:t>
      </w:r>
      <w:proofErr w:type="gramEnd"/>
      <w:r>
        <w:rPr>
          <w:color w:val="1A1A2E"/>
        </w:rPr>
        <w:t xml:space="preserve"> be addressed directly in the Andre conversation, not minimized.</w:t>
      </w:r>
    </w:p>
    <w:p w14:paraId="70FBD31E" w14:textId="77777777" w:rsidR="009E04A1" w:rsidRDefault="009E0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7269A4B9" w14:textId="77777777">
        <w:tblPrEx>
          <w:tblCellMar>
            <w:top w:w="0" w:type="dxa"/>
            <w:bottom w:w="0" w:type="dxa"/>
          </w:tblCellMar>
        </w:tblPrEx>
        <w:trPr>
          <w:cantSplit/>
        </w:trPr>
        <w:tc>
          <w:tcPr>
            <w:tcW w:w="0" w:type="auto"/>
            <w:tcBorders>
              <w:top w:val="single" w:sz="6" w:space="0" w:color="DC2626"/>
              <w:left w:val="single" w:sz="6" w:space="0" w:color="DC2626"/>
              <w:bottom w:val="single" w:sz="6" w:space="0" w:color="DC2626"/>
              <w:right w:val="single" w:sz="6" w:space="0" w:color="DC2626"/>
            </w:tcBorders>
            <w:shd w:val="clear" w:color="auto" w:fill="F8F9FA"/>
            <w:tcMar>
              <w:top w:w="110" w:type="dxa"/>
              <w:left w:w="180" w:type="dxa"/>
              <w:bottom w:w="110" w:type="dxa"/>
              <w:right w:w="180" w:type="dxa"/>
            </w:tcMar>
          </w:tcPr>
          <w:p w14:paraId="07DF22BC" w14:textId="77777777" w:rsidR="009E04A1" w:rsidRDefault="00046F7E">
            <w:pPr>
              <w:keepNext/>
              <w:spacing w:after="50"/>
            </w:pPr>
            <w:r>
              <w:rPr>
                <w:b/>
                <w:bCs/>
                <w:color w:val="DC2626"/>
              </w:rPr>
              <w:t>RISK 1 — THE BAAS ENTRY BAR HAS RISEN SIGNIFICANTLY POST-SYNAPSE</w:t>
            </w:r>
          </w:p>
          <w:p w14:paraId="16442B17" w14:textId="77777777" w:rsidR="009E04A1" w:rsidRDefault="00046F7E">
            <w:pPr>
              <w:spacing w:before="30" w:after="30"/>
            </w:pPr>
            <w:r>
              <w:rPr>
                <w:color w:val="DC2626"/>
              </w:rPr>
              <w:t xml:space="preserve">•  </w:t>
            </w:r>
            <w:r>
              <w:rPr>
                <w:color w:val="1A1A2E"/>
              </w:rPr>
              <w:t xml:space="preserve">Unit and </w:t>
            </w:r>
            <w:proofErr w:type="spellStart"/>
            <w:r>
              <w:rPr>
                <w:color w:val="1A1A2E"/>
              </w:rPr>
              <w:t>Synctera</w:t>
            </w:r>
            <w:proofErr w:type="spellEnd"/>
            <w:r>
              <w:rPr>
                <w:color w:val="1A1A2E"/>
              </w:rPr>
              <w:t>, the most accessible BaaS providers, are now primarily working with Series C+ companies. Early-stage startups face significantly higher scrutiny.</w:t>
            </w:r>
          </w:p>
          <w:p w14:paraId="5035CBF3" w14:textId="77777777" w:rsidR="009E04A1" w:rsidRDefault="00046F7E">
            <w:pPr>
              <w:spacing w:before="30" w:after="30"/>
            </w:pPr>
            <w:r>
              <w:rPr>
                <w:color w:val="DC2626"/>
              </w:rPr>
              <w:t xml:space="preserve">•  </w:t>
            </w:r>
            <w:r>
              <w:rPr>
                <w:color w:val="1A1A2E"/>
              </w:rPr>
              <w:t>SOURCE: American Banker, May 2024 — 'Banking-as-a-Service Middleware is Going Direct.'</w:t>
            </w:r>
          </w:p>
          <w:p w14:paraId="3ADE04C4" w14:textId="77777777" w:rsidR="009E04A1" w:rsidRDefault="00046F7E">
            <w:pPr>
              <w:spacing w:before="30" w:after="30"/>
            </w:pPr>
            <w:r>
              <w:rPr>
                <w:color w:val="DC2626"/>
              </w:rPr>
              <w:t xml:space="preserve">•  </w:t>
            </w:r>
            <w:r>
              <w:rPr>
                <w:color w:val="1A1A2E"/>
              </w:rPr>
              <w:t>Mitigation: An institutional co-sponsor (Andre at JPMC, Aaron at Pinnacle) changes the quality of the BaaS conversation materially. Column Bank is a more accessible direct partner. The attorney and compliance framework must be complete before any BaaS conversation begins.</w:t>
            </w:r>
          </w:p>
        </w:tc>
      </w:tr>
    </w:tbl>
    <w:p w14:paraId="59E13F06" w14:textId="77777777" w:rsidR="009E04A1" w:rsidRDefault="009E04A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0816648C" w14:textId="77777777">
        <w:tblPrEx>
          <w:tblCellMar>
            <w:top w:w="0" w:type="dxa"/>
            <w:bottom w:w="0" w:type="dxa"/>
          </w:tblCellMar>
        </w:tblPrEx>
        <w:trPr>
          <w:cantSplit/>
        </w:trPr>
        <w:tc>
          <w:tcPr>
            <w:tcW w:w="0" w:type="auto"/>
            <w:tcBorders>
              <w:top w:val="single" w:sz="6" w:space="0" w:color="DC2626"/>
              <w:left w:val="single" w:sz="6" w:space="0" w:color="DC2626"/>
              <w:bottom w:val="single" w:sz="6" w:space="0" w:color="DC2626"/>
              <w:right w:val="single" w:sz="6" w:space="0" w:color="DC2626"/>
            </w:tcBorders>
            <w:shd w:val="clear" w:color="auto" w:fill="F8F9FA"/>
            <w:tcMar>
              <w:top w:w="110" w:type="dxa"/>
              <w:left w:w="180" w:type="dxa"/>
              <w:bottom w:w="110" w:type="dxa"/>
              <w:right w:w="180" w:type="dxa"/>
            </w:tcMar>
          </w:tcPr>
          <w:p w14:paraId="313B9FB9" w14:textId="77777777" w:rsidR="009E04A1" w:rsidRDefault="00046F7E">
            <w:pPr>
              <w:keepNext/>
              <w:spacing w:after="50"/>
            </w:pPr>
            <w:r>
              <w:rPr>
                <w:b/>
                <w:bCs/>
                <w:color w:val="DC2626"/>
              </w:rPr>
              <w:t>RISK 2 — CRA REGULATORY ROLLBACK WEAKENS ONE PILLAR OF THE INSTITUTIONAL VALUE PROPOSITION</w:t>
            </w:r>
          </w:p>
          <w:p w14:paraId="576B4E2D" w14:textId="77777777" w:rsidR="009E04A1" w:rsidRDefault="00046F7E">
            <w:pPr>
              <w:spacing w:before="30" w:after="30"/>
            </w:pPr>
            <w:r>
              <w:rPr>
                <w:color w:val="DC2626"/>
              </w:rPr>
              <w:t xml:space="preserve">•  </w:t>
            </w:r>
            <w:r>
              <w:rPr>
                <w:color w:val="1A1A2E"/>
              </w:rPr>
              <w:t>The 2023 CRA Final Rule modernization is being proposed for rescission as of March 2025, reverting to 1995 rules that base CRA assessment on physical branch locations rather than digital footprint.</w:t>
            </w:r>
          </w:p>
          <w:p w14:paraId="4AA3099C" w14:textId="77777777" w:rsidR="009E04A1" w:rsidRDefault="00046F7E">
            <w:pPr>
              <w:spacing w:before="30" w:after="30"/>
            </w:pPr>
            <w:r>
              <w:rPr>
                <w:color w:val="DC2626"/>
              </w:rPr>
              <w:t xml:space="preserve">•  </w:t>
            </w:r>
            <w:r>
              <w:rPr>
                <w:color w:val="1A1A2E"/>
              </w:rPr>
              <w:t>SOURCE: OCC Bulletin 2025-5, March 28, 2025.</w:t>
            </w:r>
          </w:p>
          <w:p w14:paraId="6BB489C6" w14:textId="77777777" w:rsidR="009E04A1" w:rsidRDefault="00046F7E">
            <w:pPr>
              <w:spacing w:before="30" w:after="30"/>
            </w:pPr>
            <w:r>
              <w:rPr>
                <w:color w:val="DC2626"/>
              </w:rPr>
              <w:t xml:space="preserve">•  </w:t>
            </w:r>
            <w:r>
              <w:rPr>
                <w:color w:val="1A1A2E"/>
              </w:rPr>
              <w:t xml:space="preserve">Mitigation: The CRA argument remains valid for Chase's physical branch network. The heat map </w:t>
            </w:r>
            <w:proofErr w:type="gramStart"/>
            <w:r>
              <w:rPr>
                <w:color w:val="1A1A2E"/>
              </w:rPr>
              <w:t>targeting</w:t>
            </w:r>
            <w:proofErr w:type="gramEnd"/>
            <w:r>
              <w:rPr>
                <w:color w:val="1A1A2E"/>
              </w:rPr>
              <w:t xml:space="preserve"> refocuses on physical assessment areas. The institutional intelligence value proposition (qualified pipeline, behavioral read, deal flow) does not depend on CRA framing at all.</w:t>
            </w:r>
          </w:p>
        </w:tc>
      </w:tr>
    </w:tbl>
    <w:p w14:paraId="5E1C0CD3" w14:textId="77777777" w:rsidR="009E04A1" w:rsidRDefault="009E04A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5FDB7870" w14:textId="77777777">
        <w:tblPrEx>
          <w:tblCellMar>
            <w:top w:w="0" w:type="dxa"/>
            <w:bottom w:w="0" w:type="dxa"/>
          </w:tblCellMar>
        </w:tblPrEx>
        <w:trPr>
          <w:cantSplit/>
        </w:trPr>
        <w:tc>
          <w:tcPr>
            <w:tcW w:w="0" w:type="auto"/>
            <w:tcBorders>
              <w:top w:val="single" w:sz="6" w:space="0" w:color="DC2626"/>
              <w:left w:val="single" w:sz="6" w:space="0" w:color="DC2626"/>
              <w:bottom w:val="single" w:sz="6" w:space="0" w:color="DC2626"/>
              <w:right w:val="single" w:sz="6" w:space="0" w:color="DC2626"/>
            </w:tcBorders>
            <w:shd w:val="clear" w:color="auto" w:fill="F8F9FA"/>
            <w:tcMar>
              <w:top w:w="110" w:type="dxa"/>
              <w:left w:w="180" w:type="dxa"/>
              <w:bottom w:w="110" w:type="dxa"/>
              <w:right w:w="180" w:type="dxa"/>
            </w:tcMar>
          </w:tcPr>
          <w:p w14:paraId="7524DCCE" w14:textId="77777777" w:rsidR="009E04A1" w:rsidRDefault="00046F7E">
            <w:pPr>
              <w:keepNext/>
              <w:spacing w:after="50"/>
            </w:pPr>
            <w:r>
              <w:rPr>
                <w:b/>
                <w:bCs/>
                <w:color w:val="DC2626"/>
              </w:rPr>
              <w:t>RISK 3 — THE ACQUISITION RISK IS REAL WITHOUT BAAS INTEGRATION</w:t>
            </w:r>
          </w:p>
          <w:p w14:paraId="2237C918" w14:textId="77777777" w:rsidR="009E04A1" w:rsidRDefault="00046F7E">
            <w:pPr>
              <w:spacing w:before="30" w:after="30"/>
            </w:pPr>
            <w:r>
              <w:rPr>
                <w:color w:val="DC2626"/>
              </w:rPr>
              <w:t xml:space="preserve">•  </w:t>
            </w:r>
            <w:r>
              <w:rPr>
                <w:color w:val="1A1A2E"/>
              </w:rPr>
              <w:t>A referral engine with good data gets acquired. An intelligence infrastructure with BaaS integration and a governed corpus gets partnered with. Without BaaS, JPMC can acquire the referral engine before the infrastructure position is established.</w:t>
            </w:r>
          </w:p>
          <w:p w14:paraId="512A53BE" w14:textId="77777777" w:rsidR="009E04A1" w:rsidRDefault="00046F7E">
            <w:pPr>
              <w:spacing w:before="30" w:after="30"/>
            </w:pPr>
            <w:r>
              <w:rPr>
                <w:color w:val="DC2626"/>
              </w:rPr>
              <w:t xml:space="preserve">•  </w:t>
            </w:r>
            <w:r>
              <w:rPr>
                <w:color w:val="1A1A2E"/>
              </w:rPr>
              <w:t>Mitigation: Phase 0 and Phase 1 move as fast as attorney review and institutional response allows. The BaaS conversation begins in Phase 1 — not Phase 2.</w:t>
            </w:r>
          </w:p>
        </w:tc>
      </w:tr>
    </w:tbl>
    <w:p w14:paraId="01A8476B" w14:textId="77777777" w:rsidR="009E04A1" w:rsidRDefault="009E04A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43C34A2D" w14:textId="77777777">
        <w:tblPrEx>
          <w:tblCellMar>
            <w:top w:w="0" w:type="dxa"/>
            <w:bottom w:w="0" w:type="dxa"/>
          </w:tblCellMar>
        </w:tblPrEx>
        <w:trPr>
          <w:cantSplit/>
        </w:trPr>
        <w:tc>
          <w:tcPr>
            <w:tcW w:w="0" w:type="auto"/>
            <w:tcBorders>
              <w:top w:val="single" w:sz="6" w:space="0" w:color="D97706"/>
              <w:left w:val="single" w:sz="6" w:space="0" w:color="D97706"/>
              <w:bottom w:val="single" w:sz="6" w:space="0" w:color="D97706"/>
              <w:right w:val="single" w:sz="6" w:space="0" w:color="D97706"/>
            </w:tcBorders>
            <w:shd w:val="clear" w:color="auto" w:fill="F8F9FA"/>
            <w:tcMar>
              <w:top w:w="110" w:type="dxa"/>
              <w:left w:w="180" w:type="dxa"/>
              <w:bottom w:w="110" w:type="dxa"/>
              <w:right w:w="180" w:type="dxa"/>
            </w:tcMar>
          </w:tcPr>
          <w:p w14:paraId="2FC88879" w14:textId="77777777" w:rsidR="009E04A1" w:rsidRDefault="00046F7E">
            <w:pPr>
              <w:keepNext/>
              <w:spacing w:after="50"/>
            </w:pPr>
            <w:r>
              <w:rPr>
                <w:b/>
                <w:bCs/>
                <w:color w:val="D97706"/>
              </w:rPr>
              <w:t>RISK 4 — EXPLAINABILITY REQUIREMENTS WILL APPLY TO MERIDIA'S AI OUTPUTS</w:t>
            </w:r>
          </w:p>
          <w:p w14:paraId="3B285111" w14:textId="77777777" w:rsidR="009E04A1" w:rsidRDefault="00046F7E">
            <w:pPr>
              <w:spacing w:before="30" w:after="30"/>
            </w:pPr>
            <w:r>
              <w:rPr>
                <w:color w:val="D97706"/>
              </w:rPr>
              <w:t xml:space="preserve">•  </w:t>
            </w:r>
            <w:r>
              <w:rPr>
                <w:color w:val="1A1A2E"/>
              </w:rPr>
              <w:t xml:space="preserve">If Meridia's guidance </w:t>
            </w:r>
            <w:proofErr w:type="gramStart"/>
            <w:r>
              <w:rPr>
                <w:color w:val="1A1A2E"/>
              </w:rPr>
              <w:t>outputs</w:t>
            </w:r>
            <w:proofErr w:type="gramEnd"/>
            <w:r>
              <w:rPr>
                <w:color w:val="1A1A2E"/>
              </w:rPr>
              <w:t xml:space="preserve"> influence credit-adjacent decisions — which they are designed to do — the OCC, CFPB, and ECOA explainability requirements may apply to Meridia's AI architecture.</w:t>
            </w:r>
          </w:p>
          <w:p w14:paraId="14BAC69E" w14:textId="77777777" w:rsidR="009E04A1" w:rsidRDefault="00046F7E">
            <w:pPr>
              <w:spacing w:before="30" w:after="30"/>
            </w:pPr>
            <w:r>
              <w:rPr>
                <w:color w:val="D97706"/>
              </w:rPr>
              <w:t xml:space="preserve">•  </w:t>
            </w:r>
            <w:r>
              <w:rPr>
                <w:color w:val="1A1A2E"/>
              </w:rPr>
              <w:t>SOURCE: Brookings Institution AI Fair Lending Policy Agenda; Skadden adverse action analysis, January 2024.</w:t>
            </w:r>
          </w:p>
          <w:p w14:paraId="5C62577D" w14:textId="77777777" w:rsidR="009E04A1" w:rsidRDefault="00046F7E">
            <w:pPr>
              <w:spacing w:before="30" w:after="30"/>
            </w:pPr>
            <w:r>
              <w:rPr>
                <w:color w:val="D97706"/>
              </w:rPr>
              <w:t xml:space="preserve">•  </w:t>
            </w:r>
            <w:r>
              <w:rPr>
                <w:color w:val="1A1A2E"/>
              </w:rPr>
              <w:t>Mitigation: This is precisely why governed AI is the architecture, not unregulated AI. The explainability layer, the audit trail, and the human oversight gates are not optional features. They are the compliance answer to this risk.</w:t>
            </w:r>
          </w:p>
        </w:tc>
      </w:tr>
    </w:tbl>
    <w:p w14:paraId="36016C2D" w14:textId="77777777" w:rsidR="009E04A1" w:rsidRDefault="009E04A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563ACDA0" w14:textId="77777777">
        <w:tblPrEx>
          <w:tblCellMar>
            <w:top w:w="0" w:type="dxa"/>
            <w:bottom w:w="0" w:type="dxa"/>
          </w:tblCellMar>
        </w:tblPrEx>
        <w:trPr>
          <w:cantSplit/>
        </w:trPr>
        <w:tc>
          <w:tcPr>
            <w:tcW w:w="0" w:type="auto"/>
            <w:tcBorders>
              <w:top w:val="single" w:sz="6" w:space="0" w:color="D97706"/>
              <w:left w:val="single" w:sz="6" w:space="0" w:color="D97706"/>
              <w:bottom w:val="single" w:sz="6" w:space="0" w:color="D97706"/>
              <w:right w:val="single" w:sz="6" w:space="0" w:color="D97706"/>
            </w:tcBorders>
            <w:shd w:val="clear" w:color="auto" w:fill="F8F9FA"/>
            <w:tcMar>
              <w:top w:w="110" w:type="dxa"/>
              <w:left w:w="180" w:type="dxa"/>
              <w:bottom w:w="110" w:type="dxa"/>
              <w:right w:w="180" w:type="dxa"/>
            </w:tcMar>
          </w:tcPr>
          <w:p w14:paraId="6F9FCD4A" w14:textId="77777777" w:rsidR="009E04A1" w:rsidRDefault="00046F7E">
            <w:pPr>
              <w:keepNext/>
              <w:spacing w:after="50"/>
            </w:pPr>
            <w:r>
              <w:rPr>
                <w:b/>
                <w:bCs/>
                <w:color w:val="D97706"/>
              </w:rPr>
              <w:t>RISK 5 — CORPUS OWNERSHIP REQUIRES LEGAL ARCHITECTURE BEFORE SCALE</w:t>
            </w:r>
          </w:p>
          <w:p w14:paraId="60939301" w14:textId="77777777" w:rsidR="009E04A1" w:rsidRDefault="00046F7E">
            <w:pPr>
              <w:spacing w:before="30" w:after="30"/>
            </w:pPr>
            <w:r>
              <w:rPr>
                <w:color w:val="D97706"/>
              </w:rPr>
              <w:t xml:space="preserve">•  </w:t>
            </w:r>
            <w:r>
              <w:rPr>
                <w:color w:val="1A1A2E"/>
              </w:rPr>
              <w:t>The corpus is only a moat if Meridia owns it. Without clear legal architecture defining corpus ownership at the entity level — before the first institutional partner agreement is signed — the corpus ownership can be challenged or claimed by partners.</w:t>
            </w:r>
          </w:p>
          <w:p w14:paraId="187B88C6" w14:textId="77777777" w:rsidR="009E04A1" w:rsidRDefault="00046F7E">
            <w:pPr>
              <w:spacing w:before="30" w:after="30"/>
            </w:pPr>
            <w:r>
              <w:rPr>
                <w:color w:val="D97706"/>
              </w:rPr>
              <w:t xml:space="preserve">•  </w:t>
            </w:r>
            <w:r>
              <w:rPr>
                <w:color w:val="1A1A2E"/>
              </w:rPr>
              <w:t>Mitigation: Operating agreement and data use agreement templates define corpus ownership before Phase 1 begins. This is a Phase 0 deliverable.</w:t>
            </w:r>
          </w:p>
        </w:tc>
      </w:tr>
    </w:tbl>
    <w:p w14:paraId="28EF47B9" w14:textId="77777777" w:rsidR="009E04A1" w:rsidRDefault="00046F7E">
      <w:pPr>
        <w:keepNext/>
        <w:pageBreakBefore/>
        <w:pBdr>
          <w:bottom w:val="single" w:sz="6" w:space="4" w:color="C9A22B"/>
        </w:pBdr>
        <w:spacing w:after="100"/>
      </w:pPr>
      <w:r>
        <w:rPr>
          <w:b/>
          <w:bCs/>
          <w:color w:val="0F1C2E"/>
          <w:sz w:val="38"/>
          <w:szCs w:val="38"/>
        </w:rPr>
        <w:lastRenderedPageBreak/>
        <w:t>SECTION 5 — THE ANDRE WAITS CONVERSATION FRAMEWORK</w:t>
      </w:r>
    </w:p>
    <w:p w14:paraId="7E9F3A74" w14:textId="77777777" w:rsidR="009E04A1" w:rsidRDefault="00046F7E">
      <w:pPr>
        <w:spacing w:before="50" w:after="50"/>
      </w:pPr>
      <w:r>
        <w:rPr>
          <w:color w:val="1A1A2E"/>
        </w:rPr>
        <w:t>This section defines what the first real working conversation with Andre looks like — and specifically what it is not.</w:t>
      </w:r>
    </w:p>
    <w:p w14:paraId="3D926176" w14:textId="77777777" w:rsidR="009E04A1" w:rsidRDefault="009E0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1929456C" w14:textId="77777777">
        <w:tblPrEx>
          <w:tblCellMar>
            <w:top w:w="0" w:type="dxa"/>
            <w:bottom w:w="0" w:type="dxa"/>
          </w:tblCellMar>
        </w:tblPrEx>
        <w:trPr>
          <w:cantSplit/>
        </w:trPr>
        <w:tc>
          <w:tcPr>
            <w:tcW w:w="0" w:type="auto"/>
            <w:tcBorders>
              <w:top w:val="single" w:sz="6" w:space="0" w:color="DC2626"/>
              <w:left w:val="single" w:sz="6" w:space="0" w:color="DC2626"/>
              <w:bottom w:val="single" w:sz="6" w:space="0" w:color="DC2626"/>
              <w:right w:val="single" w:sz="6" w:space="0" w:color="DC2626"/>
            </w:tcBorders>
            <w:shd w:val="clear" w:color="auto" w:fill="F8F9FA"/>
            <w:tcMar>
              <w:top w:w="110" w:type="dxa"/>
              <w:left w:w="180" w:type="dxa"/>
              <w:bottom w:w="110" w:type="dxa"/>
              <w:right w:w="180" w:type="dxa"/>
            </w:tcMar>
          </w:tcPr>
          <w:p w14:paraId="33B1C64F" w14:textId="77777777" w:rsidR="009E04A1" w:rsidRDefault="00046F7E">
            <w:pPr>
              <w:keepNext/>
              <w:spacing w:after="50"/>
            </w:pPr>
            <w:proofErr w:type="gramStart"/>
            <w:r>
              <w:rPr>
                <w:b/>
                <w:bCs/>
                <w:color w:val="DC2626"/>
              </w:rPr>
              <w:t>WHAT IT</w:t>
            </w:r>
            <w:proofErr w:type="gramEnd"/>
            <w:r>
              <w:rPr>
                <w:b/>
                <w:bCs/>
                <w:color w:val="DC2626"/>
              </w:rPr>
              <w:t xml:space="preserve"> IS NOT</w:t>
            </w:r>
          </w:p>
          <w:p w14:paraId="46118164" w14:textId="77777777" w:rsidR="009E04A1" w:rsidRDefault="00046F7E">
            <w:pPr>
              <w:spacing w:before="30" w:after="30"/>
            </w:pPr>
            <w:r>
              <w:rPr>
                <w:color w:val="DC2626"/>
              </w:rPr>
              <w:t xml:space="preserve">•  </w:t>
            </w:r>
            <w:r>
              <w:rPr>
                <w:color w:val="1A1A2E"/>
              </w:rPr>
              <w:t>It is not a pitch. Andre has already heard the pitch. He responded by saying he had institutions ready to prototype.</w:t>
            </w:r>
          </w:p>
          <w:p w14:paraId="289DB81D" w14:textId="77777777" w:rsidR="009E04A1" w:rsidRDefault="00046F7E">
            <w:pPr>
              <w:spacing w:before="30" w:after="30"/>
            </w:pPr>
            <w:r>
              <w:rPr>
                <w:color w:val="DC2626"/>
              </w:rPr>
              <w:t xml:space="preserve">•  </w:t>
            </w:r>
            <w:r>
              <w:rPr>
                <w:color w:val="1A1A2E"/>
              </w:rPr>
              <w:t>It is not another vision session. The vision has been articulated. This conversation is about what gets built, by when, and what his institution's role is.</w:t>
            </w:r>
          </w:p>
          <w:p w14:paraId="45AD01C2" w14:textId="77777777" w:rsidR="009E04A1" w:rsidRDefault="00046F7E">
            <w:pPr>
              <w:spacing w:before="30" w:after="30"/>
            </w:pPr>
            <w:r>
              <w:rPr>
                <w:color w:val="DC2626"/>
              </w:rPr>
              <w:t xml:space="preserve">•  </w:t>
            </w:r>
            <w:r>
              <w:rPr>
                <w:color w:val="1A1A2E"/>
              </w:rPr>
              <w:t>It is not a request for resources or validation. It is a working session with a documented framework.</w:t>
            </w:r>
          </w:p>
        </w:tc>
      </w:tr>
    </w:tbl>
    <w:p w14:paraId="5F5900D2" w14:textId="77777777" w:rsidR="009E04A1" w:rsidRDefault="009E0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04A1" w14:paraId="0A44100D" w14:textId="77777777">
        <w:tblPrEx>
          <w:tblCellMar>
            <w:top w:w="0" w:type="dxa"/>
            <w:bottom w:w="0" w:type="dxa"/>
          </w:tblCellMar>
        </w:tblPrEx>
        <w:trPr>
          <w:cantSplit/>
        </w:trPr>
        <w:tc>
          <w:tcPr>
            <w:tcW w:w="0" w:type="auto"/>
            <w:tcBorders>
              <w:top w:val="single" w:sz="6" w:space="0" w:color="16A34A"/>
              <w:left w:val="single" w:sz="6" w:space="0" w:color="16A34A"/>
              <w:bottom w:val="single" w:sz="6" w:space="0" w:color="16A34A"/>
              <w:right w:val="single" w:sz="6" w:space="0" w:color="16A34A"/>
            </w:tcBorders>
            <w:shd w:val="clear" w:color="auto" w:fill="F8F9FA"/>
            <w:tcMar>
              <w:top w:w="110" w:type="dxa"/>
              <w:left w:w="180" w:type="dxa"/>
              <w:bottom w:w="110" w:type="dxa"/>
              <w:right w:w="180" w:type="dxa"/>
            </w:tcMar>
          </w:tcPr>
          <w:p w14:paraId="74816827" w14:textId="77777777" w:rsidR="009E04A1" w:rsidRDefault="00046F7E">
            <w:pPr>
              <w:keepNext/>
              <w:spacing w:after="50"/>
            </w:pPr>
            <w:r>
              <w:rPr>
                <w:b/>
                <w:bCs/>
                <w:color w:val="16A34A"/>
              </w:rPr>
              <w:t>WHAT IT IS</w:t>
            </w:r>
          </w:p>
          <w:p w14:paraId="2385A7A4" w14:textId="77777777" w:rsidR="009E04A1" w:rsidRDefault="00046F7E">
            <w:pPr>
              <w:spacing w:before="30" w:after="30"/>
            </w:pPr>
            <w:r>
              <w:rPr>
                <w:color w:val="16A34A"/>
              </w:rPr>
              <w:t xml:space="preserve">•  </w:t>
            </w:r>
            <w:r>
              <w:rPr>
                <w:color w:val="1A1A2E"/>
              </w:rPr>
              <w:t xml:space="preserve">A working session with a specific </w:t>
            </w:r>
            <w:proofErr w:type="gramStart"/>
            <w:r>
              <w:rPr>
                <w:color w:val="1A1A2E"/>
              </w:rPr>
              <w:t>ask</w:t>
            </w:r>
            <w:proofErr w:type="gramEnd"/>
            <w:r>
              <w:rPr>
                <w:color w:val="1A1A2E"/>
              </w:rPr>
              <w:t>: what does a signed pilot agreement look like, from Andre's side, with a 90-day outcome definition?</w:t>
            </w:r>
          </w:p>
          <w:p w14:paraId="597D01A3" w14:textId="77777777" w:rsidR="009E04A1" w:rsidRDefault="00046F7E">
            <w:pPr>
              <w:spacing w:before="30" w:after="30"/>
            </w:pPr>
            <w:r>
              <w:rPr>
                <w:color w:val="16A34A"/>
              </w:rPr>
              <w:t xml:space="preserve">•  </w:t>
            </w:r>
            <w:r>
              <w:rPr>
                <w:color w:val="1A1A2E"/>
              </w:rPr>
              <w:t>A demonstration of the CRA heat map with real FFIEC and HMDA data — Atlanta MSA, Chase physical assessment areas, qualified opportunity concentration by geography.</w:t>
            </w:r>
          </w:p>
          <w:p w14:paraId="2BB4B9DC" w14:textId="77777777" w:rsidR="009E04A1" w:rsidRDefault="00046F7E">
            <w:pPr>
              <w:spacing w:before="30" w:after="30"/>
            </w:pPr>
            <w:r>
              <w:rPr>
                <w:color w:val="16A34A"/>
              </w:rPr>
              <w:t xml:space="preserve">•  </w:t>
            </w:r>
            <w:r>
              <w:rPr>
                <w:color w:val="1A1A2E"/>
              </w:rPr>
              <w:t>A demonstration of the differentiated output engine — Andre inputs a client profile, the system produces a board summary, a technical analysis, a regulator pack, and a family view. He sees all four. He chooses which his institution receives.</w:t>
            </w:r>
          </w:p>
          <w:p w14:paraId="4F4AF920" w14:textId="77777777" w:rsidR="009E04A1" w:rsidRDefault="00046F7E">
            <w:pPr>
              <w:spacing w:before="30" w:after="30"/>
            </w:pPr>
            <w:r>
              <w:rPr>
                <w:color w:val="16A34A"/>
              </w:rPr>
              <w:t xml:space="preserve">•  </w:t>
            </w:r>
            <w:r>
              <w:rPr>
                <w:color w:val="1A1A2E"/>
              </w:rPr>
              <w:t>A pilot framework document — one page, specific: what institution participates, what data flows, what Meridia produces, what the institution receives, what success looks like at 30/60/90 days.</w:t>
            </w:r>
          </w:p>
        </w:tc>
      </w:tr>
    </w:tbl>
    <w:p w14:paraId="70288AE0" w14:textId="77777777" w:rsidR="009E04A1" w:rsidRDefault="009E04A1">
      <w:pPr>
        <w:spacing w:before="60"/>
      </w:pPr>
    </w:p>
    <w:p w14:paraId="5E64B081" w14:textId="77777777" w:rsidR="009E04A1" w:rsidRDefault="00046F7E">
      <w:pPr>
        <w:keepNext/>
        <w:keepLines/>
        <w:spacing w:before="220" w:after="80"/>
      </w:pPr>
      <w:r>
        <w:rPr>
          <w:b/>
          <w:bCs/>
          <w:color w:val="0F1C2E"/>
          <w:sz w:val="26"/>
          <w:szCs w:val="26"/>
        </w:rPr>
        <w:t>THE THREE THINGS ANDRE SPECIFICALLY ASKED FOR</w:t>
      </w:r>
    </w:p>
    <w:p w14:paraId="57D42BE3" w14:textId="77777777" w:rsidR="009E04A1" w:rsidRDefault="00046F7E">
      <w:pPr>
        <w:spacing w:before="50" w:after="50"/>
      </w:pPr>
      <w:r>
        <w:rPr>
          <w:color w:val="1A1A2E"/>
        </w:rPr>
        <w:t xml:space="preserve">These were stated in the September 2025 meeting. They have not changed. Every previous session has been </w:t>
      </w:r>
      <w:proofErr w:type="gramStart"/>
      <w:r>
        <w:rPr>
          <w:color w:val="1A1A2E"/>
        </w:rPr>
        <w:t>preparation</w:t>
      </w:r>
      <w:proofErr w:type="gramEnd"/>
      <w:r>
        <w:rPr>
          <w:color w:val="1A1A2E"/>
        </w:rPr>
        <w:t xml:space="preserve"> for delivering them.</w:t>
      </w:r>
    </w:p>
    <w:p w14:paraId="01A49A4E" w14:textId="77777777" w:rsidR="009E04A1" w:rsidRDefault="009E04A1">
      <w:pPr>
        <w:spacing w:before="20"/>
      </w:pPr>
    </w:p>
    <w:p w14:paraId="22C058F6" w14:textId="77777777" w:rsidR="009E04A1" w:rsidRDefault="00046F7E">
      <w:pPr>
        <w:spacing w:before="36" w:after="36"/>
        <w:ind w:left="380" w:hanging="220"/>
      </w:pPr>
      <w:r>
        <w:rPr>
          <w:color w:val="C9A22B"/>
        </w:rPr>
        <w:t xml:space="preserve">—  </w:t>
      </w:r>
      <w:r>
        <w:rPr>
          <w:b/>
          <w:bCs/>
          <w:color w:val="1A1A2E"/>
        </w:rPr>
        <w:t xml:space="preserve">1. </w:t>
      </w:r>
      <w:r>
        <w:rPr>
          <w:color w:val="1A1A2E"/>
        </w:rPr>
        <w:t>Real data ingestion — not mock data, not a demo, actual financial and geographic data producing actual outputs</w:t>
      </w:r>
    </w:p>
    <w:p w14:paraId="482198CE" w14:textId="77777777" w:rsidR="009E04A1" w:rsidRDefault="00046F7E">
      <w:pPr>
        <w:spacing w:before="36" w:after="36"/>
        <w:ind w:left="380" w:hanging="220"/>
      </w:pPr>
      <w:r>
        <w:rPr>
          <w:color w:val="C9A22B"/>
        </w:rPr>
        <w:t xml:space="preserve">—  </w:t>
      </w:r>
      <w:r>
        <w:rPr>
          <w:b/>
          <w:bCs/>
          <w:color w:val="1A1A2E"/>
        </w:rPr>
        <w:t xml:space="preserve">2. </w:t>
      </w:r>
      <w:r>
        <w:rPr>
          <w:color w:val="1A1A2E"/>
        </w:rPr>
        <w:t>Differentiated outputs by audience — board, technical, regulator, family — from the same underlying dataset</w:t>
      </w:r>
    </w:p>
    <w:p w14:paraId="4BEFE818" w14:textId="77777777" w:rsidR="009E04A1" w:rsidRDefault="00046F7E">
      <w:pPr>
        <w:spacing w:before="36" w:after="36"/>
        <w:ind w:left="380" w:hanging="220"/>
      </w:pPr>
      <w:r>
        <w:rPr>
          <w:color w:val="C9A22B"/>
        </w:rPr>
        <w:t xml:space="preserve">—  </w:t>
      </w:r>
      <w:r>
        <w:rPr>
          <w:b/>
          <w:bCs/>
          <w:color w:val="1A1A2E"/>
        </w:rPr>
        <w:t xml:space="preserve">3. </w:t>
      </w:r>
      <w:r>
        <w:rPr>
          <w:color w:val="1A1A2E"/>
        </w:rPr>
        <w:t>CRA heat map with real FFIEC/HMDA data showing underserved areas and the route to close gaps</w:t>
      </w:r>
    </w:p>
    <w:p w14:paraId="4DA7CD5D" w14:textId="77777777" w:rsidR="009E04A1" w:rsidRDefault="009E04A1">
      <w:pPr>
        <w:spacing w:before="40"/>
      </w:pPr>
    </w:p>
    <w:p w14:paraId="397E5129" w14:textId="77777777" w:rsidR="009E04A1" w:rsidRDefault="00046F7E">
      <w:pPr>
        <w:spacing w:before="50" w:after="50"/>
      </w:pPr>
      <w:r>
        <w:rPr>
          <w:color w:val="1A1A2E"/>
        </w:rPr>
        <w:t>Phase 0 produces all three. The Andre conversation happens after Phase 0, not before.</w:t>
      </w:r>
    </w:p>
    <w:p w14:paraId="3DFC6CB5" w14:textId="77777777" w:rsidR="009E04A1" w:rsidRDefault="009E04A1">
      <w:pPr>
        <w:spacing w:before="60"/>
      </w:pPr>
    </w:p>
    <w:p w14:paraId="17E33B4A" w14:textId="77777777" w:rsidR="009E04A1" w:rsidRDefault="00046F7E">
      <w:pPr>
        <w:pBdr>
          <w:top w:val="single" w:sz="2" w:space="6" w:color="E2E8F0"/>
        </w:pBdr>
        <w:spacing w:before="200"/>
        <w:jc w:val="center"/>
      </w:pPr>
      <w:r>
        <w:rPr>
          <w:i/>
          <w:iCs/>
          <w:color w:val="64748B"/>
          <w:sz w:val="16"/>
          <w:szCs w:val="16"/>
        </w:rPr>
        <w:t xml:space="preserve">Meridia Holdings </w:t>
      </w:r>
      <w:proofErr w:type="gramStart"/>
      <w:r>
        <w:rPr>
          <w:i/>
          <w:iCs/>
          <w:color w:val="64748B"/>
          <w:sz w:val="16"/>
          <w:szCs w:val="16"/>
        </w:rPr>
        <w:t>LLC  ·</w:t>
      </w:r>
      <w:proofErr w:type="gramEnd"/>
      <w:r>
        <w:rPr>
          <w:i/>
          <w:iCs/>
          <w:color w:val="64748B"/>
          <w:sz w:val="16"/>
          <w:szCs w:val="16"/>
        </w:rPr>
        <w:t xml:space="preserve">  April </w:t>
      </w:r>
      <w:proofErr w:type="gramStart"/>
      <w:r>
        <w:rPr>
          <w:i/>
          <w:iCs/>
          <w:color w:val="64748B"/>
          <w:sz w:val="16"/>
          <w:szCs w:val="16"/>
        </w:rPr>
        <w:t>2026  ·</w:t>
      </w:r>
      <w:proofErr w:type="gramEnd"/>
      <w:r>
        <w:rPr>
          <w:i/>
          <w:iCs/>
          <w:color w:val="64748B"/>
          <w:sz w:val="16"/>
          <w:szCs w:val="16"/>
        </w:rPr>
        <w:t xml:space="preserve">  </w:t>
      </w:r>
      <w:proofErr w:type="gramStart"/>
      <w:r>
        <w:rPr>
          <w:i/>
          <w:iCs/>
          <w:color w:val="64748B"/>
          <w:sz w:val="16"/>
          <w:szCs w:val="16"/>
        </w:rPr>
        <w:t>Confidential  ·</w:t>
      </w:r>
      <w:proofErr w:type="gramEnd"/>
      <w:r>
        <w:rPr>
          <w:i/>
          <w:iCs/>
          <w:color w:val="64748B"/>
          <w:sz w:val="16"/>
          <w:szCs w:val="16"/>
        </w:rPr>
        <w:t xml:space="preserve">  Not for Distribution</w:t>
      </w:r>
    </w:p>
    <w:sectPr w:rsidR="009E04A1">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03DF2"/>
    <w:multiLevelType w:val="hybridMultilevel"/>
    <w:tmpl w:val="CEAE6A5C"/>
    <w:lvl w:ilvl="0" w:tplc="D706995A">
      <w:start w:val="1"/>
      <w:numFmt w:val="bullet"/>
      <w:lvlText w:val="●"/>
      <w:lvlJc w:val="left"/>
      <w:pPr>
        <w:ind w:left="720" w:hanging="360"/>
      </w:pPr>
    </w:lvl>
    <w:lvl w:ilvl="1" w:tplc="A6D6FA06">
      <w:start w:val="1"/>
      <w:numFmt w:val="bullet"/>
      <w:lvlText w:val="○"/>
      <w:lvlJc w:val="left"/>
      <w:pPr>
        <w:ind w:left="1440" w:hanging="360"/>
      </w:pPr>
    </w:lvl>
    <w:lvl w:ilvl="2" w:tplc="57DAD66E">
      <w:start w:val="1"/>
      <w:numFmt w:val="bullet"/>
      <w:lvlText w:val="■"/>
      <w:lvlJc w:val="left"/>
      <w:pPr>
        <w:ind w:left="2160" w:hanging="360"/>
      </w:pPr>
    </w:lvl>
    <w:lvl w:ilvl="3" w:tplc="F34C6ED6">
      <w:start w:val="1"/>
      <w:numFmt w:val="bullet"/>
      <w:lvlText w:val="●"/>
      <w:lvlJc w:val="left"/>
      <w:pPr>
        <w:ind w:left="2880" w:hanging="360"/>
      </w:pPr>
    </w:lvl>
    <w:lvl w:ilvl="4" w:tplc="7910B54A">
      <w:start w:val="1"/>
      <w:numFmt w:val="bullet"/>
      <w:lvlText w:val="○"/>
      <w:lvlJc w:val="left"/>
      <w:pPr>
        <w:ind w:left="3600" w:hanging="360"/>
      </w:pPr>
    </w:lvl>
    <w:lvl w:ilvl="5" w:tplc="47864C30">
      <w:start w:val="1"/>
      <w:numFmt w:val="bullet"/>
      <w:lvlText w:val="■"/>
      <w:lvlJc w:val="left"/>
      <w:pPr>
        <w:ind w:left="4320" w:hanging="360"/>
      </w:pPr>
    </w:lvl>
    <w:lvl w:ilvl="6" w:tplc="5E52FB5E">
      <w:start w:val="1"/>
      <w:numFmt w:val="bullet"/>
      <w:lvlText w:val="●"/>
      <w:lvlJc w:val="left"/>
      <w:pPr>
        <w:ind w:left="5040" w:hanging="360"/>
      </w:pPr>
    </w:lvl>
    <w:lvl w:ilvl="7" w:tplc="D180D2B2">
      <w:start w:val="1"/>
      <w:numFmt w:val="bullet"/>
      <w:lvlText w:val="●"/>
      <w:lvlJc w:val="left"/>
      <w:pPr>
        <w:ind w:left="5760" w:hanging="360"/>
      </w:pPr>
    </w:lvl>
    <w:lvl w:ilvl="8" w:tplc="773CD5C4">
      <w:start w:val="1"/>
      <w:numFmt w:val="bullet"/>
      <w:lvlText w:val="●"/>
      <w:lvlJc w:val="left"/>
      <w:pPr>
        <w:ind w:left="6480" w:hanging="360"/>
      </w:pPr>
    </w:lvl>
  </w:abstractNum>
  <w:num w:numId="1" w16cid:durableId="741222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4A1"/>
    <w:rsid w:val="00046F7E"/>
    <w:rsid w:val="00052663"/>
    <w:rsid w:val="003E014E"/>
    <w:rsid w:val="009E04A1"/>
    <w:rsid w:val="00AF5E3D"/>
    <w:rsid w:val="00D34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327D6"/>
  <w15:docId w15:val="{21593B80-D156-400D-9E81-180EF5E87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287E9-1721-4F30-A93A-D669742F8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3022</TotalTime>
  <Pages>11</Pages>
  <Words>4380</Words>
  <Characters>24971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Aliman Neal</cp:lastModifiedBy>
  <cp:revision>3</cp:revision>
  <dcterms:created xsi:type="dcterms:W3CDTF">2026-04-18T23:40:00Z</dcterms:created>
  <dcterms:modified xsi:type="dcterms:W3CDTF">2026-04-29T00:54:00Z</dcterms:modified>
</cp:coreProperties>
</file>