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Georgia" w:cs="Georgia" w:eastAsia="Georgia" w:hAnsi="Georgia"/>
          <w:b/>
          <w:bCs/>
          <w:color w:val="1B2A4A"/>
          <w:sz w:val="72"/>
          <w:szCs w:val="72"/>
        </w:rPr>
        <w:t xml:space="preserve">MERIDIA</w:t>
      </w:r>
    </w:p>
    <w:p>
      <w:pPr>
        <w:spacing w:before="120"/>
        <w:jc w:val="center"/>
      </w:pPr>
      <w:r>
        <w:rPr>
          <w:rFonts w:ascii="Georgia" w:cs="Georgia" w:eastAsia="Georgia" w:hAnsi="Georgia"/>
          <w:i/>
          <w:iCs/>
          <w:color w:val="C5922E"/>
          <w:sz w:val="28"/>
          <w:szCs w:val="28"/>
        </w:rPr>
        <w:t xml:space="preserve">Eden Intelligence Group</w:t>
      </w:r>
    </w:p>
    <w:p>
      <w:pPr>
        <w:pBdr>
          <w:top w:val="single" w:color="C5922E" w:sz="4" w:space="16"/>
          <w:bottom w:val="single" w:color="C5922E" w:sz="4" w:space="16"/>
        </w:pBdr>
        <w:spacing w:before="600"/>
        <w:jc w:val="center"/>
      </w:pPr>
      <w:r>
        <w:rPr>
          <w:rFonts w:ascii="Georgia" w:cs="Georgia" w:eastAsia="Georgia" w:hAnsi="Georgia"/>
          <w:b/>
          <w:bCs/>
          <w:color w:val="1B2A4A"/>
          <w:spacing w:val="120"/>
          <w:sz w:val="36"/>
          <w:szCs w:val="36"/>
        </w:rPr>
        <w:t xml:space="preserve">MERIDIAN CONTINENTAL REPORT</w:t>
      </w:r>
    </w:p>
    <w:p>
      <w:pPr>
        <w:spacing w:before="240"/>
        <w:jc w:val="center"/>
      </w:pPr>
      <w:r>
        <w:rPr>
          <w:rFonts w:ascii="Arial" w:cs="Arial" w:eastAsia="Arial" w:hAnsi="Arial"/>
          <w:color w:val="666666"/>
          <w:sz w:val="24"/>
          <w:szCs w:val="24"/>
        </w:rPr>
        <w:t xml:space="preserve">Financial Positioning Signal — Internal &amp; External Assessment</w:t>
      </w:r>
    </w:p>
    <w:p>
      <w:pPr>
        <w:spacing w:before="120"/>
        <w:jc w:val="center"/>
      </w:pPr>
      <w:r>
        <w:rPr>
          <w:rFonts w:ascii="Arial" w:cs="Arial" w:eastAsia="Arial" w:hAnsi="Arial"/>
          <w:color w:val="666666"/>
          <w:sz w:val="22"/>
          <w:szCs w:val="22"/>
        </w:rPr>
        <w:t xml:space="preserve">R&amp;D / Business Development Division</w:t>
      </w:r>
    </w:p>
    <w:p>
      <w:pPr>
        <w:spacing w:before="2400"/>
      </w:pPr>
    </w:p>
    <w:p>
      <w:pPr>
        <w:jc w:val="center"/>
      </w:pPr>
      <w:r>
        <w:rPr>
          <w:rFonts w:ascii="Arial" w:cs="Arial" w:eastAsia="Arial" w:hAnsi="Arial"/>
          <w:b/>
          <w:bCs/>
          <w:color w:val="C5922E"/>
          <w:sz w:val="18"/>
          <w:szCs w:val="18"/>
        </w:rPr>
        <w:t xml:space="preserve">CLASSIFICATION: INTERNAL — STRATEGIC</w:t>
      </w:r>
    </w:p>
    <w:p>
      <w:pPr>
        <w:spacing w:before="120"/>
        <w:jc w:val="center"/>
      </w:pPr>
      <w:r>
        <w:rPr>
          <w:rFonts w:ascii="Arial" w:cs="Arial" w:eastAsia="Arial" w:hAnsi="Arial"/>
          <w:color w:val="666666"/>
          <w:sz w:val="20"/>
          <w:szCs w:val="20"/>
        </w:rPr>
        <w:t xml:space="preserve">February 19, 2026</w:t>
      </w:r>
    </w:p>
    <w:p>
      <w:pPr>
        <w:spacing w:before="60"/>
        <w:jc w:val="center"/>
      </w:pPr>
      <w:r>
        <w:rPr>
          <w:rFonts w:ascii="Arial" w:cs="Arial" w:eastAsia="Arial" w:hAnsi="Arial"/>
          <w:color w:val="666666"/>
          <w:sz w:val="18"/>
          <w:szCs w:val="18"/>
        </w:rPr>
        <w:t xml:space="preserve">Report MCR-2026-001</w:t>
      </w:r>
    </w:p>
    <w:p>
      <w:pPr>
        <w:sectPr>
          <w:pgSz w:w="12240" w:h="15840" w:orient="portrait"/>
          <w:pgMar w:top="1440" w:right="1440" w:bottom="1440" w:left="1440" w:header="708" w:footer="708" w:gutter="0"/>
          <w:pgNumType/>
          <w:docGrid w:linePitch="360"/>
        </w:sectPr>
      </w:pPr>
    </w:p>
    <w:p>
      <w:pPr>
        <w:pBdr>
          <w:bottom w:val="single" w:color="C5922E" w:sz="4" w:space="8"/>
        </w:pBdr>
        <w:spacing w:after="400"/>
      </w:pPr>
      <w:r>
        <w:rPr>
          <w:rFonts w:ascii="Georgia" w:cs="Georgia" w:eastAsia="Georgia" w:hAnsi="Georgia"/>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C5922E" w:sz="4" w:space="8"/>
        </w:pBdr>
        <w:spacing w:before="360" w:after="200"/>
      </w:pPr>
      <w:r>
        <w:rPr>
          <w:rFonts w:ascii="Georgia" w:cs="Georgia" w:eastAsia="Georgia" w:hAnsi="Georgia"/>
          <w:b/>
          <w:bCs/>
          <w:color w:val="1B2A4A"/>
          <w:sz w:val="32"/>
          <w:szCs w:val="32"/>
        </w:rPr>
        <w:t xml:space="preserve">I. Executive Summary</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Internal Financial Positioning Signal: ACCUMULATION PHASE — Pre-Revenue, Asset-Building, Architecture Complete. External Financial Positioning Signal: HIGH-CONVICTION ENTRY WINDOW — Market conditions, regulatory tailwinds, and competitive white space align across all five product lines simultaneously. This convergence is time-limited.</w:t>
      </w:r>
    </w:p>
    <w:p>
      <w:pPr>
        <w:spacing w:after="160" w:line="300"/>
        <w:jc w:val="both"/>
      </w:pPr>
      <w:r>
        <w:rPr>
          <w:rFonts w:ascii="Arial" w:cs="Arial" w:eastAsia="Arial" w:hAnsi="Arial"/>
          <w:color w:val="333333"/>
          <w:sz w:val="21"/>
          <w:szCs w:val="21"/>
        </w:rPr>
        <w:t xml:space="preserve">This report represents the first comprehensive assessment from the R&amp;D and Business Development division of Meridia’s complete ecosystem: its current positioning, competitive landscape, addressable markets, regulatory environment, international expansion potential, funding pathways, and strategic recommendations.</w:t>
      </w:r>
    </w:p>
    <w:p>
      <w:pPr>
        <w:spacing w:after="160" w:line="300"/>
        <w:jc w:val="both"/>
      </w:pPr>
      <w:r>
        <w:rPr>
          <w:rFonts w:ascii="Arial" w:cs="Arial" w:eastAsia="Arial" w:hAnsi="Arial"/>
          <w:color w:val="333333"/>
          <w:sz w:val="21"/>
          <w:szCs w:val="21"/>
        </w:rPr>
        <w:t xml:space="preserve">The assessment draws from analysis of over 60 competitors across five verticals, regulatory filings and enforcement actions from 12 jurisdictions, market intelligence covering 15+ international geographies, and the complete technical architecture of Meridia’s operational platform. The findings are presented without sentiment. The opportunities are real. The risks are real. The recommendations account for both.</w:t>
      </w:r>
    </w:p>
    <w:p>
      <w:pPr>
        <w:pStyle w:val="Heading2"/>
        <w:spacing w:before="280" w:after="160"/>
      </w:pPr>
      <w:r>
        <w:rPr>
          <w:rFonts w:ascii="Georgia" w:cs="Georgia" w:eastAsia="Georgia" w:hAnsi="Georgia"/>
          <w:b/>
          <w:bCs/>
          <w:color w:val="2E5E8E"/>
          <w:sz w:val="26"/>
          <w:szCs w:val="26"/>
        </w:rPr>
        <w:t xml:space="preserve">What the Intelligence Confirms</w:t>
      </w:r>
    </w:p>
    <w:p>
      <w:pPr>
        <w:spacing w:after="160" w:line="300"/>
        <w:jc w:val="both"/>
      </w:pPr>
      <w:r>
        <w:rPr>
          <w:rFonts w:ascii="Arial" w:cs="Arial" w:eastAsia="Arial" w:hAnsi="Arial"/>
          <w:color w:val="333333"/>
          <w:sz w:val="21"/>
          <w:szCs w:val="21"/>
        </w:rPr>
        <w:t xml:space="preserve">The combined total addressable market across Meridia’s product suite exceeds $50 billion domestically by 2030. When international markets are included, the figure exceeds $130 billion. Across every product line—WayPoint Core, WayPoint Crown, Crown’s Eye, Integra, and WayPoint Edge—this team found verified competitive white space. Not thin advantages over entrenched competitors, but genuine category-creation opportunities in spaces where no integrated product exists.</w:t>
      </w:r>
    </w:p>
    <w:p>
      <w:pPr>
        <w:spacing w:after="160" w:line="300"/>
        <w:jc w:val="both"/>
      </w:pPr>
      <w:r>
        <w:rPr>
          <w:rFonts w:ascii="Arial" w:cs="Arial" w:eastAsia="Arial" w:hAnsi="Arial"/>
          <w:color w:val="333333"/>
          <w:sz w:val="21"/>
          <w:szCs w:val="21"/>
        </w:rPr>
        <w:t xml:space="preserve">Specifically: no company occupies the “Financial Positioning System” concept. No platform globally offers family office governance technology with Trust Index scoring and stewardship curricula. No AI orchestration layer combines multi-model routing with financial-services-grade compliance controls. Re-entry banking has one early-stage competitor domestically and zero internationally. The adult entertainment industry has no dedicated banking provider anywhere in the world. Canada’s legal cannabis market has a 95% banking denial rate with zero specialized fintech providers.</w:t>
      </w:r>
    </w:p>
    <w:p>
      <w:pPr>
        <w:spacing w:after="160" w:line="300"/>
        <w:jc w:val="both"/>
      </w:pPr>
      <w:r>
        <w:rPr>
          <w:rFonts w:ascii="Arial" w:cs="Arial" w:eastAsia="Arial" w:hAnsi="Arial"/>
          <w:color w:val="333333"/>
          <w:sz w:val="21"/>
          <w:szCs w:val="21"/>
        </w:rPr>
        <w:t xml:space="preserve">The technical foundation is operational: 24 backend endpoints, a wired frontend, Docker-packaged deployment. This is not a slide deck. The platform exists.</w:t>
      </w:r>
    </w:p>
    <w:p>
      <w:pPr>
        <w:pStyle w:val="Heading2"/>
        <w:spacing w:before="280" w:after="160"/>
      </w:pPr>
      <w:r>
        <w:rPr>
          <w:rFonts w:ascii="Georgia" w:cs="Georgia" w:eastAsia="Georgia" w:hAnsi="Georgia"/>
          <w:b/>
          <w:bCs/>
          <w:color w:val="2E5E8E"/>
          <w:sz w:val="26"/>
          <w:szCs w:val="26"/>
        </w:rPr>
        <w:t xml:space="preserve">What the Intelligence Also Confirms</w:t>
      </w:r>
    </w:p>
    <w:p>
      <w:pPr>
        <w:spacing w:after="160" w:line="300"/>
        <w:jc w:val="both"/>
      </w:pPr>
      <w:r>
        <w:rPr>
          <w:rFonts w:ascii="Arial" w:cs="Arial" w:eastAsia="Arial" w:hAnsi="Arial"/>
          <w:color w:val="333333"/>
          <w:sz w:val="21"/>
          <w:szCs w:val="21"/>
        </w:rPr>
        <w:t xml:space="preserve">The ecosystem spans 4+ major regulated verticals with 15+ distinct products. The founder operates solo with AI collaboration. The Poe API dependency creates architectural risk incompatible with financial services compliance. Capital constraints from the Chapter 13 history limit personal banking relationships and institutional credibility. The gap between vision scale and current resources is the largest single risk factor.</w:t>
      </w:r>
    </w:p>
    <w:p>
      <w:pPr>
        <w:spacing w:after="160" w:line="300"/>
        <w:jc w:val="both"/>
      </w:pPr>
      <w:r>
        <w:rPr>
          <w:rFonts w:ascii="Arial" w:cs="Arial" w:eastAsia="Arial" w:hAnsi="Arial"/>
          <w:color w:val="333333"/>
          <w:sz w:val="21"/>
          <w:szCs w:val="21"/>
        </w:rPr>
        <w:t xml:space="preserve">These are not reasons to stop. They are reasons to sequence ruthlessly. This report provides that sequence.</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II. Current State of the Technology</w:t>
      </w:r>
    </w:p>
    <w:p>
      <w:pPr>
        <w:pStyle w:val="Heading2"/>
        <w:spacing w:before="280" w:after="160"/>
      </w:pPr>
      <w:r>
        <w:rPr>
          <w:rFonts w:ascii="Georgia" w:cs="Georgia" w:eastAsia="Georgia" w:hAnsi="Georgia"/>
          <w:b/>
          <w:bCs/>
          <w:color w:val="2E5E8E"/>
          <w:sz w:val="26"/>
          <w:szCs w:val="26"/>
        </w:rPr>
        <w:t xml:space="preserve">Technical Infrastructure</w:t>
      </w:r>
    </w:p>
    <w:p>
      <w:pPr>
        <w:spacing w:after="160" w:line="300"/>
        <w:jc w:val="both"/>
      </w:pPr>
      <w:r>
        <w:rPr>
          <w:rFonts w:ascii="Arial" w:cs="Arial" w:eastAsia="Arial" w:hAnsi="Arial"/>
          <w:color w:val="333333"/>
          <w:sz w:val="21"/>
          <w:szCs w:val="21"/>
        </w:rPr>
        <w:t xml:space="preserve">The platform operates on a modular architecture with the following confirmed capabilities:</w:t>
      </w:r>
    </w:p>
    <w:p>
      <w:pPr>
        <w:pStyle w:val="ListParagraph"/>
        <w:numPr>
          <w:ilvl w:val="0"/>
          <w:numId w:val="2"/>
        </w:numPr>
        <w:spacing w:after="80" w:line="280"/>
      </w:pPr>
      <w:r>
        <w:rPr>
          <w:rFonts w:ascii="Arial" w:cs="Arial" w:eastAsia="Arial" w:hAnsi="Arial"/>
          <w:b/>
          <w:bCs/>
          <w:color w:val="333333"/>
          <w:sz w:val="21"/>
          <w:szCs w:val="21"/>
        </w:rPr>
        <w:t xml:space="preserve">Backend: </w:t>
      </w:r>
      <w:r>
        <w:rPr>
          <w:rFonts w:ascii="Arial" w:cs="Arial" w:eastAsia="Arial" w:hAnsi="Arial"/>
          <w:color w:val="333333"/>
          <w:sz w:val="21"/>
          <w:szCs w:val="21"/>
        </w:rPr>
        <w:t xml:space="preserve">24 operational endpoints including Poe API integration, Aletheia LLM interface, four-audience report generation, and voice synthesis.</w:t>
      </w:r>
    </w:p>
    <w:p>
      <w:pPr>
        <w:pStyle w:val="ListParagraph"/>
        <w:numPr>
          <w:ilvl w:val="0"/>
          <w:numId w:val="2"/>
        </w:numPr>
        <w:spacing w:after="80" w:line="280"/>
      </w:pPr>
      <w:r>
        <w:rPr>
          <w:rFonts w:ascii="Arial" w:cs="Arial" w:eastAsia="Arial" w:hAnsi="Arial"/>
          <w:b/>
          <w:bCs/>
          <w:color w:val="333333"/>
          <w:sz w:val="21"/>
          <w:szCs w:val="21"/>
        </w:rPr>
        <w:t xml:space="preserve">Frontend: </w:t>
      </w:r>
      <w:r>
        <w:rPr>
          <w:rFonts w:ascii="Arial" w:cs="Arial" w:eastAsia="Arial" w:hAnsi="Arial"/>
          <w:color w:val="333333"/>
          <w:sz w:val="21"/>
          <w:szCs w:val="21"/>
        </w:rPr>
        <w:t xml:space="preserve">Index8_wired.html connected to backend services.</w:t>
      </w:r>
    </w:p>
    <w:p>
      <w:pPr>
        <w:pStyle w:val="ListParagraph"/>
        <w:numPr>
          <w:ilvl w:val="0"/>
          <w:numId w:val="2"/>
        </w:numPr>
        <w:spacing w:after="80" w:line="280"/>
      </w:pPr>
      <w:r>
        <w:rPr>
          <w:rFonts w:ascii="Arial" w:cs="Arial" w:eastAsia="Arial" w:hAnsi="Arial"/>
          <w:b/>
          <w:bCs/>
          <w:color w:val="333333"/>
          <w:sz w:val="21"/>
          <w:szCs w:val="21"/>
        </w:rPr>
        <w:t xml:space="preserve">Deployment: </w:t>
      </w:r>
      <w:r>
        <w:rPr>
          <w:rFonts w:ascii="Arial" w:cs="Arial" w:eastAsia="Arial" w:hAnsi="Arial"/>
          <w:color w:val="333333"/>
          <w:sz w:val="21"/>
          <w:szCs w:val="21"/>
        </w:rPr>
        <w:t xml:space="preserve">Docker-packaged, platform-independent, NAS-ready for self-hosted operation.</w:t>
      </w:r>
    </w:p>
    <w:p>
      <w:pPr>
        <w:pStyle w:val="ListParagraph"/>
        <w:numPr>
          <w:ilvl w:val="0"/>
          <w:numId w:val="2"/>
        </w:numPr>
        <w:spacing w:after="80" w:line="280"/>
      </w:pPr>
      <w:r>
        <w:rPr>
          <w:rFonts w:ascii="Arial" w:cs="Arial" w:eastAsia="Arial" w:hAnsi="Arial"/>
          <w:b/>
          <w:bCs/>
          <w:color w:val="333333"/>
          <w:sz w:val="21"/>
          <w:szCs w:val="21"/>
        </w:rPr>
        <w:t xml:space="preserve">Data: </w:t>
      </w:r>
      <w:r>
        <w:rPr>
          <w:rFonts w:ascii="Arial" w:cs="Arial" w:eastAsia="Arial" w:hAnsi="Arial"/>
          <w:color w:val="333333"/>
          <w:sz w:val="21"/>
          <w:szCs w:val="21"/>
        </w:rPr>
        <w:t xml:space="preserve">6,030 Georgia academic standards loaded for Crown’s Eye. Financial positioning algorithms operational for WayPoint Core.</w:t>
      </w:r>
    </w:p>
    <w:p>
      <w:pPr>
        <w:pStyle w:val="Heading2"/>
        <w:spacing w:before="280" w:after="160"/>
      </w:pPr>
      <w:r>
        <w:rPr>
          <w:rFonts w:ascii="Georgia" w:cs="Georgia" w:eastAsia="Georgia" w:hAnsi="Georgia"/>
          <w:b/>
          <w:bCs/>
          <w:color w:val="2E5E8E"/>
          <w:sz w:val="26"/>
          <w:szCs w:val="26"/>
        </w:rPr>
        <w:t xml:space="preserve">Critical Technical Debt</w:t>
      </w:r>
    </w:p>
    <w:p>
      <w:pPr>
        <w:spacing w:after="160" w:line="300"/>
        <w:jc w:val="both"/>
      </w:pPr>
      <w:r>
        <w:rPr>
          <w:rFonts w:ascii="Arial" w:cs="Arial" w:eastAsia="Arial" w:hAnsi="Arial"/>
          <w:color w:val="333333"/>
          <w:sz w:val="21"/>
          <w:szCs w:val="21"/>
        </w:rPr>
        <w:t xml:space="preserve">The single most urgent technical issue is Meridia’s reliance on the Poe API as its AI backbone. Poe launched an OpenAI-compatible API in July 2025 with access to 100+ models, but it functions as a consumer-grade aggregator. It provides no governance controls, no audit trails, no role-based access control, and no compliance documentation. For financial services requiring ECOA compliance, fair lending documentation, SR 11-7 model risk management, and Colorado AI Act adherence (effective June 2026), Poe is architecturally inappropriate as a production dependency.</w:t>
      </w:r>
    </w:p>
    <w:p>
      <w:pPr>
        <w:spacing w:after="160" w:line="300"/>
        <w:jc w:val="both"/>
      </w:pPr>
      <w:r>
        <w:rPr>
          <w:rFonts w:ascii="Arial" w:cs="Arial" w:eastAsia="Arial" w:hAnsi="Arial"/>
          <w:color w:val="333333"/>
          <w:sz w:val="21"/>
          <w:szCs w:val="21"/>
        </w:rPr>
        <w:t xml:space="preserve">This must be resolved before any financial product launches. The replacement architecture requires direct integrations with Claude, GPT, and Gemini APIs with purpose-built compliance controls—audit trails, RBAC, permission cascades, and memory management. This is not optional. It is the gating item for every revenue-generating product in the ecosystem.</w:t>
      </w:r>
    </w:p>
    <w:p>
      <w:pPr>
        <w:pStyle w:val="Heading2"/>
        <w:spacing w:before="280" w:after="160"/>
      </w:pPr>
      <w:r>
        <w:rPr>
          <w:rFonts w:ascii="Georgia" w:cs="Georgia" w:eastAsia="Georgia" w:hAnsi="Georgia"/>
          <w:b/>
          <w:bCs/>
          <w:color w:val="2E5E8E"/>
          <w:sz w:val="26"/>
          <w:szCs w:val="26"/>
        </w:rPr>
        <w:t xml:space="preserve">Intellectual Property Position</w:t>
      </w:r>
    </w:p>
    <w:p>
      <w:pPr>
        <w:spacing w:after="160" w:line="300"/>
        <w:jc w:val="both"/>
      </w:pPr>
      <w:r>
        <w:rPr>
          <w:rFonts w:ascii="Arial" w:cs="Arial" w:eastAsia="Arial" w:hAnsi="Arial"/>
          <w:color w:val="333333"/>
          <w:sz w:val="21"/>
          <w:szCs w:val="21"/>
        </w:rPr>
        <w:t xml:space="preserve">The following represent defensible intellectual property, pending formal protection:</w:t>
      </w:r>
    </w:p>
    <w:p>
      <w:pPr>
        <w:pStyle w:val="ListParagraph"/>
        <w:numPr>
          <w:ilvl w:val="0"/>
          <w:numId w:val="2"/>
        </w:numPr>
        <w:spacing w:after="80" w:line="280"/>
      </w:pPr>
      <w:r>
        <w:rPr>
          <w:rFonts w:ascii="Arial" w:cs="Arial" w:eastAsia="Arial" w:hAnsi="Arial"/>
          <w:b/>
          <w:bCs/>
          <w:color w:val="333333"/>
          <w:sz w:val="21"/>
          <w:szCs w:val="21"/>
        </w:rPr>
        <w:t xml:space="preserve">Financial Positioning System methodology: </w:t>
      </w:r>
      <w:r>
        <w:rPr>
          <w:rFonts w:ascii="Arial" w:cs="Arial" w:eastAsia="Arial" w:hAnsi="Arial"/>
          <w:color w:val="333333"/>
          <w:sz w:val="21"/>
          <w:szCs w:val="21"/>
        </w:rPr>
        <w:t xml:space="preserve">The interpretive framework (normalize reality → surface signals → offer routes) applied across financial, educational, and creative domains. No competitor uses this language or framework.</w:t>
      </w:r>
    </w:p>
    <w:p>
      <w:pPr>
        <w:pStyle w:val="ListParagraph"/>
        <w:numPr>
          <w:ilvl w:val="0"/>
          <w:numId w:val="2"/>
        </w:numPr>
        <w:spacing w:after="80" w:line="280"/>
      </w:pPr>
      <w:r>
        <w:rPr>
          <w:rFonts w:ascii="Arial" w:cs="Arial" w:eastAsia="Arial" w:hAnsi="Arial"/>
          <w:b/>
          <w:bCs/>
          <w:color w:val="333333"/>
          <w:sz w:val="21"/>
          <w:szCs w:val="21"/>
        </w:rPr>
        <w:t xml:space="preserve">Governance-not-guardrails architecture: </w:t>
      </w:r>
      <w:r>
        <w:rPr>
          <w:rFonts w:ascii="Arial" w:cs="Arial" w:eastAsia="Arial" w:hAnsi="Arial"/>
          <w:color w:val="333333"/>
          <w:sz w:val="21"/>
          <w:szCs w:val="21"/>
        </w:rPr>
        <w:t xml:space="preserve">Permission cascades, memory management, and context-aware routing for AI in financial services. No existing platform combines all three.</w:t>
      </w:r>
    </w:p>
    <w:p>
      <w:pPr>
        <w:pStyle w:val="ListParagraph"/>
        <w:numPr>
          <w:ilvl w:val="0"/>
          <w:numId w:val="2"/>
        </w:numPr>
        <w:spacing w:after="80" w:line="280"/>
      </w:pPr>
      <w:r>
        <w:rPr>
          <w:rFonts w:ascii="Arial" w:cs="Arial" w:eastAsia="Arial" w:hAnsi="Arial"/>
          <w:b/>
          <w:bCs/>
          <w:color w:val="333333"/>
          <w:sz w:val="21"/>
          <w:szCs w:val="21"/>
        </w:rPr>
        <w:t xml:space="preserve">Trust Index scoring system: </w:t>
      </w:r>
      <w:r>
        <w:rPr>
          <w:rFonts w:ascii="Arial" w:cs="Arial" w:eastAsia="Arial" w:hAnsi="Arial"/>
          <w:color w:val="333333"/>
          <w:sz w:val="21"/>
          <w:szCs w:val="21"/>
        </w:rPr>
        <w:t xml:space="preserve">Quantified governance assessment for family offices. No equivalent product exists globally.</w:t>
      </w:r>
    </w:p>
    <w:p>
      <w:pPr>
        <w:pStyle w:val="ListParagraph"/>
        <w:numPr>
          <w:ilvl w:val="0"/>
          <w:numId w:val="2"/>
        </w:numPr>
        <w:spacing w:after="80" w:line="280"/>
      </w:pPr>
      <w:r>
        <w:rPr>
          <w:rFonts w:ascii="Arial" w:cs="Arial" w:eastAsia="Arial" w:hAnsi="Arial"/>
          <w:b/>
          <w:bCs/>
          <w:color w:val="333333"/>
          <w:sz w:val="21"/>
          <w:szCs w:val="21"/>
        </w:rPr>
        <w:t xml:space="preserve">Cross-domain interpretive OS: </w:t>
      </w:r>
      <w:r>
        <w:rPr>
          <w:rFonts w:ascii="Arial" w:cs="Arial" w:eastAsia="Arial" w:hAnsi="Arial"/>
          <w:color w:val="333333"/>
          <w:sz w:val="21"/>
          <w:szCs w:val="21"/>
        </w:rPr>
        <w:t xml:space="preserve">The same core operating principles applied consistently across banking, education, wealth management, and creative business. The integration itself is the IP.</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III. Domestic Market Assessment</w:t>
      </w:r>
    </w:p>
    <w:p>
      <w:pPr>
        <w:pStyle w:val="Heading2"/>
        <w:spacing w:before="280" w:after="160"/>
      </w:pPr>
      <w:r>
        <w:rPr>
          <w:rFonts w:ascii="Georgia" w:cs="Georgia" w:eastAsia="Georgia" w:hAnsi="Georgia"/>
          <w:b/>
          <w:bCs/>
          <w:color w:val="2E5E8E"/>
          <w:sz w:val="26"/>
          <w:szCs w:val="26"/>
        </w:rPr>
        <w:t xml:space="preserve">A. WayPoint Core — Financial Positioning System</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$3.8 billion (financial wellness software market, growing 15%+ annually)</w:t>
      </w:r>
    </w:p>
    <w:p>
      <w:pPr>
        <w:spacing w:after="160" w:line="300"/>
        <w:jc w:val="both"/>
      </w:pPr>
      <w:r>
        <w:rPr>
          <w:rFonts w:ascii="Arial" w:cs="Arial" w:eastAsia="Arial" w:hAnsi="Arial"/>
          <w:color w:val="333333"/>
          <w:sz w:val="21"/>
          <w:szCs w:val="21"/>
        </w:rPr>
        <w:t xml:space="preserve">The competitive landscape includes well-funded players: Monarch Money ($75M raised, $25M ARR, 2000% growth), Cleo AI ($319M raised, $186M ARR, 7M users, though facing an FTC lawsuit as of March 2025), Rocket Money ($1.275B acquisition by Rocket Companies), and Albert ($170M raised). Neobanks like Chime (22.3M users, $25B valuation, IPO expected), SoFi (public, holds a bank charter), and Dave (NASDAQ-listed, rebounded to approximately $3B market cap with 1.50% delinquency via AI underwriting) operate adjacent.</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White Space Confirmed: No competitor uses the “Financial Positioning System” or “Financial GPS” framing. The gap between raw data aggregation (Plaid, MX Technologies) and interpretive positional intelligence is unoccupied. Monarch’s trajectory forecasting and Cleo’s proactive surfacing are the closest analogs, but both remain reactive budgeting tools. WayPoint interprets position, not just transactions.</w:t>
      </w:r>
    </w:p>
    <w:p>
      <w:pPr>
        <w:pStyle w:val="Heading2"/>
        <w:spacing w:before="280" w:after="160"/>
      </w:pPr>
      <w:r>
        <w:rPr>
          <w:rFonts w:ascii="Georgia" w:cs="Georgia" w:eastAsia="Georgia" w:hAnsi="Georgia"/>
          <w:b/>
          <w:bCs/>
          <w:color w:val="2E5E8E"/>
          <w:sz w:val="26"/>
          <w:szCs w:val="26"/>
        </w:rPr>
        <w:t xml:space="preserve">B. WayPoint Renaissance — Re-entry Banking</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5.6M unbanked households + 19M underbanked households. 600,000 annual prison releases. $36–42B alternative financial services market.</w:t>
      </w:r>
    </w:p>
    <w:p>
      <w:pPr>
        <w:spacing w:after="160" w:line="300"/>
        <w:jc w:val="both"/>
      </w:pPr>
      <w:r>
        <w:rPr>
          <w:rFonts w:ascii="Arial" w:cs="Arial" w:eastAsia="Arial" w:hAnsi="Arial"/>
          <w:color w:val="333333"/>
          <w:sz w:val="21"/>
          <w:szCs w:val="21"/>
        </w:rPr>
        <w:t xml:space="preserve">The competitive field is remarkably thin. Stretch is the only dedicated re-entry challenger bank and remains very early-stage. Diverge Federal Credit Union received its NCUA charter approval but is still seeking funding. Second-chance banking options exist at major institutions (Capital One 360, Chime, Wells Fargo Clear Access, Chase Secure Banking) but these are restricted checking accounts priced at $4–5/month, not purpose-built platforms. Self Financial ($175M+ raised, 47-point VantageScore improvement per TransUnion 2025 data) leads in credit building but does not offer banking or employment resources.</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White Space Confirmed: A comprehensive platform combining second-chance banking, credit building, financial education, and employment resources purpose-built for re-entry populations is essentially unserved. This is the most mission-aligned product in the portfolio and the least competitively challenged.</w:t>
      </w:r>
    </w:p>
    <w:p>
      <w:pPr>
        <w:pStyle w:val="Heading2"/>
        <w:spacing w:before="280" w:after="160"/>
      </w:pPr>
      <w:r>
        <w:rPr>
          <w:rFonts w:ascii="Georgia" w:cs="Georgia" w:eastAsia="Georgia" w:hAnsi="Georgia"/>
          <w:b/>
          <w:bCs/>
          <w:color w:val="2E5E8E"/>
          <w:sz w:val="26"/>
          <w:szCs w:val="26"/>
        </w:rPr>
        <w:t xml:space="preserve">C. WayPoint Edge — Excluded Verticals</w:t>
      </w:r>
    </w:p>
    <w:p>
      <w:pPr>
        <w:pStyle w:val="Heading3"/>
        <w:spacing w:before="200" w:after="120"/>
      </w:pPr>
      <w:r>
        <w:rPr>
          <w:rFonts w:ascii="Arial" w:cs="Arial" w:eastAsia="Arial" w:hAnsi="Arial"/>
          <w:b/>
          <w:bCs/>
          <w:color w:val="1B2A4A"/>
          <w:sz w:val="22"/>
          <w:szCs w:val="22"/>
        </w:rPr>
        <w:t xml:space="preserve">Cannabis Banking</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$38B US cannabis industry, 440,000+ jobs. Only approximately 830 banks and credit unions serve cannabis businesses out of 10,000+ nationally.</w:t>
      </w:r>
    </w:p>
    <w:p>
      <w:pPr>
        <w:spacing w:after="160" w:line="300"/>
        <w:jc w:val="both"/>
      </w:pPr>
      <w:r>
        <w:rPr>
          <w:rFonts w:ascii="Arial" w:cs="Arial" w:eastAsia="Arial" w:hAnsi="Arial"/>
          <w:color w:val="333333"/>
          <w:sz w:val="21"/>
          <w:szCs w:val="21"/>
        </w:rPr>
        <w:t xml:space="preserve">The regulatory environment remains in federal limbo. The SAFER Banking Act passed the Senate Banking Committee 14-9 in September 2023 but has not been enacted. A Trump executive order in December 2025 directed Schedule III rescheduling. Cannabis companies currently pay $1,000–$2,500+ monthly in banking fees versus negligible costs for traditional businesses. Safe Harbor Financial (NASDAQ: SHFS) has processed $18B+ but reported a $48.3M loss in 2024 with going-concern doubts. Bespoke Financial holds $28M in equity and $125M in lending capacity. The market is large, underserved, and structurally willing to pay premium fees for reliable access.</w:t>
      </w:r>
    </w:p>
    <w:p>
      <w:pPr>
        <w:pStyle w:val="Heading3"/>
        <w:spacing w:before="200" w:after="120"/>
      </w:pPr>
      <w:r>
        <w:rPr>
          <w:rFonts w:ascii="Arial" w:cs="Arial" w:eastAsia="Arial" w:hAnsi="Arial"/>
          <w:b/>
          <w:bCs/>
          <w:color w:val="1B2A4A"/>
          <w:sz w:val="22"/>
          <w:szCs w:val="22"/>
        </w:rPr>
        <w:t xml:space="preserve">Creator Economy</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$149–212B globally, 19–23% CAGR.</w:t>
      </w:r>
    </w:p>
    <w:p>
      <w:pPr>
        <w:spacing w:after="160" w:line="300"/>
        <w:jc w:val="both"/>
      </w:pPr>
      <w:r>
        <w:rPr>
          <w:rFonts w:ascii="Arial" w:cs="Arial" w:eastAsia="Arial" w:hAnsi="Arial"/>
          <w:color w:val="333333"/>
          <w:sz w:val="21"/>
          <w:szCs w:val="21"/>
        </w:rPr>
        <w:t xml:space="preserve">Karat Financial ($100M+ raised, Visa partnership, launched full banking in May 2025) dominates the creator credit card segment with underwriting based on social metrics rather than FICO. Willa ($21M raised, Sweden-based) appears to have shut down. Stir ($20.7M raised, a16z-backed) maintains a low profile. The market is better served than cannabis but remains fragmented, particularly for non-US creators.</w:t>
      </w:r>
    </w:p>
    <w:p>
      <w:pPr>
        <w:pStyle w:val="Heading3"/>
        <w:spacing w:before="200" w:after="120"/>
      </w:pPr>
      <w:r>
        <w:rPr>
          <w:rFonts w:ascii="Arial" w:cs="Arial" w:eastAsia="Arial" w:hAnsi="Arial"/>
          <w:b/>
          <w:bCs/>
          <w:color w:val="1B2A4A"/>
          <w:sz w:val="22"/>
          <w:szCs w:val="22"/>
        </w:rPr>
        <w:t xml:space="preserve">Adult Entertainment</w:t>
      </w:r>
    </w:p>
    <w:p>
      <w:pPr>
        <w:spacing w:after="160" w:line="300"/>
        <w:jc w:val="both"/>
      </w:pPr>
      <w:r>
        <w:rPr>
          <w:rFonts w:ascii="Arial" w:cs="Arial" w:eastAsia="Arial" w:hAnsi="Arial"/>
          <w:color w:val="333333"/>
          <w:sz w:val="21"/>
          <w:szCs w:val="21"/>
        </w:rPr>
        <w:t xml:space="preserve">No dedicated mainstream fintech offers a full banking product for this industry. Payment processors like Paxum, CCBill, and Segpay charge fees up to 15% versus the standard 2.9%. Operation Choke Point’s legacy persists despite its formal termination. FDIC and OCC have questioned “reputational risk” as a basis for debanking, but practical change is slow. This remains the most underserved vertical in financial services.</w:t>
      </w:r>
    </w:p>
    <w:p>
      <w:pPr>
        <w:pStyle w:val="Heading2"/>
        <w:spacing w:before="280" w:after="160"/>
      </w:pPr>
      <w:r>
        <w:rPr>
          <w:rFonts w:ascii="Georgia" w:cs="Georgia" w:eastAsia="Georgia" w:hAnsi="Georgia"/>
          <w:b/>
          <w:bCs/>
          <w:color w:val="2E5E8E"/>
          <w:sz w:val="26"/>
          <w:szCs w:val="26"/>
        </w:rPr>
        <w:t xml:space="preserve">D. WayPoint Crown — Family Office Governance</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Approximately 9,000 single family offices managing $6T+ globally. Software market $3.95B growing 5–8% CAGR. Projected $5.4T AUM by 2030.</w:t>
      </w:r>
    </w:p>
    <w:p>
      <w:pPr>
        <w:spacing w:after="160" w:line="300"/>
        <w:jc w:val="both"/>
      </w:pPr>
      <w:r>
        <w:rPr>
          <w:rFonts w:ascii="Arial" w:cs="Arial" w:eastAsia="Arial" w:hAnsi="Arial"/>
          <w:color w:val="333333"/>
          <w:sz w:val="21"/>
          <w:szCs w:val="21"/>
        </w:rPr>
        <w:t xml:space="preserve">The competitive landscape for portfolio management is well-established: Addepar ($3.25B valuation, $8T+ AUM on platform, $229K average revenue per customer) leads the category. Eton Solutions ($58M Series C, $1.3T across 800+ families, revenue quadrupled in three years) dominates operations. Wealth.com ($30M Series A, Google Ventures) and Vanilla ($66–85M+ raised, Insight Partners, Vanguard, Michael Jordan) lead estate planning technology.</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White Space Confirmed: No platform dominates family governance, succession planning technology, or next-generation engagement tools. 65% of family offices have a family charter, 69% have succession plans, 60% expect generational transition within a decade—yet technology supporting these functions is essentially nonexistent as a product category. No “Trust Index.” No stewardship curricula as technology. No integrated family communication, voting, or decision-making for wealth governance. AI adoption in family offices tripled from 2024 to 2025, but 78% remain in pilot or exploration stages. WayPoint Crown’s governance-first positioning enters genuinely unoccupied territory.</w:t>
      </w:r>
    </w:p>
    <w:p>
      <w:pPr>
        <w:pStyle w:val="Heading2"/>
        <w:spacing w:before="280" w:after="160"/>
      </w:pPr>
      <w:r>
        <w:rPr>
          <w:rFonts w:ascii="Georgia" w:cs="Georgia" w:eastAsia="Georgia" w:hAnsi="Georgia"/>
          <w:b/>
          <w:bCs/>
          <w:color w:val="2E5E8E"/>
          <w:sz w:val="26"/>
          <w:szCs w:val="26"/>
        </w:rPr>
        <w:t xml:space="preserve">E. Crown’s Eye — K-12 Adaptive Learning</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AI-in-K-12 market $370–391M (2024) growing to $5.2–9.2B by 2032–2034 at 39% CAGR. Broader US K-12 edtech $22–37B.</w:t>
      </w:r>
    </w:p>
    <w:p>
      <w:pPr>
        <w:spacing w:after="160" w:line="300"/>
        <w:jc w:val="both"/>
      </w:pPr>
      <w:r>
        <w:rPr>
          <w:rFonts w:ascii="Arial" w:cs="Arial" w:eastAsia="Arial" w:hAnsi="Arial"/>
          <w:color w:val="333333"/>
          <w:sz w:val="21"/>
          <w:szCs w:val="21"/>
        </w:rPr>
        <w:t xml:space="preserve">Major competitors include Khan Academy’s Khanmigo (scaled from 40K to 700K students in one year), Carnegie Learning MATHia (RAND study: 16 percentile point algebra improvement), and IXL Learning (17M+ students, profitable, privately held). Crown’s Eye’s loading of 6,030 Georgia standards represents a differentiated approach if measurable outcomes can be demonstrated. Financial literacy integrated with academic standards is nearly unserved as a market.</w:t>
      </w:r>
    </w:p>
    <w:p>
      <w:pPr>
        <w:pStyle w:val="Heading2"/>
        <w:spacing w:before="280" w:after="160"/>
      </w:pPr>
      <w:r>
        <w:rPr>
          <w:rFonts w:ascii="Georgia" w:cs="Georgia" w:eastAsia="Georgia" w:hAnsi="Georgia"/>
          <w:b/>
          <w:bCs/>
          <w:color w:val="2E5E8E"/>
          <w:sz w:val="26"/>
          <w:szCs w:val="26"/>
        </w:rPr>
        <w:t xml:space="preserve">F. Integra — AI Orchestration</w:t>
      </w:r>
    </w:p>
    <w:p>
      <w:pPr>
        <w:spacing w:after="160" w:line="300"/>
        <w:jc w:val="both"/>
      </w:pPr>
      <w:r>
        <w:rPr>
          <w:rFonts w:ascii="Arial" w:cs="Arial" w:eastAsia="Arial" w:hAnsi="Arial"/>
          <w:b/>
          <w:bCs/>
          <w:color w:val="333333"/>
          <w:sz w:val="21"/>
          <w:szCs w:val="21"/>
        </w:rPr>
        <w:t xml:space="preserve">TAM: </w:t>
      </w:r>
      <w:r>
        <w:rPr>
          <w:rFonts w:ascii="Arial" w:cs="Arial" w:eastAsia="Arial" w:hAnsi="Arial"/>
          <w:color w:val="333333"/>
          <w:sz w:val="21"/>
          <w:szCs w:val="21"/>
        </w:rPr>
        <w:t xml:space="preserve">$11B (2025) growing to $30B by 2030. IDC projects 70% of top AI enterprises will use multi-model routing by 2028.</w:t>
      </w:r>
    </w:p>
    <w:p>
      <w:pPr>
        <w:spacing w:after="160" w:line="300"/>
        <w:jc w:val="both"/>
      </w:pPr>
      <w:r>
        <w:rPr>
          <w:rFonts w:ascii="Arial" w:cs="Arial" w:eastAsia="Arial" w:hAnsi="Arial"/>
          <w:color w:val="333333"/>
          <w:sz w:val="21"/>
          <w:szCs w:val="21"/>
        </w:rPr>
        <w:t xml:space="preserve">Competitors include Portkey (enterprise gateway, 200+ LLMs, SOC2/ISO 27001/HIPAA compliant), OpenRouter ($40M raised, $500M valuation), and Martian ($9M raised, patent-pending router). Governance-focused competitors include Patronus AI ($40M raised) and Arthur AI. The critical gap: no platform combines multi-model orchestration with financial-services-specific governance controls. Integra’s “governance-not-guardrails” concept is genuinely novel. The Poe dependency must be resolved for this positioning to be credible.</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IV. International Landscape Assessment</w:t>
      </w:r>
    </w:p>
    <w:p>
      <w:pPr>
        <w:spacing w:after="160" w:line="300"/>
        <w:jc w:val="both"/>
      </w:pPr>
      <w:r>
        <w:rPr>
          <w:rFonts w:ascii="Arial" w:cs="Arial" w:eastAsia="Arial" w:hAnsi="Arial"/>
          <w:color w:val="333333"/>
          <w:sz w:val="21"/>
          <w:szCs w:val="21"/>
        </w:rPr>
        <w:t xml:space="preserve">The domestic assessment identified verified white space. The international assessment confirms that white space is global—and in most cases, wider internationally than domestically. The following analysis covers regulatory environments, market sizing, competitive gaps, and specific entry pathways across 15+ geographies.</w:t>
      </w:r>
    </w:p>
    <w:p>
      <w:pPr>
        <w:pStyle w:val="Heading2"/>
        <w:spacing w:before="280" w:after="160"/>
      </w:pPr>
      <w:r>
        <w:rPr>
          <w:rFonts w:ascii="Georgia" w:cs="Georgia" w:eastAsia="Georgia" w:hAnsi="Georgia"/>
          <w:b/>
          <w:bCs/>
          <w:color w:val="2E5E8E"/>
          <w:sz w:val="26"/>
          <w:szCs w:val="26"/>
        </w:rPr>
        <w:t xml:space="preserve">A. Open Banking: The $130B Interpretive Intelligence Market</w:t>
      </w:r>
    </w:p>
    <w:p>
      <w:pPr>
        <w:spacing w:after="160" w:line="300"/>
        <w:jc w:val="both"/>
      </w:pPr>
      <w:r>
        <w:rPr>
          <w:rFonts w:ascii="Arial" w:cs="Arial" w:eastAsia="Arial" w:hAnsi="Arial"/>
          <w:color w:val="333333"/>
          <w:sz w:val="21"/>
          <w:szCs w:val="21"/>
        </w:rPr>
        <w:t xml:space="preserve">WayPoint’s core thesis—an interpretive intelligence layer on banking rails—maps directly onto the global open banking explosion. The global market reached $28–35 billion in 2024 and is projected to hit $128–306 billion by 2030–2035.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Market</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Scale Indicator</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Opportunity</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Entry Pathway</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UK</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16.5M user connections, 24B API calls (2025, +27% YoY)</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FCA Data Use &amp; Access Act 2025 expands to pensions, insurance, investments</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FCA Supercharged Sandbox + AI Lab</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Brazil</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102B API calls (2024), 160M Pix users, $4.6T processed</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60% of low-income lack credit cards but use Pix. 3.48% fraud rate vs 0.47% US</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Partnership with local bank or open finance provider</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India</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228.3B UPI transactions (2025), 240M AA consents</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$330B credit gap addressable via OCEN. 1,059% annual AA growth</w:t>
            </w:r>
          </w:p>
        </w:tc>
        <w:tc>
          <w:tcPr>
            <w:tcW w:type="dxa" w:w="25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AA ecosystem integration, DIKSHA platform partnership</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EU</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PSD3 and FIDA regulation in progress</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FIDA creates FISP license category for data analytics firms. 24–48 month window</w:t>
            </w:r>
          </w:p>
        </w:tc>
        <w:tc>
          <w:tcPr>
            <w:tcW w:type="dxa" w:w="25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Lithuania EMI license ($495–615K) passports to all 30 EEA countries</w:t>
            </w:r>
          </w:p>
        </w:tc>
      </w:tr>
    </w:tbl>
    <w:p>
      <w:pPr>
        <w:spacing w:before="80" w:after="80"/>
      </w:pPr>
    </w:p>
    <w:p>
      <w:pPr>
        <w:spacing w:after="160" w:line="300"/>
        <w:jc w:val="both"/>
      </w:pPr>
      <w:r>
        <w:rPr>
          <w:rFonts w:ascii="Arial" w:cs="Arial" w:eastAsia="Arial" w:hAnsi="Arial"/>
          <w:color w:val="333333"/>
          <w:sz w:val="21"/>
          <w:szCs w:val="21"/>
        </w:rPr>
        <w:t xml:space="preserve">The UK presents the most immediate international opportunity for WayPoint. The FCA’s March 2025 Open Finance Sprint identified “AI-driven alerts and guidance” and “agentic AI” as key enablers—precisely WayPoint’s positioning. Current UK competitors like Bud Financial ($80M Series B, B2B data intelligence) and Moneyhub are domestically focused; no single player provides a unified interpretive layer across UK and EU markets simultaneously.</w:t>
      </w:r>
    </w:p>
    <w:p>
      <w:pPr>
        <w:spacing w:after="160" w:line="300"/>
        <w:jc w:val="both"/>
      </w:pPr>
      <w:r>
        <w:rPr>
          <w:rFonts w:ascii="Arial" w:cs="Arial" w:eastAsia="Arial" w:hAnsi="Arial"/>
          <w:color w:val="333333"/>
          <w:sz w:val="21"/>
          <w:szCs w:val="21"/>
        </w:rPr>
        <w:t xml:space="preserve">The EU’s FIDA regulation deserves strategic attention now. FIDA will create Financial Information Service Providers as a new licensed entity category—purpose-built for companies that consolidate financial data and provide value-added analytics. It extends beyond payments into mortgages, loans, savings, investments, crypto, insurance, and pensions. Final adoption is expected in the first half of 2026 with a 24–48 month compliance window. Companies building for FIDA today gain decisive first-mover advantage when the market opens in 2028–2029.</w:t>
      </w:r>
    </w:p>
    <w:p>
      <w:pPr>
        <w:pStyle w:val="Heading2"/>
        <w:spacing w:before="280" w:after="160"/>
      </w:pPr>
      <w:r>
        <w:rPr>
          <w:rFonts w:ascii="Georgia" w:cs="Georgia" w:eastAsia="Georgia" w:hAnsi="Georgia"/>
          <w:b/>
          <w:bCs/>
          <w:color w:val="2E5E8E"/>
          <w:sz w:val="26"/>
          <w:szCs w:val="26"/>
        </w:rPr>
        <w:t xml:space="preserve">B. Family Office Technology: A Global Category-Creation Opportunity</w:t>
      </w:r>
    </w:p>
    <w:p>
      <w:pPr>
        <w:spacing w:after="160" w:line="300"/>
        <w:jc w:val="both"/>
      </w:pPr>
      <w:r>
        <w:rPr>
          <w:rFonts w:ascii="Arial" w:cs="Arial" w:eastAsia="Arial" w:hAnsi="Arial"/>
          <w:color w:val="333333"/>
          <w:sz w:val="21"/>
          <w:szCs w:val="21"/>
        </w:rPr>
        <w:t xml:space="preserve">After analysis of every major family office technology platform worldwide, this team confirms: no platform globally offers Trust Index scoring, stewardship curricula, or governance-as-a-technology as a distinct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000"/>
        <w:gridCol w:w="1960"/>
        <w:gridCol w:w="19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Region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Family Offices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AUM</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Governance Need</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Entry Cost</w:t>
            </w:r>
          </w:p>
        </w:tc>
      </w:tr>
      <w:tr>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UAE/GCC</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~290 offices</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$500B+ (2025), $2T transfer projected</w:t>
            </w:r>
          </w:p>
        </w:tc>
        <w:tc>
          <w:tcPr>
            <w:tcW w:type="dxa" w:w="19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First-to-second generation transitions happening now</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DIFC Innovation License: $8–14K</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Singapore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2,000+ SFOs (+43% in 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$5.8T UHNW transfer across Asia (2023–2030)</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Many first-gen offices, no governance frameworks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MAS Sandbox: $5–15K initial</w:t>
            </w:r>
          </w:p>
        </w:tc>
      </w:tr>
      <w:tr>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Hong Kong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3,380+ SFOs (+25% in 2024)</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Targets largest cross-border WM center by 2028</w:t>
            </w:r>
          </w:p>
        </w:tc>
        <w:tc>
          <w:tcPr>
            <w:tcW w:type="dxa" w:w="19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Cross-border complexity demands governance tools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SFC sandbox available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Saudi Arabia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Growing rapidly under Vision 2030</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PIF: $930B+ AUM</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Sharia compliance + succession planning = unique module opportunity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SAMA sandbox or Saudi Fintech partnership</w:t>
            </w:r>
          </w:p>
        </w:tc>
      </w:tr>
    </w:tbl>
    <w:p>
      <w:pPr>
        <w:spacing w:before="80" w:after="80"/>
      </w:pPr>
    </w:p>
    <w:p>
      <w:pPr>
        <w:spacing w:after="160" w:line="300"/>
        <w:jc w:val="both"/>
      </w:pPr>
      <w:r>
        <w:rPr>
          <w:rFonts w:ascii="Arial" w:cs="Arial" w:eastAsia="Arial" w:hAnsi="Arial"/>
          <w:color w:val="333333"/>
          <w:sz w:val="21"/>
          <w:szCs w:val="21"/>
        </w:rPr>
        <w:t xml:space="preserve">The UAE is the single highest-priority international market for WayPoint Crown. DIFC introduced Family Arrangements Regulations in 2023–2024. The UAE Family Business Law supports governance and continuity. The combination of Sharia compliance requirements, multi-entity structures across DIFC, ADGM, and offshore jurisdictions, and the urgency of succession planning creates acute demand for exactly what WayPoint Crown provides. A DIFC Innovation License can be obtained in 4–6 weeks for approximately $10,000. Singapore added roughly 600 new single-family offices in 2024 alone, up from just 400 in 2020, and the vast majority are first-generation offices with no established governance technology.</w:t>
      </w:r>
    </w:p>
    <w:p>
      <w:pPr>
        <w:pStyle w:val="Heading2"/>
        <w:spacing w:before="280" w:after="160"/>
      </w:pPr>
      <w:r>
        <w:rPr>
          <w:rFonts w:ascii="Georgia" w:cs="Georgia" w:eastAsia="Georgia" w:hAnsi="Georgia"/>
          <w:b/>
          <w:bCs/>
          <w:color w:val="2E5E8E"/>
          <w:sz w:val="26"/>
          <w:szCs w:val="26"/>
        </w:rPr>
        <w:t xml:space="preserve">C. AI Governance: Regulatory Mandates Create $2–5B in Forced Demand</w:t>
      </w:r>
    </w:p>
    <w:p>
      <w:pPr>
        <w:spacing w:after="160" w:line="300"/>
        <w:jc w:val="both"/>
      </w:pPr>
      <w:r>
        <w:rPr>
          <w:rFonts w:ascii="Arial" w:cs="Arial" w:eastAsia="Arial" w:hAnsi="Arial"/>
          <w:color w:val="333333"/>
          <w:sz w:val="21"/>
          <w:szCs w:val="21"/>
        </w:rPr>
        <w:t xml:space="preserve">The EU AI Act entered into force in August 2024 and classifies financial AI systems—including credit scoring, fraud detection, algorithmic trading, and insurance underwriting—as high-risk. Full compliance is required by August 2, 2026. Penalties reach €35 million or 7% of global annual turnover, exceeding GDPR fines. This creates a compliance-driven purchasing cycle across thousands of European financial institutions over the next 18–24 months.</w:t>
      </w:r>
    </w:p>
    <w:p>
      <w:pPr>
        <w:spacing w:after="160" w:line="300"/>
        <w:jc w:val="both"/>
      </w:pPr>
      <w:r>
        <w:rPr>
          <w:rFonts w:ascii="Arial" w:cs="Arial" w:eastAsia="Arial" w:hAnsi="Arial"/>
          <w:color w:val="333333"/>
          <w:sz w:val="21"/>
          <w:szCs w:val="21"/>
        </w:rPr>
        <w:t xml:space="preserve">The UK takes a pro-innovation approach without prescriptive AI-specific regulation. 75% of UK financial firms already use AI (up from 58% in 2022). The FCA’s AI Lab and Supercharged Sandbox provide direct entry pathways for governance technology. Singapore’s MAS issued mandatory AI Model Risk Management guidelines in December 2024. Hong Kong’s regulators issued mandatory GenAI and AML AI circulars requiring governance tools.</w:t>
      </w:r>
    </w:p>
    <w:p>
      <w:pPr>
        <w:spacing w:after="160" w:line="300"/>
        <w:jc w:val="both"/>
      </w:pPr>
      <w:r>
        <w:rPr>
          <w:rFonts w:ascii="Arial" w:cs="Arial" w:eastAsia="Arial" w:hAnsi="Arial"/>
          <w:color w:val="333333"/>
          <w:sz w:val="21"/>
          <w:szCs w:val="21"/>
        </w:rPr>
        <w:t xml:space="preserve">The competitive gap is clear: orchestration platforms like LangChain lack governance. Governance platforms like Credo AI and Holistic AI lack orchestration. Enterprise platforms like IBM watsonx offer both but are horizontal. No major player offers a purpose-built, multi-model AI orchestration platform with embedded governance controls specifically designed for financial services. This is Integra’s positioning.</w:t>
      </w:r>
    </w:p>
    <w:p>
      <w:pPr>
        <w:pStyle w:val="Heading2"/>
        <w:spacing w:before="280" w:after="160"/>
      </w:pPr>
      <w:r>
        <w:rPr>
          <w:rFonts w:ascii="Georgia" w:cs="Georgia" w:eastAsia="Georgia" w:hAnsi="Georgia"/>
          <w:b/>
          <w:bCs/>
          <w:color w:val="2E5E8E"/>
          <w:sz w:val="26"/>
          <w:szCs w:val="26"/>
        </w:rPr>
        <w:t xml:space="preserve">D. Excluded Verticals: International Demand Exceeds Domestic</w:t>
      </w:r>
    </w:p>
    <w:p>
      <w:pPr>
        <w:spacing w:after="160" w:line="300"/>
        <w:jc w:val="both"/>
      </w:pPr>
      <w:r>
        <w:rPr>
          <w:rFonts w:ascii="Arial" w:cs="Arial" w:eastAsia="Arial" w:hAnsi="Arial"/>
          <w:color w:val="333333"/>
          <w:sz w:val="21"/>
          <w:szCs w:val="21"/>
        </w:rPr>
        <w:t xml:space="preserve">Canada presents the most acute international opportunity for WayPoint Edge. Despite full federal cannabis legalization since October 2018, 95% of cannabis retailers have been denied traditional banking services. Canada’s Big Five banks largely refuse cannabis accounts. BMO, the most accommodating, charges $5,000 per year with restricted services. No equivalent of Safe Harbor Financial exists in Canada.</w:t>
      </w:r>
    </w:p>
    <w:p>
      <w:pPr>
        <w:spacing w:after="160" w:line="300"/>
        <w:jc w:val="both"/>
      </w:pPr>
      <w:r>
        <w:rPr>
          <w:rFonts w:ascii="Arial" w:cs="Arial" w:eastAsia="Arial" w:hAnsi="Arial"/>
          <w:color w:val="333333"/>
          <w:sz w:val="21"/>
          <w:szCs w:val="21"/>
        </w:rPr>
        <w:t xml:space="preserve">Germany legalized cannabis on April 1, 2024, with a projected $2.2 billion market by 2028, but has no banking framework for the industry. The global creator economy ($205 billion, projected $480 billion by 2027) is drastically underserved for banking outside the US, particularly in Asia-Pacific (the fastest-growing region at 25.1% CAGR). The adult entertainment industry ($62–66 billion globally) faces systematic debanking worldwide—89% of platforms face payment processor rejection within the first year, and 63% of workers have lost a bank account.</w:t>
      </w:r>
    </w:p>
    <w:p>
      <w:pPr>
        <w:pStyle w:val="Heading2"/>
        <w:spacing w:before="280" w:after="160"/>
      </w:pPr>
      <w:r>
        <w:rPr>
          <w:rFonts w:ascii="Georgia" w:cs="Georgia" w:eastAsia="Georgia" w:hAnsi="Georgia"/>
          <w:b/>
          <w:bCs/>
          <w:color w:val="2E5E8E"/>
          <w:sz w:val="26"/>
          <w:szCs w:val="26"/>
        </w:rPr>
        <w:t xml:space="preserve">E. EdTech: Africa and the Middle East Represent $25B+ in Addressable Market</w:t>
      </w:r>
    </w:p>
    <w:p>
      <w:pPr>
        <w:spacing w:after="160" w:line="300"/>
        <w:jc w:val="both"/>
      </w:pPr>
      <w:r>
        <w:rPr>
          <w:rFonts w:ascii="Arial" w:cs="Arial" w:eastAsia="Arial" w:hAnsi="Arial"/>
          <w:color w:val="333333"/>
          <w:sz w:val="21"/>
          <w:szCs w:val="21"/>
        </w:rPr>
        <w:t xml:space="preserve">Africa’s edtech market reached $3.4 billion in 2024 and is projected to hit $19.7 billion by 2034. Nigeria dominates with 34% of Africa’s top 50 edtech companies and $270–300 million in revenues. Saudi Arabia invests SAR 201 billion (~$53.5 billion) annually in education, targeting 50% of education delivery via e-learning by 2030. The Middle East edtech market is expected to grow from $2.3 billion to $6.8 billion by 2033. India’s post-Byju’s market ($7.5 billion, projected $29 billion by 2030) is recovering with Physics Wallah as the new anchor at a $2.8 billion valuation.</w:t>
      </w:r>
    </w:p>
    <w:p>
      <w:pPr>
        <w:spacing w:after="160" w:line="300"/>
        <w:jc w:val="both"/>
      </w:pPr>
      <w:r>
        <w:rPr>
          <w:rFonts w:ascii="Arial" w:cs="Arial" w:eastAsia="Arial" w:hAnsi="Arial"/>
          <w:color w:val="333333"/>
          <w:sz w:val="21"/>
          <w:szCs w:val="21"/>
        </w:rPr>
        <w:t xml:space="preserve">Crown’s Eye’s strongest international differentiator would be multi-curriculum support—very few platforms operate across multiple national standards. Building alignment to Common Core, UK National Curriculum, Cambridge International (10,000+ schools in 160 countries), IB, Saudi national curriculum, and WAEC would create a uniquely positioned platform in a deeply fragmented global market.</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V. Regulatory Environment</w:t>
      </w:r>
    </w:p>
    <w:p>
      <w:pPr>
        <w:pStyle w:val="Heading2"/>
        <w:spacing w:before="280" w:after="160"/>
      </w:pPr>
      <w:r>
        <w:rPr>
          <w:rFonts w:ascii="Georgia" w:cs="Georgia" w:eastAsia="Georgia" w:hAnsi="Georgia"/>
          <w:b/>
          <w:bCs/>
          <w:color w:val="2E5E8E"/>
          <w:sz w:val="26"/>
          <w:szCs w:val="26"/>
        </w:rPr>
        <w:t xml:space="preserve">Post-Synapse Domestic Landscape</w:t>
      </w:r>
    </w:p>
    <w:p>
      <w:pPr>
        <w:spacing w:after="160" w:line="300"/>
        <w:jc w:val="both"/>
      </w:pPr>
      <w:r>
        <w:rPr>
          <w:rFonts w:ascii="Arial" w:cs="Arial" w:eastAsia="Arial" w:hAnsi="Arial"/>
          <w:color w:val="333333"/>
          <w:sz w:val="21"/>
          <w:szCs w:val="21"/>
        </w:rPr>
        <w:t xml:space="preserve">The Synapse Financial collapse in April 2024 affected 200,000 accounts, froze $265 million, and left $65–96 million unaccounted for. The resulting regulatory crackdown fundamentally reshaped the Banking-as-a-Service landscape. Nearly every major sponsor bank has received enforcement actions: Evolve Bank (cease-and-desist, prohibited from new fintech partnerships), Blue Ridge Bank (placed in “troubled condition,” fully exited BaaS), Piermont Bank (35-page consent order), Thread Bank (explicit BaaS oversight requirements), and Lineage Bank (enhanced capital requirements, must terminate some fintech partners).</w:t>
      </w:r>
    </w:p>
    <w:p>
      <w:pPr>
        <w:spacing w:after="160" w:line="300"/>
        <w:jc w:val="both"/>
      </w:pPr>
      <w:r>
        <w:rPr>
          <w:rFonts w:ascii="Arial" w:cs="Arial" w:eastAsia="Arial" w:hAnsi="Arial"/>
          <w:color w:val="333333"/>
          <w:sz w:val="21"/>
          <w:szCs w:val="21"/>
        </w:rPr>
        <w:t xml:space="preserve">Despite this environment, stable partners remain. This report recommends two primary candidates:</w:t>
      </w:r>
    </w:p>
    <w:p>
      <w:pPr>
        <w:pStyle w:val="ListParagraph"/>
        <w:numPr>
          <w:ilvl w:val="0"/>
          <w:numId w:val="2"/>
        </w:numPr>
        <w:spacing w:after="80" w:line="280"/>
      </w:pPr>
      <w:r>
        <w:rPr>
          <w:rFonts w:ascii="Arial" w:cs="Arial" w:eastAsia="Arial" w:hAnsi="Arial"/>
          <w:b/>
          <w:bCs/>
          <w:color w:val="333333"/>
          <w:sz w:val="21"/>
          <w:szCs w:val="21"/>
        </w:rPr>
        <w:t xml:space="preserve">Column: </w:t>
      </w:r>
      <w:r>
        <w:rPr>
          <w:rFonts w:ascii="Arial" w:cs="Arial" w:eastAsia="Arial" w:hAnsi="Arial"/>
          <w:color w:val="333333"/>
          <w:sz w:val="21"/>
          <w:szCs w:val="21"/>
        </w:rPr>
        <w:t xml:space="preserve">$55M revenue, +126% year-over-year growth, no consent orders, national bank charter, built by Plaid’s co-founder. The cleanest compliance record in BaaS.</w:t>
      </w:r>
    </w:p>
    <w:p>
      <w:pPr>
        <w:pStyle w:val="ListParagraph"/>
        <w:numPr>
          <w:ilvl w:val="0"/>
          <w:numId w:val="2"/>
        </w:numPr>
        <w:spacing w:after="80" w:line="280"/>
      </w:pPr>
      <w:r>
        <w:rPr>
          <w:rFonts w:ascii="Arial" w:cs="Arial" w:eastAsia="Arial" w:hAnsi="Arial"/>
          <w:b/>
          <w:bCs/>
          <w:color w:val="333333"/>
          <w:sz w:val="21"/>
          <w:szCs w:val="21"/>
        </w:rPr>
        <w:t xml:space="preserve">Coastal Community Bank (CCBX division): </w:t>
      </w:r>
      <w:r>
        <w:rPr>
          <w:rFonts w:ascii="Arial" w:cs="Arial" w:eastAsia="Arial" w:hAnsi="Arial"/>
          <w:color w:val="333333"/>
          <w:sz w:val="21"/>
          <w:szCs w:val="21"/>
        </w:rPr>
        <w:t xml:space="preserve">29 fintech partners including Dave, financial inclusion mission-aligned. Strong operational track record.</w:t>
      </w:r>
    </w:p>
    <w:p>
      <w:pPr>
        <w:pStyle w:val="Heading2"/>
        <w:spacing w:before="280" w:after="160"/>
      </w:pPr>
      <w:r>
        <w:rPr>
          <w:rFonts w:ascii="Georgia" w:cs="Georgia" w:eastAsia="Georgia" w:hAnsi="Georgia"/>
          <w:b/>
          <w:bCs/>
          <w:color w:val="2E5E8E"/>
          <w:sz w:val="26"/>
          <w:szCs w:val="26"/>
        </w:rPr>
        <w:t xml:space="preserve">Money Transmission and Licensing</w:t>
      </w:r>
    </w:p>
    <w:p>
      <w:pPr>
        <w:spacing w:after="160" w:line="300"/>
        <w:jc w:val="both"/>
      </w:pPr>
      <w:r>
        <w:rPr>
          <w:rFonts w:ascii="Arial" w:cs="Arial" w:eastAsia="Arial" w:hAnsi="Arial"/>
          <w:color w:val="333333"/>
          <w:sz w:val="21"/>
          <w:szCs w:val="21"/>
        </w:rPr>
        <w:t xml:space="preserve">Nationwide money transmission coverage requires licensing in 49 states plus DC (all except Montana), with aggregate costs of $500K–$2M+ and 12–24 months for full coverage. Georgia requires a $250,000 minimum surety bond. The primary pathway for early-stage fintechs is a bank partnership exemption (operating under the partner’s license), but regulators are scrutinizing this model closely. If a partnership terminates, the fintech immediately needs its own licenses.</w:t>
      </w:r>
    </w:p>
    <w:p>
      <w:pPr>
        <w:pStyle w:val="Heading2"/>
        <w:spacing w:before="280" w:after="160"/>
      </w:pPr>
      <w:r>
        <w:rPr>
          <w:rFonts w:ascii="Georgia" w:cs="Georgia" w:eastAsia="Georgia" w:hAnsi="Georgia"/>
          <w:b/>
          <w:bCs/>
          <w:color w:val="2E5E8E"/>
          <w:sz w:val="26"/>
          <w:szCs w:val="26"/>
        </w:rPr>
        <w:t xml:space="preserve">AI Regulation Timeline</w:t>
      </w:r>
    </w:p>
    <w:p>
      <w:pPr>
        <w:spacing w:after="160" w:line="300"/>
        <w:jc w:val="both"/>
      </w:pPr>
      <w:r>
        <w:rPr>
          <w:rFonts w:ascii="Arial" w:cs="Arial" w:eastAsia="Arial" w:hAnsi="Arial"/>
          <w:color w:val="333333"/>
          <w:sz w:val="21"/>
          <w:szCs w:val="21"/>
        </w:rPr>
        <w:t xml:space="preserve">Two mandates require immediate architectural attention. The Colorado AI Act takes effect June 30, 2026—the first comprehensive state law regulating high-risk AI in financial services, requiring risk management programs, annual impact assessments, and consumer disclosure. The EU AI Act’s high-risk system requirements take full effect August 2, 2026. Both deadlines fall within the next 18 months. Integra’s architecture must support compliance for both by those dates.</w:t>
      </w:r>
    </w:p>
    <w:p>
      <w:pPr>
        <w:pStyle w:val="Heading2"/>
        <w:spacing w:before="280" w:after="160"/>
      </w:pPr>
      <w:r>
        <w:rPr>
          <w:rFonts w:ascii="Georgia" w:cs="Georgia" w:eastAsia="Georgia" w:hAnsi="Georgia"/>
          <w:b/>
          <w:bCs/>
          <w:color w:val="2E5E8E"/>
          <w:sz w:val="26"/>
          <w:szCs w:val="26"/>
        </w:rPr>
        <w:t xml:space="preserve">International Licensing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400"/>
        <w:gridCol w:w="1660"/>
        <w:gridCol w:w="1500"/>
        <w:gridCol w:w="1400"/>
      </w:tblGrid>
      <w:tr>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Jurisdiction</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License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Timeline</w:t>
            </w:r>
          </w:p>
        </w:tc>
        <w:tc>
          <w:tcPr>
            <w:tcW w:type="dxa" w:w="1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Year 1 Cost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Capital Req.</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Best For</w:t>
            </w:r>
          </w:p>
        </w:tc>
      </w:tr>
      <w:tr>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UAE — ADGM</w:t>
            </w:r>
          </w:p>
        </w:tc>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Tech Startup</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1–2 months</w:t>
            </w:r>
          </w:p>
        </w:tc>
        <w:tc>
          <w:tcPr>
            <w:tcW w:type="dxa" w:w="16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$2K–$5K</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Cheapest intl. footprint</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UAE — DIFC</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Innovation</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1–2 months</w:t>
            </w:r>
          </w:p>
        </w:tc>
        <w:tc>
          <w:tcPr>
            <w:tcW w:type="dxa" w:w="1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$8K–$14K</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Family office tech</w:t>
            </w:r>
          </w:p>
        </w:tc>
      </w:tr>
      <w:tr>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UK — Small EMI</w:t>
            </w:r>
          </w:p>
        </w:tc>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Payments (limited)</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4–8 months</w:t>
            </w:r>
          </w:p>
        </w:tc>
        <w:tc>
          <w:tcPr>
            <w:tcW w:type="dxa" w:w="16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$100K–$200K</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None specific</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UK market entry</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Lithuania — EMI</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Full EMI + EU passporting</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6–9 months</w:t>
            </w:r>
          </w:p>
        </w:tc>
        <w:tc>
          <w:tcPr>
            <w:tcW w:type="dxa" w:w="1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$495K–$615K</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$385K</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Access to 30 countries</w:t>
            </w:r>
          </w:p>
        </w:tc>
      </w:tr>
      <w:tr>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Singapore</w:t>
            </w:r>
          </w:p>
        </w:tc>
        <w:tc>
          <w:tcPr>
            <w:tcW w:type="dxa" w:w="17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Standard PI</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5–8 months</w:t>
            </w:r>
          </w:p>
        </w:tc>
        <w:tc>
          <w:tcPr>
            <w:tcW w:type="dxa" w:w="16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$250K–$450K</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$74K</w:t>
            </w:r>
          </w:p>
        </w:tc>
        <w:tc>
          <w:tcPr>
            <w:tcW w:type="dxa" w:w="1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ASEAN gateway</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Nigeria</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PSSP</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1–6 months</w:t>
            </w:r>
          </w:p>
        </w:tc>
        <w:tc>
          <w:tcPr>
            <w:tcW w:type="dxa" w:w="1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$70K–$100K</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$62.5K</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Africa’s largest economy</w:t>
            </w:r>
          </w:p>
        </w:tc>
      </w:tr>
    </w:tbl>
    <w:p>
      <w:pPr>
        <w:spacing w:before="80" w:after="80"/>
      </w:pPr>
    </w:p>
    <w:p>
      <w:pPr>
        <w:spacing w:after="160" w:line="300"/>
        <w:jc w:val="both"/>
      </w:pPr>
      <w:r>
        <w:rPr>
          <w:rFonts w:ascii="Arial" w:cs="Arial" w:eastAsia="Arial" w:hAnsi="Arial"/>
          <w:color w:val="333333"/>
          <w:sz w:val="21"/>
          <w:szCs w:val="21"/>
        </w:rPr>
        <w:t xml:space="preserve">Lithuania’s EMI license is the single most powerful international beachhead—one license provides access to 30 countries via passporting at roughly half the cost of a UK license. The UAE offers the lowest-cost initial presence across the entire portfolio.</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VI. Funding Pathways</w:t>
      </w:r>
    </w:p>
    <w:p>
      <w:pPr>
        <w:pStyle w:val="Heading2"/>
        <w:spacing w:before="280" w:after="160"/>
      </w:pPr>
      <w:r>
        <w:rPr>
          <w:rFonts w:ascii="Georgia" w:cs="Georgia" w:eastAsia="Georgia" w:hAnsi="Georgia"/>
          <w:b/>
          <w:bCs/>
          <w:color w:val="2E5E8E"/>
          <w:sz w:val="26"/>
          <w:szCs w:val="26"/>
        </w:rPr>
        <w:t xml:space="preserve">Domestic Capital</w:t>
      </w:r>
    </w:p>
    <w:p>
      <w:pPr>
        <w:spacing w:after="160" w:line="300"/>
        <w:jc w:val="both"/>
      </w:pPr>
      <w:r>
        <w:rPr>
          <w:rFonts w:ascii="Arial" w:cs="Arial" w:eastAsia="Arial" w:hAnsi="Arial"/>
          <w:color w:val="333333"/>
          <w:sz w:val="21"/>
          <w:szCs w:val="21"/>
        </w:rPr>
        <w:t xml:space="preserve">The fintech VC market recovered to $52–56 billion in 2025 (+25% year-over-year), the first increase since 2021’s $132–142 billion peak. AI-enabled fintech now captures 30% of all fintech investment. Deal count declined 19–23%, reflecting fewer but larger rounds and a flight to quality. Median seed pre-money valuations range from $11.5–16 million; Series A from $48–50 million. Series A now requires approximately $4 million in ARR.</w:t>
      </w:r>
    </w:p>
    <w:p>
      <w:pPr>
        <w:pStyle w:val="Heading3"/>
        <w:spacing w:before="200" w:after="120"/>
      </w:pPr>
      <w:r>
        <w:rPr>
          <w:rFonts w:ascii="Arial" w:cs="Arial" w:eastAsia="Arial" w:hAnsi="Arial"/>
          <w:b/>
          <w:bCs/>
          <w:color w:val="1B2A4A"/>
          <w:sz w:val="22"/>
          <w:szCs w:val="22"/>
        </w:rPr>
        <w:t xml:space="preserve">Targeted Pathways for Black Founders</w:t>
      </w:r>
    </w:p>
    <w:p>
      <w:pPr>
        <w:pStyle w:val="ListParagraph"/>
        <w:numPr>
          <w:ilvl w:val="0"/>
          <w:numId w:val="2"/>
        </w:numPr>
        <w:spacing w:after="80" w:line="280"/>
      </w:pPr>
      <w:r>
        <w:rPr>
          <w:rFonts w:ascii="Arial" w:cs="Arial" w:eastAsia="Arial" w:hAnsi="Arial"/>
          <w:b/>
          <w:bCs/>
          <w:color w:val="333333"/>
          <w:sz w:val="21"/>
          <w:szCs w:val="21"/>
        </w:rPr>
        <w:t xml:space="preserve">Harlem Capital: </w:t>
      </w:r>
      <w:r>
        <w:rPr>
          <w:rFonts w:ascii="Arial" w:cs="Arial" w:eastAsia="Arial" w:hAnsi="Arial"/>
          <w:color w:val="333333"/>
          <w:sz w:val="21"/>
          <w:szCs w:val="21"/>
        </w:rPr>
        <w:t xml:space="preserve">Mission to fund 1,000 diverse founders. Fund II: $134M.</w:t>
      </w:r>
    </w:p>
    <w:p>
      <w:pPr>
        <w:pStyle w:val="ListParagraph"/>
        <w:numPr>
          <w:ilvl w:val="0"/>
          <w:numId w:val="2"/>
        </w:numPr>
        <w:spacing w:after="80" w:line="280"/>
      </w:pPr>
      <w:r>
        <w:rPr>
          <w:rFonts w:ascii="Arial" w:cs="Arial" w:eastAsia="Arial" w:hAnsi="Arial"/>
          <w:b/>
          <w:bCs/>
          <w:color w:val="333333"/>
          <w:sz w:val="21"/>
          <w:szCs w:val="21"/>
        </w:rPr>
        <w:t xml:space="preserve">MaC Venture Capital: </w:t>
      </w:r>
      <w:r>
        <w:rPr>
          <w:rFonts w:ascii="Arial" w:cs="Arial" w:eastAsia="Arial" w:hAnsi="Arial"/>
          <w:color w:val="333333"/>
          <w:sz w:val="21"/>
          <w:szCs w:val="21"/>
        </w:rPr>
        <w:t xml:space="preserve">$600M+ AUM. Cross-cultural consumer and enterprise.</w:t>
      </w:r>
    </w:p>
    <w:p>
      <w:pPr>
        <w:pStyle w:val="ListParagraph"/>
        <w:numPr>
          <w:ilvl w:val="0"/>
          <w:numId w:val="2"/>
        </w:numPr>
        <w:spacing w:after="80" w:line="280"/>
      </w:pPr>
      <w:r>
        <w:rPr>
          <w:rFonts w:ascii="Arial" w:cs="Arial" w:eastAsia="Arial" w:hAnsi="Arial"/>
          <w:b/>
          <w:bCs/>
          <w:color w:val="333333"/>
          <w:sz w:val="21"/>
          <w:szCs w:val="21"/>
        </w:rPr>
        <w:t xml:space="preserve">The Artemis Fund: </w:t>
      </w:r>
      <w:r>
        <w:rPr>
          <w:rFonts w:ascii="Arial" w:cs="Arial" w:eastAsia="Arial" w:hAnsi="Arial"/>
          <w:color w:val="333333"/>
          <w:sz w:val="21"/>
          <w:szCs w:val="21"/>
        </w:rPr>
        <w:t xml:space="preserve">Diverse founders in fintech specifically.</w:t>
      </w:r>
    </w:p>
    <w:p>
      <w:pPr>
        <w:pStyle w:val="ListParagraph"/>
        <w:numPr>
          <w:ilvl w:val="0"/>
          <w:numId w:val="2"/>
        </w:numPr>
        <w:spacing w:after="80" w:line="280"/>
      </w:pPr>
      <w:r>
        <w:rPr>
          <w:rFonts w:ascii="Arial" w:cs="Arial" w:eastAsia="Arial" w:hAnsi="Arial"/>
          <w:b/>
          <w:bCs/>
          <w:color w:val="333333"/>
          <w:sz w:val="21"/>
          <w:szCs w:val="21"/>
        </w:rPr>
        <w:t xml:space="preserve">Precursor Ventures: </w:t>
      </w:r>
      <w:r>
        <w:rPr>
          <w:rFonts w:ascii="Arial" w:cs="Arial" w:eastAsia="Arial" w:hAnsi="Arial"/>
          <w:color w:val="333333"/>
          <w:sz w:val="21"/>
          <w:szCs w:val="21"/>
        </w:rPr>
        <w:t xml:space="preserve">Pre-seed and seed, fintech and edtech focus.</w:t>
      </w:r>
    </w:p>
    <w:p>
      <w:pPr>
        <w:pStyle w:val="ListParagraph"/>
        <w:numPr>
          <w:ilvl w:val="0"/>
          <w:numId w:val="2"/>
        </w:numPr>
        <w:spacing w:after="80" w:line="280"/>
      </w:pPr>
      <w:r>
        <w:rPr>
          <w:rFonts w:ascii="Arial" w:cs="Arial" w:eastAsia="Arial" w:hAnsi="Arial"/>
          <w:b/>
          <w:bCs/>
          <w:color w:val="333333"/>
          <w:sz w:val="21"/>
          <w:szCs w:val="21"/>
        </w:rPr>
        <w:t xml:space="preserve">Google for Startups Black Founders Fund: </w:t>
      </w:r>
      <w:r>
        <w:rPr>
          <w:rFonts w:ascii="Arial" w:cs="Arial" w:eastAsia="Arial" w:hAnsi="Arial"/>
          <w:color w:val="333333"/>
          <w:sz w:val="21"/>
          <w:szCs w:val="21"/>
        </w:rPr>
        <w:t xml:space="preserve">$25M+ deployed non-dilutively to 200+ startups.</w:t>
      </w:r>
    </w:p>
    <w:p>
      <w:pPr>
        <w:pStyle w:val="ListParagraph"/>
        <w:numPr>
          <w:ilvl w:val="0"/>
          <w:numId w:val="2"/>
        </w:numPr>
        <w:spacing w:after="80" w:line="280"/>
      </w:pPr>
      <w:r>
        <w:rPr>
          <w:rFonts w:ascii="Arial" w:cs="Arial" w:eastAsia="Arial" w:hAnsi="Arial"/>
          <w:b/>
          <w:bCs/>
          <w:color w:val="333333"/>
          <w:sz w:val="21"/>
          <w:szCs w:val="21"/>
        </w:rPr>
        <w:t xml:space="preserve">Fearless Fund: </w:t>
      </w:r>
      <w:r>
        <w:rPr>
          <w:rFonts w:ascii="Arial" w:cs="Arial" w:eastAsia="Arial" w:hAnsi="Arial"/>
          <w:color w:val="333333"/>
          <w:sz w:val="21"/>
          <w:szCs w:val="21"/>
        </w:rPr>
        <w:t xml:space="preserve">Continues investment fund despite 2024 legal settlement. Launched $200M Global Initiative debt fund September 2025.</w:t>
      </w:r>
    </w:p>
    <w:p>
      <w:pPr>
        <w:pStyle w:val="Heading3"/>
        <w:spacing w:before="200" w:after="120"/>
      </w:pPr>
      <w:r>
        <w:rPr>
          <w:rFonts w:ascii="Arial" w:cs="Arial" w:eastAsia="Arial" w:hAnsi="Arial"/>
          <w:b/>
          <w:bCs/>
          <w:color w:val="1B2A4A"/>
          <w:sz w:val="22"/>
          <w:szCs w:val="22"/>
        </w:rPr>
        <w:t xml:space="preserve">Credit Union Distribution Channel</w:t>
      </w:r>
    </w:p>
    <w:p>
      <w:pPr>
        <w:spacing w:after="160" w:line="300"/>
        <w:jc w:val="both"/>
      </w:pPr>
      <w:r>
        <w:rPr>
          <w:rFonts w:ascii="Arial" w:cs="Arial" w:eastAsia="Arial" w:hAnsi="Arial"/>
          <w:b/>
          <w:bCs/>
          <w:color w:val="333333"/>
          <w:sz w:val="21"/>
          <w:szCs w:val="21"/>
        </w:rPr>
        <w:t xml:space="preserve">Curql Collective Fund II: </w:t>
      </w:r>
      <w:r>
        <w:rPr>
          <w:rFonts w:ascii="Arial" w:cs="Arial" w:eastAsia="Arial" w:hAnsi="Arial"/>
          <w:color w:val="333333"/>
          <w:sz w:val="21"/>
          <w:szCs w:val="21"/>
        </w:rPr>
        <w:t xml:space="preserve">$360M (August 2025), the largest credit union-led fintech fund in history. 160+ credit unions, 140M+ member distribution. Curql Accelerate Cohort 4 (February 2026, gener8tor partnership) provides a direct pathway to credit union adoption.</w:t>
      </w:r>
    </w:p>
    <w:p>
      <w:pPr>
        <w:pStyle w:val="Heading3"/>
        <w:spacing w:before="200" w:after="120"/>
      </w:pPr>
      <w:r>
        <w:rPr>
          <w:rFonts w:ascii="Arial" w:cs="Arial" w:eastAsia="Arial" w:hAnsi="Arial"/>
          <w:b/>
          <w:bCs/>
          <w:color w:val="1B2A4A"/>
          <w:sz w:val="22"/>
          <w:szCs w:val="22"/>
        </w:rPr>
        <w:t xml:space="preserve">Non-Dilutive Capital</w:t>
      </w:r>
    </w:p>
    <w:p>
      <w:pPr>
        <w:pStyle w:val="ListParagraph"/>
        <w:numPr>
          <w:ilvl w:val="0"/>
          <w:numId w:val="2"/>
        </w:numPr>
        <w:spacing w:after="80" w:line="280"/>
      </w:pPr>
      <w:r>
        <w:rPr>
          <w:rFonts w:ascii="Arial" w:cs="Arial" w:eastAsia="Arial" w:hAnsi="Arial"/>
          <w:b/>
          <w:bCs/>
          <w:color w:val="333333"/>
          <w:sz w:val="21"/>
          <w:szCs w:val="21"/>
        </w:rPr>
        <w:t xml:space="preserve">Cloud credits: </w:t>
      </w:r>
      <w:r>
        <w:rPr>
          <w:rFonts w:ascii="Arial" w:cs="Arial" w:eastAsia="Arial" w:hAnsi="Arial"/>
          <w:color w:val="333333"/>
          <w:sz w:val="21"/>
          <w:szCs w:val="21"/>
        </w:rPr>
        <w:t xml:space="preserve">AWS Activate ($100K+), Google for Startups Cloud ($100–350K for AI), Microsoft Founders Hub ($150K). Total potential: $600K+.</w:t>
      </w:r>
    </w:p>
    <w:p>
      <w:pPr>
        <w:pStyle w:val="ListParagraph"/>
        <w:numPr>
          <w:ilvl w:val="0"/>
          <w:numId w:val="2"/>
        </w:numPr>
        <w:spacing w:after="80" w:line="280"/>
      </w:pPr>
      <w:r>
        <w:rPr>
          <w:rFonts w:ascii="Arial" w:cs="Arial" w:eastAsia="Arial" w:hAnsi="Arial"/>
          <w:b/>
          <w:bCs/>
          <w:color w:val="333333"/>
          <w:sz w:val="21"/>
          <w:szCs w:val="21"/>
        </w:rPr>
        <w:t xml:space="preserve">Pinnacle Atlanta Innovation Accelerator: </w:t>
      </w:r>
      <w:r>
        <w:rPr>
          <w:rFonts w:ascii="Arial" w:cs="Arial" w:eastAsia="Arial" w:hAnsi="Arial"/>
          <w:color w:val="333333"/>
          <w:sz w:val="21"/>
          <w:szCs w:val="21"/>
        </w:rPr>
        <w:t xml:space="preserve">$100K investment, 12-week program, focused on underserved fintech founders in metro Atlanta.</w:t>
      </w:r>
    </w:p>
    <w:p>
      <w:pPr>
        <w:pStyle w:val="Heading2"/>
        <w:spacing w:before="280" w:after="160"/>
      </w:pPr>
      <w:r>
        <w:rPr>
          <w:rFonts w:ascii="Georgia" w:cs="Georgia" w:eastAsia="Georgia" w:hAnsi="Georgia"/>
          <w:b/>
          <w:bCs/>
          <w:color w:val="2E5E8E"/>
          <w:sz w:val="26"/>
          <w:szCs w:val="26"/>
        </w:rPr>
        <w:t xml:space="preserve">International Capital</w:t>
      </w:r>
    </w:p>
    <w:p>
      <w:pPr>
        <w:pStyle w:val="Heading3"/>
        <w:spacing w:before="200" w:after="120"/>
      </w:pPr>
      <w:r>
        <w:rPr>
          <w:rFonts w:ascii="Arial" w:cs="Arial" w:eastAsia="Arial" w:hAnsi="Arial"/>
          <w:b/>
          <w:bCs/>
          <w:color w:val="1B2A4A"/>
          <w:sz w:val="22"/>
          <w:szCs w:val="22"/>
        </w:rPr>
        <w:t xml:space="preserve">Development Finance Institutions</w:t>
      </w:r>
    </w:p>
    <w:p>
      <w:pPr>
        <w:pStyle w:val="ListParagraph"/>
        <w:numPr>
          <w:ilvl w:val="0"/>
          <w:numId w:val="2"/>
        </w:numPr>
        <w:spacing w:after="80" w:line="280"/>
      </w:pPr>
      <w:r>
        <w:rPr>
          <w:rFonts w:ascii="Arial" w:cs="Arial" w:eastAsia="Arial" w:hAnsi="Arial"/>
          <w:b/>
          <w:bCs/>
          <w:color w:val="333333"/>
          <w:sz w:val="21"/>
          <w:szCs w:val="21"/>
        </w:rPr>
        <w:t xml:space="preserve">IFC (World Bank): </w:t>
      </w:r>
      <w:r>
        <w:rPr>
          <w:rFonts w:ascii="Arial" w:cs="Arial" w:eastAsia="Arial" w:hAnsi="Arial"/>
          <w:color w:val="333333"/>
          <w:sz w:val="21"/>
          <w:szCs w:val="21"/>
        </w:rPr>
        <w:t xml:space="preserve">$4B MSME Finance Platform. Typical equity: $5–50M. Directly targets financial inclusion technology.</w:t>
      </w:r>
    </w:p>
    <w:p>
      <w:pPr>
        <w:pStyle w:val="ListParagraph"/>
        <w:numPr>
          <w:ilvl w:val="0"/>
          <w:numId w:val="2"/>
        </w:numPr>
        <w:spacing w:after="80" w:line="280"/>
      </w:pPr>
      <w:r>
        <w:rPr>
          <w:rFonts w:ascii="Arial" w:cs="Arial" w:eastAsia="Arial" w:hAnsi="Arial"/>
          <w:b/>
          <w:bCs/>
          <w:color w:val="333333"/>
          <w:sz w:val="21"/>
          <w:szCs w:val="21"/>
        </w:rPr>
        <w:t xml:space="preserve">BII (British International Investment): </w:t>
      </w:r>
      <w:r>
        <w:rPr>
          <w:rFonts w:ascii="Arial" w:cs="Arial" w:eastAsia="Arial" w:hAnsi="Arial"/>
          <w:color w:val="333333"/>
          <w:sz w:val="21"/>
          <w:szCs w:val="21"/>
        </w:rPr>
        <w:t xml:space="preserve">Among the top 7 most active venture-stage investors in Africa.</w:t>
      </w:r>
    </w:p>
    <w:p>
      <w:pPr>
        <w:pStyle w:val="Heading3"/>
        <w:spacing w:before="200" w:after="120"/>
      </w:pPr>
      <w:r>
        <w:rPr>
          <w:rFonts w:ascii="Arial" w:cs="Arial" w:eastAsia="Arial" w:hAnsi="Arial"/>
          <w:b/>
          <w:bCs/>
          <w:color w:val="1B2A4A"/>
          <w:sz w:val="22"/>
          <w:szCs w:val="22"/>
        </w:rPr>
        <w:t xml:space="preserve">Sovereign Wealth Funds</w:t>
      </w:r>
    </w:p>
    <w:p>
      <w:pPr>
        <w:pStyle w:val="ListParagraph"/>
        <w:numPr>
          <w:ilvl w:val="0"/>
          <w:numId w:val="2"/>
        </w:numPr>
        <w:spacing w:after="80" w:line="280"/>
      </w:pPr>
      <w:r>
        <w:rPr>
          <w:rFonts w:ascii="Arial" w:cs="Arial" w:eastAsia="Arial" w:hAnsi="Arial"/>
          <w:b/>
          <w:bCs/>
          <w:color w:val="333333"/>
          <w:sz w:val="21"/>
          <w:szCs w:val="21"/>
        </w:rPr>
        <w:t xml:space="preserve">Hub71 (Abu Dhabi): </w:t>
      </w:r>
      <w:r>
        <w:rPr>
          <w:rFonts w:ascii="Arial" w:cs="Arial" w:eastAsia="Arial" w:hAnsi="Arial"/>
          <w:color w:val="333333"/>
          <w:sz w:val="21"/>
          <w:szCs w:val="21"/>
        </w:rPr>
        <w:t xml:space="preserve">Up to 100% subsidies on office, housing, and health insurance for 3 years. Startups raised $2.17B in 2024 (+44.7%). Gateway to ADQ and Mubadala.</w:t>
      </w:r>
    </w:p>
    <w:p>
      <w:pPr>
        <w:pStyle w:val="ListParagraph"/>
        <w:numPr>
          <w:ilvl w:val="0"/>
          <w:numId w:val="2"/>
        </w:numPr>
        <w:spacing w:after="80" w:line="280"/>
      </w:pPr>
      <w:r>
        <w:rPr>
          <w:rFonts w:ascii="Arial" w:cs="Arial" w:eastAsia="Arial" w:hAnsi="Arial"/>
          <w:b/>
          <w:bCs/>
          <w:color w:val="333333"/>
          <w:sz w:val="21"/>
          <w:szCs w:val="21"/>
        </w:rPr>
        <w:t xml:space="preserve">QIA (Qatar): </w:t>
      </w:r>
      <w:r>
        <w:rPr>
          <w:rFonts w:ascii="Arial" w:cs="Arial" w:eastAsia="Arial" w:hAnsi="Arial"/>
          <w:color w:val="333333"/>
          <w:sz w:val="21"/>
          <w:szCs w:val="21"/>
        </w:rPr>
        <w:t xml:space="preserve">$1B tech fund launched Q1 2024 covering fintech and edtech—the only SWF explicitly targeting both sectors.</w:t>
      </w:r>
    </w:p>
    <w:p>
      <w:pPr>
        <w:pStyle w:val="ListParagraph"/>
        <w:numPr>
          <w:ilvl w:val="0"/>
          <w:numId w:val="2"/>
        </w:numPr>
        <w:spacing w:after="80" w:line="280"/>
      </w:pPr>
      <w:r>
        <w:rPr>
          <w:rFonts w:ascii="Arial" w:cs="Arial" w:eastAsia="Arial" w:hAnsi="Arial"/>
          <w:b/>
          <w:bCs/>
          <w:color w:val="333333"/>
          <w:sz w:val="21"/>
          <w:szCs w:val="21"/>
        </w:rPr>
        <w:t xml:space="preserve">Flourish Ventures: </w:t>
      </w:r>
      <w:r>
        <w:rPr>
          <w:rFonts w:ascii="Arial" w:cs="Arial" w:eastAsia="Arial" w:hAnsi="Arial"/>
          <w:color w:val="333333"/>
          <w:sz w:val="21"/>
          <w:szCs w:val="21"/>
        </w:rPr>
        <w:t xml:space="preserve">$850M AUM. Evergreen fund backed by Pierre Omidyar. Portfolio includes Chime and Flutterwave. Meridia’s excluded-verticals thesis aligns precisely with Flourish’s mandate.</w:t>
      </w:r>
    </w:p>
    <w:p>
      <w:pPr>
        <w:pStyle w:val="Heading3"/>
        <w:spacing w:before="200" w:after="120"/>
      </w:pPr>
      <w:r>
        <w:rPr>
          <w:rFonts w:ascii="Arial" w:cs="Arial" w:eastAsia="Arial" w:hAnsi="Arial"/>
          <w:b/>
          <w:bCs/>
          <w:color w:val="1B2A4A"/>
          <w:sz w:val="22"/>
          <w:szCs w:val="22"/>
        </w:rPr>
        <w:t xml:space="preserve">EU Grants</w:t>
      </w:r>
    </w:p>
    <w:p>
      <w:pPr>
        <w:pStyle w:val="ListParagraph"/>
        <w:numPr>
          <w:ilvl w:val="0"/>
          <w:numId w:val="2"/>
        </w:numPr>
        <w:spacing w:after="80" w:line="280"/>
      </w:pPr>
      <w:r>
        <w:rPr>
          <w:rFonts w:ascii="Arial" w:cs="Arial" w:eastAsia="Arial" w:hAnsi="Arial"/>
          <w:b/>
          <w:bCs/>
          <w:color w:val="333333"/>
          <w:sz w:val="21"/>
          <w:szCs w:val="21"/>
        </w:rPr>
        <w:t xml:space="preserve">EIC Accelerator (Horizon Europe): </w:t>
      </w:r>
      <w:r>
        <w:rPr>
          <w:rFonts w:ascii="Arial" w:cs="Arial" w:eastAsia="Arial" w:hAnsi="Arial"/>
          <w:color w:val="333333"/>
          <w:sz w:val="21"/>
          <w:szCs w:val="21"/>
        </w:rPr>
        <w:t xml:space="preserve">Up to €2.5M in non-dilutive grants plus up to €10M in equity for disruptive innovations. Requires UK or EU subsidiary.</w:t>
      </w:r>
    </w:p>
    <w:p>
      <w:pPr>
        <w:pStyle w:val="Heading2"/>
        <w:spacing w:before="280" w:after="160"/>
      </w:pPr>
      <w:r>
        <w:rPr>
          <w:rFonts w:ascii="Georgia" w:cs="Georgia" w:eastAsia="Georgia" w:hAnsi="Georgia"/>
          <w:b/>
          <w:bCs/>
          <w:color w:val="2E5E8E"/>
          <w:sz w:val="26"/>
          <w:szCs w:val="26"/>
        </w:rPr>
        <w:t xml:space="preserve">Estimated Funding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 Type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Amount Range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Timeline</w:t>
            </w:r>
          </w:p>
        </w:tc>
      </w:tr>
      <w:tr>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Phase 1</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Accelerators + grants + cloud credits</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$250K–$3M</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0–12 months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Specialized VCs (Harlem, Artemis, Curql)</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$2M–$25M</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12–24 months</w:t>
            </w:r>
          </w:p>
        </w:tc>
      </w:tr>
      <w:tr>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Phase 3</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DFIs + impact investors</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$5M–$80M</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24–36 months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SWF direct investment at scale</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$10M–$100M+</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36+ months</w:t>
            </w:r>
          </w:p>
        </w:tc>
      </w:tr>
    </w:tbl>
    <w:p>
      <w:pPr>
        <w:spacing w:before="80" w:after="80"/>
      </w:pP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VII. SWOT Framework</w:t>
      </w:r>
    </w:p>
    <w:p>
      <w:pPr>
        <w:pStyle w:val="Heading2"/>
        <w:spacing w:before="280" w:after="160"/>
      </w:pPr>
      <w:r>
        <w:rPr>
          <w:rFonts w:ascii="Georgia" w:cs="Georgia" w:eastAsia="Georgia" w:hAnsi="Georgia"/>
          <w:b/>
          <w:bCs/>
          <w:color w:val="2E5E8E"/>
          <w:sz w:val="26"/>
          <w:szCs w:val="26"/>
        </w:rPr>
        <w:t xml:space="preserve">Strengths</w:t>
      </w:r>
    </w:p>
    <w:p>
      <w:pPr>
        <w:pStyle w:val="ListParagraph"/>
        <w:numPr>
          <w:ilvl w:val="0"/>
          <w:numId w:val="3"/>
        </w:numPr>
        <w:spacing w:after="80" w:line="280"/>
      </w:pPr>
      <w:r>
        <w:rPr>
          <w:rFonts w:ascii="Arial" w:cs="Arial" w:eastAsia="Arial" w:hAnsi="Arial"/>
          <w:color w:val="333333"/>
          <w:sz w:val="21"/>
          <w:szCs w:val="21"/>
        </w:rPr>
        <w:t xml:space="preserve">Architectural coherence across all products. The same interpretive OS principles (normalize reality, surface signals, offer routes) apply across financial positioning, education, and creative domains. This is the IP.</w:t>
      </w:r>
    </w:p>
    <w:p>
      <w:pPr>
        <w:pStyle w:val="ListParagraph"/>
        <w:numPr>
          <w:ilvl w:val="0"/>
          <w:numId w:val="3"/>
        </w:numPr>
        <w:spacing w:after="80" w:line="280"/>
      </w:pPr>
      <w:r>
        <w:rPr>
          <w:rFonts w:ascii="Arial" w:cs="Arial" w:eastAsia="Arial" w:hAnsi="Arial"/>
          <w:color w:val="333333"/>
          <w:sz w:val="21"/>
          <w:szCs w:val="21"/>
        </w:rPr>
        <w:t xml:space="preserve">Mission-market alignment addressing genuine pain points across underserved segments, with founder context (accountant, minister, bankruptcy survivor) providing credibility that a privileged founder would lack.</w:t>
      </w:r>
    </w:p>
    <w:p>
      <w:pPr>
        <w:pStyle w:val="ListParagraph"/>
        <w:numPr>
          <w:ilvl w:val="0"/>
          <w:numId w:val="3"/>
        </w:numPr>
        <w:spacing w:after="80" w:line="280"/>
      </w:pPr>
      <w:r>
        <w:rPr>
          <w:rFonts w:ascii="Arial" w:cs="Arial" w:eastAsia="Arial" w:hAnsi="Arial"/>
          <w:color w:val="333333"/>
          <w:sz w:val="21"/>
          <w:szCs w:val="21"/>
        </w:rPr>
        <w:t xml:space="preserve">Verified white space across every product line. Not thin competitive advantages—genuine category-creation opportunities where no integrated product exists.</w:t>
      </w:r>
    </w:p>
    <w:p>
      <w:pPr>
        <w:pStyle w:val="ListParagraph"/>
        <w:numPr>
          <w:ilvl w:val="0"/>
          <w:numId w:val="3"/>
        </w:numPr>
        <w:spacing w:after="80" w:line="280"/>
      </w:pPr>
      <w:r>
        <w:rPr>
          <w:rFonts w:ascii="Arial" w:cs="Arial" w:eastAsia="Arial" w:hAnsi="Arial"/>
          <w:color w:val="333333"/>
          <w:sz w:val="21"/>
          <w:szCs w:val="21"/>
        </w:rPr>
        <w:t xml:space="preserve">Technical foundation operational: 24 endpoints, wired frontend, Docker-packaged. This is not a pitch deck.</w:t>
      </w:r>
    </w:p>
    <w:p>
      <w:pPr>
        <w:pStyle w:val="ListParagraph"/>
        <w:numPr>
          <w:ilvl w:val="0"/>
          <w:numId w:val="3"/>
        </w:numPr>
        <w:spacing w:after="80" w:line="280"/>
      </w:pPr>
      <w:r>
        <w:rPr>
          <w:rFonts w:ascii="Arial" w:cs="Arial" w:eastAsia="Arial" w:hAnsi="Arial"/>
          <w:color w:val="333333"/>
          <w:sz w:val="21"/>
          <w:szCs w:val="21"/>
        </w:rPr>
        <w:t xml:space="preserve">Partner-first positioning reduces regulatory friction and capital requirements while creating a defensible moat through orchestration capabilities.</w:t>
      </w:r>
    </w:p>
    <w:p>
      <w:pPr>
        <w:pStyle w:val="Heading2"/>
        <w:spacing w:before="280" w:after="160"/>
      </w:pPr>
      <w:r>
        <w:rPr>
          <w:rFonts w:ascii="Georgia" w:cs="Georgia" w:eastAsia="Georgia" w:hAnsi="Georgia"/>
          <w:b/>
          <w:bCs/>
          <w:color w:val="2E5E8E"/>
          <w:sz w:val="26"/>
          <w:szCs w:val="26"/>
        </w:rPr>
        <w:t xml:space="preserve">Weaknesses</w:t>
      </w:r>
    </w:p>
    <w:p>
      <w:pPr>
        <w:pStyle w:val="ListParagraph"/>
        <w:numPr>
          <w:ilvl w:val="0"/>
          <w:numId w:val="3"/>
        </w:numPr>
        <w:spacing w:after="80" w:line="280"/>
      </w:pPr>
      <w:r>
        <w:rPr>
          <w:rFonts w:ascii="Arial" w:cs="Arial" w:eastAsia="Arial" w:hAnsi="Arial"/>
          <w:color w:val="333333"/>
          <w:sz w:val="21"/>
          <w:szCs w:val="21"/>
        </w:rPr>
        <w:t xml:space="preserve">Complexity overwhelm: 4+ major verticals, 15+ distinct products. Risk of building everything and mastering nothing.</w:t>
      </w:r>
    </w:p>
    <w:p>
      <w:pPr>
        <w:pStyle w:val="ListParagraph"/>
        <w:numPr>
          <w:ilvl w:val="0"/>
          <w:numId w:val="3"/>
        </w:numPr>
        <w:spacing w:after="80" w:line="280"/>
      </w:pPr>
      <w:r>
        <w:rPr>
          <w:rFonts w:ascii="Arial" w:cs="Arial" w:eastAsia="Arial" w:hAnsi="Arial"/>
          <w:color w:val="333333"/>
          <w:sz w:val="21"/>
          <w:szCs w:val="21"/>
        </w:rPr>
        <w:t xml:space="preserve">Poe API dependency is architecturally incompatible with regulated financial services. This is the gating technical issue.</w:t>
      </w:r>
    </w:p>
    <w:p>
      <w:pPr>
        <w:pStyle w:val="ListParagraph"/>
        <w:numPr>
          <w:ilvl w:val="0"/>
          <w:numId w:val="3"/>
        </w:numPr>
        <w:spacing w:after="80" w:line="280"/>
      </w:pPr>
      <w:r>
        <w:rPr>
          <w:rFonts w:ascii="Arial" w:cs="Arial" w:eastAsia="Arial" w:hAnsi="Arial"/>
          <w:color w:val="333333"/>
          <w:sz w:val="21"/>
          <w:szCs w:val="21"/>
        </w:rPr>
        <w:t xml:space="preserve">Single founder with AI collaboration. Human decision-making, relationship-building, and strategic pivots bottleneck at founder capacity.</w:t>
      </w:r>
    </w:p>
    <w:p>
      <w:pPr>
        <w:pStyle w:val="ListParagraph"/>
        <w:numPr>
          <w:ilvl w:val="0"/>
          <w:numId w:val="3"/>
        </w:numPr>
        <w:spacing w:after="80" w:line="280"/>
      </w:pPr>
      <w:r>
        <w:rPr>
          <w:rFonts w:ascii="Arial" w:cs="Arial" w:eastAsia="Arial" w:hAnsi="Arial"/>
          <w:color w:val="333333"/>
          <w:sz w:val="21"/>
          <w:szCs w:val="21"/>
        </w:rPr>
        <w:t xml:space="preserve">Capital constraints from Chapter 13 history limit personal banking relationships and institutional credibility. EIN-based entity structure provides workaround but creates operational friction.</w:t>
      </w:r>
    </w:p>
    <w:p>
      <w:pPr>
        <w:pStyle w:val="ListParagraph"/>
        <w:numPr>
          <w:ilvl w:val="0"/>
          <w:numId w:val="3"/>
        </w:numPr>
        <w:spacing w:after="80" w:line="280"/>
      </w:pPr>
      <w:r>
        <w:rPr>
          <w:rFonts w:ascii="Arial" w:cs="Arial" w:eastAsia="Arial" w:hAnsi="Arial"/>
          <w:color w:val="333333"/>
          <w:sz w:val="21"/>
          <w:szCs w:val="21"/>
        </w:rPr>
        <w:t xml:space="preserve">No documented go-to-market sequencing, partnership pipeline, unit economics, financial projections, IP protection strategy, or hiring plan.</w:t>
      </w:r>
    </w:p>
    <w:p>
      <w:pPr>
        <w:pStyle w:val="Heading2"/>
        <w:spacing w:before="280" w:after="160"/>
      </w:pPr>
      <w:r>
        <w:rPr>
          <w:rFonts w:ascii="Georgia" w:cs="Georgia" w:eastAsia="Georgia" w:hAnsi="Georgia"/>
          <w:b/>
          <w:bCs/>
          <w:color w:val="2E5E8E"/>
          <w:sz w:val="26"/>
          <w:szCs w:val="26"/>
        </w:rPr>
        <w:t xml:space="preserve">Opportunities</w:t>
      </w:r>
    </w:p>
    <w:p>
      <w:pPr>
        <w:pStyle w:val="ListParagraph"/>
        <w:numPr>
          <w:ilvl w:val="0"/>
          <w:numId w:val="3"/>
        </w:numPr>
        <w:spacing w:after="80" w:line="280"/>
      </w:pPr>
      <w:r>
        <w:rPr>
          <w:rFonts w:ascii="Arial" w:cs="Arial" w:eastAsia="Arial" w:hAnsi="Arial"/>
          <w:color w:val="333333"/>
          <w:sz w:val="21"/>
          <w:szCs w:val="21"/>
        </w:rPr>
        <w:t xml:space="preserve">Timing: AI governance regulatory mandates (Colorado AI Act June 2026, EU AI Act August 2026) create forced purchasing cycles within 18 months. First-mover advantage in ethical AI plus financial services integration.</w:t>
      </w:r>
    </w:p>
    <w:p>
      <w:pPr>
        <w:pStyle w:val="ListParagraph"/>
        <w:numPr>
          <w:ilvl w:val="0"/>
          <w:numId w:val="3"/>
        </w:numPr>
        <w:spacing w:after="80" w:line="280"/>
      </w:pPr>
      <w:r>
        <w:rPr>
          <w:rFonts w:ascii="Arial" w:cs="Arial" w:eastAsia="Arial" w:hAnsi="Arial"/>
          <w:color w:val="333333"/>
          <w:sz w:val="21"/>
          <w:szCs w:val="21"/>
        </w:rPr>
        <w:t xml:space="preserve">Mid-tier bank desperation: Regional and community banks recognize fintech partnership necessity but lack resources. Curql Collective’s $360M Fund II and 140M+ member distribution channel validates this demand.</w:t>
      </w:r>
    </w:p>
    <w:p>
      <w:pPr>
        <w:pStyle w:val="ListParagraph"/>
        <w:numPr>
          <w:ilvl w:val="0"/>
          <w:numId w:val="3"/>
        </w:numPr>
        <w:spacing w:after="80" w:line="280"/>
      </w:pPr>
      <w:r>
        <w:rPr>
          <w:rFonts w:ascii="Arial" w:cs="Arial" w:eastAsia="Arial" w:hAnsi="Arial"/>
          <w:color w:val="333333"/>
          <w:sz w:val="21"/>
          <w:szCs w:val="21"/>
        </w:rPr>
        <w:t xml:space="preserve">$84 trillion generational wealth transfer. Families seeking stewardship formation for the next generation. $2 trillion GCC transfer imminent. 600 new Singapore SFOs in 2024 alone.</w:t>
      </w:r>
    </w:p>
    <w:p>
      <w:pPr>
        <w:pStyle w:val="ListParagraph"/>
        <w:numPr>
          <w:ilvl w:val="0"/>
          <w:numId w:val="3"/>
        </w:numPr>
        <w:spacing w:after="80" w:line="280"/>
      </w:pPr>
      <w:r>
        <w:rPr>
          <w:rFonts w:ascii="Arial" w:cs="Arial" w:eastAsia="Arial" w:hAnsi="Arial"/>
          <w:color w:val="333333"/>
          <w:sz w:val="21"/>
          <w:szCs w:val="21"/>
        </w:rPr>
        <w:t xml:space="preserve">International expansion achievable for under $15,000 initial setup via UAE innovation licenses, with access to the world’s fastest-growing family office hub, Middle East education budgets, and SWF capital.</w:t>
      </w:r>
    </w:p>
    <w:p>
      <w:pPr>
        <w:pStyle w:val="ListParagraph"/>
        <w:numPr>
          <w:ilvl w:val="0"/>
          <w:numId w:val="3"/>
        </w:numPr>
        <w:spacing w:after="80" w:line="280"/>
      </w:pPr>
      <w:r>
        <w:rPr>
          <w:rFonts w:ascii="Arial" w:cs="Arial" w:eastAsia="Arial" w:hAnsi="Arial"/>
          <w:color w:val="333333"/>
          <w:sz w:val="21"/>
          <w:szCs w:val="21"/>
        </w:rPr>
        <w:t xml:space="preserve">Fintech VC rebounded 25% to $52–56 billion. Targeted pathways for Black founders expanded materially. Flourish Ventures ($850M) is a natural strategic partner.</w:t>
      </w:r>
    </w:p>
    <w:p>
      <w:pPr>
        <w:pStyle w:val="Heading2"/>
        <w:spacing w:before="280" w:after="160"/>
      </w:pPr>
      <w:r>
        <w:rPr>
          <w:rFonts w:ascii="Georgia" w:cs="Georgia" w:eastAsia="Georgia" w:hAnsi="Georgia"/>
          <w:b/>
          <w:bCs/>
          <w:color w:val="2E5E8E"/>
          <w:sz w:val="26"/>
          <w:szCs w:val="26"/>
        </w:rPr>
        <w:t xml:space="preserve">Threats</w:t>
      </w:r>
    </w:p>
    <w:p>
      <w:pPr>
        <w:pStyle w:val="ListParagraph"/>
        <w:numPr>
          <w:ilvl w:val="0"/>
          <w:numId w:val="3"/>
        </w:numPr>
        <w:spacing w:after="80" w:line="280"/>
      </w:pPr>
      <w:r>
        <w:rPr>
          <w:rFonts w:ascii="Arial" w:cs="Arial" w:eastAsia="Arial" w:hAnsi="Arial"/>
          <w:color w:val="333333"/>
          <w:sz w:val="21"/>
          <w:szCs w:val="21"/>
        </w:rPr>
        <w:t xml:space="preserve">Entrenched institutions (JPMorgan, BNY Mellon, Addepar) could launch similar offerings if they perceive the threat. Mitigation: move faster and own the category language.</w:t>
      </w:r>
    </w:p>
    <w:p>
      <w:pPr>
        <w:pStyle w:val="ListParagraph"/>
        <w:numPr>
          <w:ilvl w:val="0"/>
          <w:numId w:val="3"/>
        </w:numPr>
        <w:spacing w:after="80" w:line="280"/>
      </w:pPr>
      <w:r>
        <w:rPr>
          <w:rFonts w:ascii="Arial" w:cs="Arial" w:eastAsia="Arial" w:hAnsi="Arial"/>
          <w:color w:val="333333"/>
          <w:sz w:val="21"/>
          <w:szCs w:val="21"/>
        </w:rPr>
        <w:t xml:space="preserve">BaaS regulatory environment. Partner bank could receive consent order forcing termination. Mitigation: choose stable partners (Column, Coastal Community Bank).</w:t>
      </w:r>
    </w:p>
    <w:p>
      <w:pPr>
        <w:pStyle w:val="ListParagraph"/>
        <w:numPr>
          <w:ilvl w:val="0"/>
          <w:numId w:val="3"/>
        </w:numPr>
        <w:spacing w:after="80" w:line="280"/>
      </w:pPr>
      <w:r>
        <w:rPr>
          <w:rFonts w:ascii="Arial" w:cs="Arial" w:eastAsia="Arial" w:hAnsi="Arial"/>
          <w:color w:val="333333"/>
          <w:sz w:val="21"/>
          <w:szCs w:val="21"/>
        </w:rPr>
        <w:t xml:space="preserve">Execution risk across simultaneous fronts. One major setback in any vertical could cascade across the integrated ecosystem. Mitigation: ruthless sequencing.</w:t>
      </w:r>
    </w:p>
    <w:p>
      <w:pPr>
        <w:pStyle w:val="ListParagraph"/>
        <w:numPr>
          <w:ilvl w:val="0"/>
          <w:numId w:val="3"/>
        </w:numPr>
        <w:spacing w:after="80" w:line="280"/>
      </w:pPr>
      <w:r>
        <w:rPr>
          <w:rFonts w:ascii="Arial" w:cs="Arial" w:eastAsia="Arial" w:hAnsi="Arial"/>
          <w:color w:val="333333"/>
          <w:sz w:val="21"/>
          <w:szCs w:val="21"/>
        </w:rPr>
        <w:t xml:space="preserve">Economic downturn could freeze partnerships, reduce family office appetite, and tighten capital at the worst moment.</w:t>
      </w:r>
    </w:p>
    <w:p>
      <w:pPr>
        <w:pStyle w:val="ListParagraph"/>
        <w:numPr>
          <w:ilvl w:val="0"/>
          <w:numId w:val="3"/>
        </w:numPr>
        <w:spacing w:after="80" w:line="280"/>
      </w:pPr>
      <w:r>
        <w:rPr>
          <w:rFonts w:ascii="Arial" w:cs="Arial" w:eastAsia="Arial" w:hAnsi="Arial"/>
          <w:color w:val="333333"/>
          <w:sz w:val="21"/>
          <w:szCs w:val="21"/>
        </w:rPr>
        <w:t xml:space="preserve">CDFI Fund faces existential uncertainty. Entire staff temporarily fired during 2025 government shutdown. Could eliminate a key funding and partnership pathway.</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VIII. Strategic Recommendations</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The central recommendation of this report is that Meridia must choose a single leading product, prove it in one market with one partner, generate revenue, and use that proof to expand. Every other product benefits from that first win. No product benefits from building all five simultaneously.</w:t>
      </w:r>
    </w:p>
    <w:p>
      <w:pPr>
        <w:pStyle w:val="Heading2"/>
        <w:spacing w:before="280" w:after="160"/>
      </w:pPr>
      <w:r>
        <w:rPr>
          <w:rFonts w:ascii="Georgia" w:cs="Georgia" w:eastAsia="Georgia" w:hAnsi="Georgia"/>
          <w:b/>
          <w:bCs/>
          <w:color w:val="2E5E8E"/>
          <w:sz w:val="26"/>
          <w:szCs w:val="26"/>
        </w:rPr>
        <w:t xml:space="preserve">Recommended Primary Product: WayPoint Core</w:t>
      </w:r>
    </w:p>
    <w:p>
      <w:pPr>
        <w:spacing w:after="160" w:line="300"/>
        <w:jc w:val="both"/>
      </w:pPr>
      <w:r>
        <w:rPr>
          <w:rFonts w:ascii="Arial" w:cs="Arial" w:eastAsia="Arial" w:hAnsi="Arial"/>
          <w:color w:val="333333"/>
          <w:sz w:val="21"/>
          <w:szCs w:val="21"/>
        </w:rPr>
        <w:t xml:space="preserve">WayPoint Core for small business financial positioning is the recommended first product for the following reasons:</w:t>
      </w:r>
    </w:p>
    <w:p>
      <w:pPr>
        <w:pStyle w:val="ListParagraph"/>
        <w:numPr>
          <w:ilvl w:val="0"/>
          <w:numId w:val="3"/>
        </w:numPr>
        <w:spacing w:after="80" w:line="280"/>
      </w:pPr>
      <w:r>
        <w:rPr>
          <w:rFonts w:ascii="Arial" w:cs="Arial" w:eastAsia="Arial" w:hAnsi="Arial"/>
          <w:color w:val="333333"/>
          <w:sz w:val="21"/>
          <w:szCs w:val="21"/>
        </w:rPr>
        <w:t xml:space="preserve">It requires the least regulatory complexity of any revenue-generating product in the portfolio.</w:t>
      </w:r>
    </w:p>
    <w:p>
      <w:pPr>
        <w:pStyle w:val="ListParagraph"/>
        <w:numPr>
          <w:ilvl w:val="0"/>
          <w:numId w:val="3"/>
        </w:numPr>
        <w:spacing w:after="80" w:line="280"/>
      </w:pPr>
      <w:r>
        <w:rPr>
          <w:rFonts w:ascii="Arial" w:cs="Arial" w:eastAsia="Arial" w:hAnsi="Arial"/>
          <w:color w:val="333333"/>
          <w:sz w:val="21"/>
          <w:szCs w:val="21"/>
        </w:rPr>
        <w:t xml:space="preserve">The “Financial Positioning System” framing is unoccupied. Entering this market first establishes the category language.</w:t>
      </w:r>
    </w:p>
    <w:p>
      <w:pPr>
        <w:pStyle w:val="ListParagraph"/>
        <w:numPr>
          <w:ilvl w:val="0"/>
          <w:numId w:val="3"/>
        </w:numPr>
        <w:spacing w:after="80" w:line="280"/>
      </w:pPr>
      <w:r>
        <w:rPr>
          <w:rFonts w:ascii="Arial" w:cs="Arial" w:eastAsia="Arial" w:hAnsi="Arial"/>
          <w:color w:val="333333"/>
          <w:sz w:val="21"/>
          <w:szCs w:val="21"/>
        </w:rPr>
        <w:t xml:space="preserve">Small businesses represent the broadest addressable audience with the shortest sales cycle.</w:t>
      </w:r>
    </w:p>
    <w:p>
      <w:pPr>
        <w:pStyle w:val="ListParagraph"/>
        <w:numPr>
          <w:ilvl w:val="0"/>
          <w:numId w:val="3"/>
        </w:numPr>
        <w:spacing w:after="80" w:line="280"/>
      </w:pPr>
      <w:r>
        <w:rPr>
          <w:rFonts w:ascii="Arial" w:cs="Arial" w:eastAsia="Arial" w:hAnsi="Arial"/>
          <w:color w:val="333333"/>
          <w:sz w:val="21"/>
          <w:szCs w:val="21"/>
        </w:rPr>
        <w:t xml:space="preserve">Success validates the interpretive OS architecture that powers every other product.</w:t>
      </w:r>
    </w:p>
    <w:p>
      <w:pPr>
        <w:pStyle w:val="ListParagraph"/>
        <w:numPr>
          <w:ilvl w:val="0"/>
          <w:numId w:val="3"/>
        </w:numPr>
        <w:spacing w:after="80" w:line="280"/>
      </w:pPr>
      <w:r>
        <w:rPr>
          <w:rFonts w:ascii="Arial" w:cs="Arial" w:eastAsia="Arial" w:hAnsi="Arial"/>
          <w:color w:val="333333"/>
          <w:sz w:val="21"/>
          <w:szCs w:val="21"/>
        </w:rPr>
        <w:t xml:space="preserve">It generates the ARR required for Series A conversations ($4M threshold in the current market).</w:t>
      </w:r>
    </w:p>
    <w:p>
      <w:pPr>
        <w:pStyle w:val="Heading2"/>
        <w:spacing w:before="280" w:after="160"/>
      </w:pPr>
      <w:r>
        <w:rPr>
          <w:rFonts w:ascii="Georgia" w:cs="Georgia" w:eastAsia="Georgia" w:hAnsi="Georgia"/>
          <w:b/>
          <w:bCs/>
          <w:color w:val="2E5E8E"/>
          <w:sz w:val="26"/>
          <w:szCs w:val="26"/>
        </w:rPr>
        <w:t xml:space="preserve">Phase 1: Prove the Core (Months 1–12)</w:t>
      </w:r>
    </w:p>
    <w:p>
      <w:pPr>
        <w:spacing w:after="160" w:line="300"/>
        <w:jc w:val="both"/>
      </w:pPr>
      <w:r>
        <w:rPr>
          <w:rFonts w:ascii="Arial" w:cs="Arial" w:eastAsia="Arial" w:hAnsi="Arial"/>
          <w:color w:val="333333"/>
          <w:sz w:val="21"/>
          <w:szCs w:val="21"/>
        </w:rPr>
        <w:t xml:space="preserve">Immediate actions, in priority order:</w:t>
      </w:r>
    </w:p>
    <w:p>
      <w:pPr>
        <w:pStyle w:val="ListParagraph"/>
        <w:numPr>
          <w:ilvl w:val="0"/>
          <w:numId w:val="3"/>
        </w:numPr>
        <w:spacing w:after="80" w:line="280"/>
      </w:pPr>
      <w:r>
        <w:rPr>
          <w:rFonts w:ascii="Arial" w:cs="Arial" w:eastAsia="Arial" w:hAnsi="Arial"/>
          <w:color w:val="333333"/>
          <w:sz w:val="21"/>
          <w:szCs w:val="21"/>
        </w:rPr>
        <w:t xml:space="preserve">Replace Poe API with direct Claude, GPT, and Gemini integrations including compliance controls, audit trails, RBAC, and permission cascades. Non-negotiable gating item. Timeline: 60–90 days.</w:t>
      </w:r>
    </w:p>
    <w:p>
      <w:pPr>
        <w:pStyle w:val="ListParagraph"/>
        <w:numPr>
          <w:ilvl w:val="0"/>
          <w:numId w:val="3"/>
        </w:numPr>
        <w:spacing w:after="80" w:line="280"/>
      </w:pPr>
      <w:r>
        <w:rPr>
          <w:rFonts w:ascii="Arial" w:cs="Arial" w:eastAsia="Arial" w:hAnsi="Arial"/>
          <w:color w:val="333333"/>
          <w:sz w:val="21"/>
          <w:szCs w:val="21"/>
        </w:rPr>
        <w:t xml:space="preserve">Launch WayPoint Core for small business financial positioning. Target: 100 paying customers, $10K MRR by month 12.</w:t>
      </w:r>
    </w:p>
    <w:p>
      <w:pPr>
        <w:pStyle w:val="ListParagraph"/>
        <w:numPr>
          <w:ilvl w:val="0"/>
          <w:numId w:val="3"/>
        </w:numPr>
        <w:spacing w:after="80" w:line="280"/>
      </w:pPr>
      <w:r>
        <w:rPr>
          <w:rFonts w:ascii="Arial" w:cs="Arial" w:eastAsia="Arial" w:hAnsi="Arial"/>
          <w:color w:val="333333"/>
          <w:sz w:val="21"/>
          <w:szCs w:val="21"/>
        </w:rPr>
        <w:t xml:space="preserve">Partner with one community bank for pilot. Column (recommended) or Coastal Community Bank.</w:t>
      </w:r>
    </w:p>
    <w:p>
      <w:pPr>
        <w:pStyle w:val="ListParagraph"/>
        <w:numPr>
          <w:ilvl w:val="0"/>
          <w:numId w:val="3"/>
        </w:numPr>
        <w:spacing w:after="80" w:line="280"/>
      </w:pPr>
      <w:r>
        <w:rPr>
          <w:rFonts w:ascii="Arial" w:cs="Arial" w:eastAsia="Arial" w:hAnsi="Arial"/>
          <w:color w:val="333333"/>
          <w:sz w:val="21"/>
          <w:szCs w:val="21"/>
        </w:rPr>
        <w:t xml:space="preserve">Apply to Pinnacle Atlanta Innovation Accelerator ($100K, metro Atlanta fintech focus) and Curql Accelerate Cohort 4 (credit union distribution).</w:t>
      </w:r>
    </w:p>
    <w:p>
      <w:pPr>
        <w:pStyle w:val="ListParagraph"/>
        <w:numPr>
          <w:ilvl w:val="0"/>
          <w:numId w:val="3"/>
        </w:numPr>
        <w:spacing w:after="80" w:line="280"/>
      </w:pPr>
      <w:r>
        <w:rPr>
          <w:rFonts w:ascii="Arial" w:cs="Arial" w:eastAsia="Arial" w:hAnsi="Arial"/>
          <w:color w:val="333333"/>
          <w:sz w:val="21"/>
          <w:szCs w:val="21"/>
        </w:rPr>
        <w:t xml:space="preserve">Secure $600K+ in cloud credits (AWS Activate, Google for Startups Cloud, Microsoft Founders Hub).</w:t>
      </w:r>
    </w:p>
    <w:p>
      <w:pPr>
        <w:pStyle w:val="ListParagraph"/>
        <w:numPr>
          <w:ilvl w:val="0"/>
          <w:numId w:val="3"/>
        </w:numPr>
        <w:spacing w:after="80" w:line="280"/>
      </w:pPr>
      <w:r>
        <w:rPr>
          <w:rFonts w:ascii="Arial" w:cs="Arial" w:eastAsia="Arial" w:hAnsi="Arial"/>
          <w:color w:val="333333"/>
          <w:sz w:val="21"/>
          <w:szCs w:val="21"/>
        </w:rPr>
        <w:t xml:space="preserve">Establish DIFC Innovation License ($10K, 4–6 weeks) for international footprint and SWF pathway.</w:t>
      </w:r>
    </w:p>
    <w:p>
      <w:pPr>
        <w:pStyle w:val="ListParagraph"/>
        <w:numPr>
          <w:ilvl w:val="0"/>
          <w:numId w:val="3"/>
        </w:numPr>
        <w:spacing w:after="80" w:line="280"/>
      </w:pPr>
      <w:r>
        <w:rPr>
          <w:rFonts w:ascii="Arial" w:cs="Arial" w:eastAsia="Arial" w:hAnsi="Arial"/>
          <w:color w:val="333333"/>
          <w:sz w:val="21"/>
          <w:szCs w:val="21"/>
        </w:rPr>
        <w:t xml:space="preserve">File provisional patents on Financial Positioning System methodology, Trust Index scoring, and governance-not-guardrails architecture.</w:t>
      </w:r>
    </w:p>
    <w:p>
      <w:pPr>
        <w:pStyle w:val="ListParagraph"/>
        <w:numPr>
          <w:ilvl w:val="0"/>
          <w:numId w:val="3"/>
        </w:numPr>
        <w:spacing w:after="80" w:line="280"/>
      </w:pPr>
      <w:r>
        <w:rPr>
          <w:rFonts w:ascii="Arial" w:cs="Arial" w:eastAsia="Arial" w:hAnsi="Arial"/>
          <w:color w:val="333333"/>
          <w:sz w:val="21"/>
          <w:szCs w:val="21"/>
        </w:rPr>
        <w:t xml:space="preserve">Engage regulatory counsel for fintech and trust law.</w:t>
      </w:r>
    </w:p>
    <w:p>
      <w:pPr>
        <w:spacing w:after="160" w:line="300"/>
        <w:jc w:val="both"/>
      </w:pPr>
      <w:r>
        <w:rPr>
          <w:rFonts w:ascii="Arial" w:cs="Arial" w:eastAsia="Arial" w:hAnsi="Arial"/>
          <w:b/>
          <w:bCs/>
          <w:color w:val="333333"/>
          <w:sz w:val="21"/>
          <w:szCs w:val="21"/>
        </w:rPr>
        <w:t xml:space="preserve">Phase 1 Capital Required: </w:t>
      </w:r>
      <w:r>
        <w:rPr>
          <w:rFonts w:ascii="Arial" w:cs="Arial" w:eastAsia="Arial" w:hAnsi="Arial"/>
          <w:color w:val="333333"/>
          <w:sz w:val="21"/>
          <w:szCs w:val="21"/>
        </w:rPr>
        <w:t xml:space="preserve">$150K–$500K (from accelerators, cloud credits, and initial grant capital).</w:t>
      </w:r>
    </w:p>
    <w:p>
      <w:pPr>
        <w:spacing w:after="160" w:line="300"/>
        <w:jc w:val="both"/>
      </w:pPr>
      <w:r>
        <w:rPr>
          <w:rFonts w:ascii="Arial" w:cs="Arial" w:eastAsia="Arial" w:hAnsi="Arial"/>
          <w:b/>
          <w:bCs/>
          <w:color w:val="333333"/>
          <w:sz w:val="21"/>
          <w:szCs w:val="21"/>
        </w:rPr>
        <w:t xml:space="preserve">Phase 1 Revenue Target: </w:t>
      </w:r>
      <w:r>
        <w:rPr>
          <w:rFonts w:ascii="Arial" w:cs="Arial" w:eastAsia="Arial" w:hAnsi="Arial"/>
          <w:color w:val="333333"/>
          <w:sz w:val="21"/>
          <w:szCs w:val="21"/>
        </w:rPr>
        <w:t xml:space="preserve">$120K ARR by month 12.</w:t>
      </w:r>
    </w:p>
    <w:p>
      <w:pPr>
        <w:pStyle w:val="Heading2"/>
        <w:spacing w:before="280" w:after="160"/>
      </w:pPr>
      <w:r>
        <w:rPr>
          <w:rFonts w:ascii="Georgia" w:cs="Georgia" w:eastAsia="Georgia" w:hAnsi="Georgia"/>
          <w:b/>
          <w:bCs/>
          <w:color w:val="2E5E8E"/>
          <w:sz w:val="26"/>
          <w:szCs w:val="26"/>
        </w:rPr>
        <w:t xml:space="preserve">Phase 2: Add Crown’s Eye + WayPoint Renaissance (Months 13–24)</w:t>
      </w:r>
    </w:p>
    <w:p>
      <w:pPr>
        <w:pStyle w:val="ListParagraph"/>
        <w:numPr>
          <w:ilvl w:val="0"/>
          <w:numId w:val="3"/>
        </w:numPr>
        <w:spacing w:after="80" w:line="280"/>
      </w:pPr>
      <w:r>
        <w:rPr>
          <w:rFonts w:ascii="Arial" w:cs="Arial" w:eastAsia="Arial" w:hAnsi="Arial"/>
          <w:color w:val="333333"/>
          <w:sz w:val="21"/>
          <w:szCs w:val="21"/>
        </w:rPr>
        <w:t xml:space="preserve">Launch Crown’s Eye for business owners (not heirs yet)—no financial licensing required for education products.</w:t>
      </w:r>
    </w:p>
    <w:p>
      <w:pPr>
        <w:pStyle w:val="ListParagraph"/>
        <w:numPr>
          <w:ilvl w:val="0"/>
          <w:numId w:val="3"/>
        </w:numPr>
        <w:spacing w:after="80" w:line="280"/>
      </w:pPr>
      <w:r>
        <w:rPr>
          <w:rFonts w:ascii="Arial" w:cs="Arial" w:eastAsia="Arial" w:hAnsi="Arial"/>
          <w:color w:val="333333"/>
          <w:sz w:val="21"/>
          <w:szCs w:val="21"/>
        </w:rPr>
        <w:t xml:space="preserve">Launch WayPoint Renaissance on proven BaaS rails from Phase 1 bank partnership.</w:t>
      </w:r>
    </w:p>
    <w:p>
      <w:pPr>
        <w:pStyle w:val="ListParagraph"/>
        <w:numPr>
          <w:ilvl w:val="0"/>
          <w:numId w:val="3"/>
        </w:numPr>
        <w:spacing w:after="80" w:line="280"/>
      </w:pPr>
      <w:r>
        <w:rPr>
          <w:rFonts w:ascii="Arial" w:cs="Arial" w:eastAsia="Arial" w:hAnsi="Arial"/>
          <w:color w:val="333333"/>
          <w:sz w:val="21"/>
          <w:szCs w:val="21"/>
        </w:rPr>
        <w:t xml:space="preserve">Integrate education with WayPoint Core: learn while you bank.</w:t>
      </w:r>
    </w:p>
    <w:p>
      <w:pPr>
        <w:pStyle w:val="ListParagraph"/>
        <w:numPr>
          <w:ilvl w:val="0"/>
          <w:numId w:val="3"/>
        </w:numPr>
        <w:spacing w:after="80" w:line="280"/>
      </w:pPr>
      <w:r>
        <w:rPr>
          <w:rFonts w:ascii="Arial" w:cs="Arial" w:eastAsia="Arial" w:hAnsi="Arial"/>
          <w:color w:val="333333"/>
          <w:sz w:val="21"/>
          <w:szCs w:val="21"/>
        </w:rPr>
        <w:t xml:space="preserve">Apply to Hub71 (Abu Dhabi) for subsidized operations and SWF access.</w:t>
      </w:r>
    </w:p>
    <w:p>
      <w:pPr>
        <w:pStyle w:val="ListParagraph"/>
        <w:numPr>
          <w:ilvl w:val="0"/>
          <w:numId w:val="3"/>
        </w:numPr>
        <w:spacing w:after="80" w:line="280"/>
      </w:pPr>
      <w:r>
        <w:rPr>
          <w:rFonts w:ascii="Arial" w:cs="Arial" w:eastAsia="Arial" w:hAnsi="Arial"/>
          <w:color w:val="333333"/>
          <w:sz w:val="21"/>
          <w:szCs w:val="21"/>
        </w:rPr>
        <w:t xml:space="preserve">Begin Flourish Ventures engagement.</w:t>
      </w:r>
    </w:p>
    <w:p>
      <w:pPr>
        <w:pStyle w:val="ListParagraph"/>
        <w:numPr>
          <w:ilvl w:val="0"/>
          <w:numId w:val="3"/>
        </w:numPr>
        <w:spacing w:after="80" w:line="280"/>
      </w:pPr>
      <w:r>
        <w:rPr>
          <w:rFonts w:ascii="Arial" w:cs="Arial" w:eastAsia="Arial" w:hAnsi="Arial"/>
          <w:color w:val="333333"/>
          <w:sz w:val="21"/>
          <w:szCs w:val="21"/>
        </w:rPr>
        <w:t xml:space="preserve">Expand to 1,000 customers, $100K MRR.</w:t>
      </w:r>
    </w:p>
    <w:p>
      <w:pPr>
        <w:spacing w:after="160" w:line="300"/>
        <w:jc w:val="both"/>
      </w:pPr>
      <w:r>
        <w:rPr>
          <w:rFonts w:ascii="Arial" w:cs="Arial" w:eastAsia="Arial" w:hAnsi="Arial"/>
          <w:b/>
          <w:bCs/>
          <w:color w:val="333333"/>
          <w:sz w:val="21"/>
          <w:szCs w:val="21"/>
        </w:rPr>
        <w:t xml:space="preserve">Phase 2 Capital Required: </w:t>
      </w:r>
      <w:r>
        <w:rPr>
          <w:rFonts w:ascii="Arial" w:cs="Arial" w:eastAsia="Arial" w:hAnsi="Arial"/>
          <w:color w:val="333333"/>
          <w:sz w:val="21"/>
          <w:szCs w:val="21"/>
        </w:rPr>
        <w:t xml:space="preserve">$500K–$2M (from targeted VC and accelerator capital).</w:t>
      </w:r>
    </w:p>
    <w:p>
      <w:pPr>
        <w:spacing w:after="160" w:line="300"/>
        <w:jc w:val="both"/>
      </w:pPr>
      <w:r>
        <w:rPr>
          <w:rFonts w:ascii="Arial" w:cs="Arial" w:eastAsia="Arial" w:hAnsi="Arial"/>
          <w:b/>
          <w:bCs/>
          <w:color w:val="333333"/>
          <w:sz w:val="21"/>
          <w:szCs w:val="21"/>
        </w:rPr>
        <w:t xml:space="preserve">Phase 2 Revenue Target: </w:t>
      </w:r>
      <w:r>
        <w:rPr>
          <w:rFonts w:ascii="Arial" w:cs="Arial" w:eastAsia="Arial" w:hAnsi="Arial"/>
          <w:color w:val="333333"/>
          <w:sz w:val="21"/>
          <w:szCs w:val="21"/>
        </w:rPr>
        <w:t xml:space="preserve">$1.2M ARR by month 24.</w:t>
      </w:r>
    </w:p>
    <w:p>
      <w:pPr>
        <w:pStyle w:val="Heading2"/>
        <w:spacing w:before="280" w:after="160"/>
      </w:pPr>
      <w:r>
        <w:rPr>
          <w:rFonts w:ascii="Georgia" w:cs="Georgia" w:eastAsia="Georgia" w:hAnsi="Georgia"/>
          <w:b/>
          <w:bCs/>
          <w:color w:val="2E5E8E"/>
          <w:sz w:val="26"/>
          <w:szCs w:val="26"/>
        </w:rPr>
        <w:t xml:space="preserve">Phase 3: UHNW Pivot + Edge Verticals (Months 25–36)</w:t>
      </w:r>
    </w:p>
    <w:p>
      <w:pPr>
        <w:pStyle w:val="ListParagraph"/>
        <w:numPr>
          <w:ilvl w:val="0"/>
          <w:numId w:val="3"/>
        </w:numPr>
        <w:spacing w:after="80" w:line="280"/>
      </w:pPr>
      <w:r>
        <w:rPr>
          <w:rFonts w:ascii="Arial" w:cs="Arial" w:eastAsia="Arial" w:hAnsi="Arial"/>
          <w:color w:val="333333"/>
          <w:sz w:val="21"/>
          <w:szCs w:val="21"/>
        </w:rPr>
        <w:t xml:space="preserve">Launch WayPoint Crown with full Crown’s Eye for heirs.</w:t>
      </w:r>
    </w:p>
    <w:p>
      <w:pPr>
        <w:pStyle w:val="ListParagraph"/>
        <w:numPr>
          <w:ilvl w:val="0"/>
          <w:numId w:val="3"/>
        </w:numPr>
        <w:spacing w:after="80" w:line="280"/>
      </w:pPr>
      <w:r>
        <w:rPr>
          <w:rFonts w:ascii="Arial" w:cs="Arial" w:eastAsia="Arial" w:hAnsi="Arial"/>
          <w:color w:val="333333"/>
          <w:sz w:val="21"/>
          <w:szCs w:val="21"/>
        </w:rPr>
        <w:t xml:space="preserve">Target UAE and Singapore family offices using Phase 1–2 proof.</w:t>
      </w:r>
    </w:p>
    <w:p>
      <w:pPr>
        <w:pStyle w:val="ListParagraph"/>
        <w:numPr>
          <w:ilvl w:val="0"/>
          <w:numId w:val="3"/>
        </w:numPr>
        <w:spacing w:after="80" w:line="280"/>
      </w:pPr>
      <w:r>
        <w:rPr>
          <w:rFonts w:ascii="Arial" w:cs="Arial" w:eastAsia="Arial" w:hAnsi="Arial"/>
          <w:color w:val="333333"/>
          <w:sz w:val="21"/>
          <w:szCs w:val="21"/>
        </w:rPr>
        <w:t xml:space="preserve">Add WayPoint Edge cannabis vertical (Canada first, then US if regulatory clarity improves) and creator vertical.</w:t>
      </w:r>
    </w:p>
    <w:p>
      <w:pPr>
        <w:pStyle w:val="ListParagraph"/>
        <w:numPr>
          <w:ilvl w:val="0"/>
          <w:numId w:val="3"/>
        </w:numPr>
        <w:spacing w:after="80" w:line="280"/>
      </w:pPr>
      <w:r>
        <w:rPr>
          <w:rFonts w:ascii="Arial" w:cs="Arial" w:eastAsia="Arial" w:hAnsi="Arial"/>
          <w:color w:val="333333"/>
          <w:sz w:val="21"/>
          <w:szCs w:val="21"/>
        </w:rPr>
        <w:t xml:space="preserve">Submit Lithuania EMI application for EU-wide access.</w:t>
      </w:r>
    </w:p>
    <w:p>
      <w:pPr>
        <w:pStyle w:val="ListParagraph"/>
        <w:numPr>
          <w:ilvl w:val="0"/>
          <w:numId w:val="3"/>
        </w:numPr>
        <w:spacing w:after="80" w:line="280"/>
      </w:pPr>
      <w:r>
        <w:rPr>
          <w:rFonts w:ascii="Arial" w:cs="Arial" w:eastAsia="Arial" w:hAnsi="Arial"/>
          <w:color w:val="333333"/>
          <w:sz w:val="21"/>
          <w:szCs w:val="21"/>
        </w:rPr>
        <w:t xml:space="preserve">Raise Series A: $5M–$15M.</w:t>
      </w:r>
    </w:p>
    <w:p>
      <w:pPr>
        <w:spacing w:after="160" w:line="300"/>
        <w:jc w:val="both"/>
      </w:pPr>
      <w:r>
        <w:rPr>
          <w:rFonts w:ascii="Arial" w:cs="Arial" w:eastAsia="Arial" w:hAnsi="Arial"/>
          <w:b/>
          <w:bCs/>
          <w:color w:val="333333"/>
          <w:sz w:val="21"/>
          <w:szCs w:val="21"/>
        </w:rPr>
        <w:t xml:space="preserve">Phase 3 Revenue Target: </w:t>
      </w:r>
      <w:r>
        <w:rPr>
          <w:rFonts w:ascii="Arial" w:cs="Arial" w:eastAsia="Arial" w:hAnsi="Arial"/>
          <w:color w:val="333333"/>
          <w:sz w:val="21"/>
          <w:szCs w:val="21"/>
        </w:rPr>
        <w:t xml:space="preserve">$4M+ ARR (Series A threshold).</w:t>
      </w:r>
    </w:p>
    <w:p>
      <w:pPr>
        <w:pStyle w:val="Heading2"/>
        <w:spacing w:before="280" w:after="160"/>
      </w:pPr>
      <w:r>
        <w:rPr>
          <w:rFonts w:ascii="Georgia" w:cs="Georgia" w:eastAsia="Georgia" w:hAnsi="Georgia"/>
          <w:b/>
          <w:bCs/>
          <w:color w:val="2E5E8E"/>
          <w:sz w:val="26"/>
          <w:szCs w:val="26"/>
        </w:rPr>
        <w:t xml:space="preserve">Phase 4: Full Ecosystem (Year 4+)</w:t>
      </w:r>
    </w:p>
    <w:p>
      <w:pPr>
        <w:pStyle w:val="ListParagraph"/>
        <w:numPr>
          <w:ilvl w:val="0"/>
          <w:numId w:val="3"/>
        </w:numPr>
        <w:spacing w:after="80" w:line="280"/>
      </w:pPr>
      <w:r>
        <w:rPr>
          <w:rFonts w:ascii="Arial" w:cs="Arial" w:eastAsia="Arial" w:hAnsi="Arial"/>
          <w:color w:val="333333"/>
          <w:sz w:val="21"/>
          <w:szCs w:val="21"/>
        </w:rPr>
        <w:t xml:space="preserve">Complete positioning system suite across all tiers.</w:t>
      </w:r>
    </w:p>
    <w:p>
      <w:pPr>
        <w:pStyle w:val="ListParagraph"/>
        <w:numPr>
          <w:ilvl w:val="0"/>
          <w:numId w:val="3"/>
        </w:numPr>
        <w:spacing w:after="80" w:line="280"/>
      </w:pPr>
      <w:r>
        <w:rPr>
          <w:rFonts w:ascii="Arial" w:cs="Arial" w:eastAsia="Arial" w:hAnsi="Arial"/>
          <w:color w:val="333333"/>
          <w:sz w:val="21"/>
          <w:szCs w:val="21"/>
        </w:rPr>
        <w:t xml:space="preserve">Multi-institutional orchestration.</w:t>
      </w:r>
    </w:p>
    <w:p>
      <w:pPr>
        <w:pStyle w:val="ListParagraph"/>
        <w:numPr>
          <w:ilvl w:val="0"/>
          <w:numId w:val="3"/>
        </w:numPr>
        <w:spacing w:after="80" w:line="280"/>
      </w:pPr>
      <w:r>
        <w:rPr>
          <w:rFonts w:ascii="Arial" w:cs="Arial" w:eastAsia="Arial" w:hAnsi="Arial"/>
          <w:color w:val="333333"/>
          <w:sz w:val="21"/>
          <w:szCs w:val="21"/>
        </w:rPr>
        <w:t xml:space="preserve">Eden Intelligence Group formalization.</w:t>
      </w:r>
    </w:p>
    <w:p>
      <w:pPr>
        <w:pStyle w:val="ListParagraph"/>
        <w:numPr>
          <w:ilvl w:val="0"/>
          <w:numId w:val="3"/>
        </w:numPr>
        <w:spacing w:after="80" w:line="280"/>
      </w:pPr>
      <w:r>
        <w:rPr>
          <w:rFonts w:ascii="Arial" w:cs="Arial" w:eastAsia="Arial" w:hAnsi="Arial"/>
          <w:color w:val="333333"/>
          <w:sz w:val="21"/>
          <w:szCs w:val="21"/>
        </w:rPr>
        <w:t xml:space="preserve">Kingdom Soundworks as separate business unit.</w:t>
      </w:r>
    </w:p>
    <w:p>
      <w:pPr>
        <w:pStyle w:val="ListParagraph"/>
        <w:numPr>
          <w:ilvl w:val="0"/>
          <w:numId w:val="3"/>
        </w:numPr>
        <w:spacing w:after="80" w:line="280"/>
      </w:pPr>
      <w:r>
        <w:rPr>
          <w:rFonts w:ascii="Arial" w:cs="Arial" w:eastAsia="Arial" w:hAnsi="Arial"/>
          <w:color w:val="333333"/>
          <w:sz w:val="21"/>
          <w:szCs w:val="21"/>
        </w:rPr>
        <w:t xml:space="preserve">Scale to $10M+ ARR.</w:t>
      </w:r>
    </w:p>
    <w:p>
      <w:pPr>
        <w:pStyle w:val="Heading2"/>
        <w:spacing w:before="280" w:after="160"/>
      </w:pPr>
      <w:r>
        <w:rPr>
          <w:rFonts w:ascii="Georgia" w:cs="Georgia" w:eastAsia="Georgia" w:hAnsi="Georgia"/>
          <w:b/>
          <w:bCs/>
          <w:color w:val="2E5E8E"/>
          <w:sz w:val="26"/>
          <w:szCs w:val="26"/>
        </w:rPr>
        <w:t xml:space="preserve">What Gets Delayed</w:t>
      </w:r>
    </w:p>
    <w:p>
      <w:pPr>
        <w:pStyle w:val="ListParagraph"/>
        <w:numPr>
          <w:ilvl w:val="0"/>
          <w:numId w:val="2"/>
        </w:numPr>
        <w:spacing w:after="80" w:line="280"/>
      </w:pPr>
      <w:r>
        <w:rPr>
          <w:rFonts w:ascii="Arial" w:cs="Arial" w:eastAsia="Arial" w:hAnsi="Arial"/>
          <w:b/>
          <w:bCs/>
          <w:color w:val="333333"/>
          <w:sz w:val="21"/>
          <w:szCs w:val="21"/>
        </w:rPr>
        <w:t xml:space="preserve">WayPoint Edge adult entertainment vertical: </w:t>
      </w:r>
      <w:r>
        <w:rPr>
          <w:rFonts w:ascii="Arial" w:cs="Arial" w:eastAsia="Arial" w:hAnsi="Arial"/>
          <w:color w:val="333333"/>
          <w:sz w:val="21"/>
          <w:szCs w:val="21"/>
        </w:rPr>
        <w:t xml:space="preserve">Until core infrastructure is proven and regulatory clarity improves.</w:t>
      </w:r>
    </w:p>
    <w:p>
      <w:pPr>
        <w:pStyle w:val="ListParagraph"/>
        <w:numPr>
          <w:ilvl w:val="0"/>
          <w:numId w:val="2"/>
        </w:numPr>
        <w:spacing w:after="80" w:line="280"/>
      </w:pPr>
      <w:r>
        <w:rPr>
          <w:rFonts w:ascii="Arial" w:cs="Arial" w:eastAsia="Arial" w:hAnsi="Arial"/>
          <w:b/>
          <w:bCs/>
          <w:color w:val="333333"/>
          <w:sz w:val="21"/>
          <w:szCs w:val="21"/>
        </w:rPr>
        <w:t xml:space="preserve">Kingdom Soundworks: </w:t>
      </w:r>
      <w:r>
        <w:rPr>
          <w:rFonts w:ascii="Arial" w:cs="Arial" w:eastAsia="Arial" w:hAnsi="Arial"/>
          <w:color w:val="333333"/>
          <w:sz w:val="21"/>
          <w:szCs w:val="21"/>
        </w:rPr>
        <w:t xml:space="preserve">Treat as a separate business unit to avoid confusing institutional investors evaluating fintech-specific metrics.</w:t>
      </w:r>
    </w:p>
    <w:p>
      <w:pPr>
        <w:pStyle w:val="ListParagraph"/>
        <w:numPr>
          <w:ilvl w:val="0"/>
          <w:numId w:val="2"/>
        </w:numPr>
        <w:spacing w:after="80" w:line="280"/>
      </w:pPr>
      <w:r>
        <w:rPr>
          <w:rFonts w:ascii="Arial" w:cs="Arial" w:eastAsia="Arial" w:hAnsi="Arial"/>
          <w:b/>
          <w:bCs/>
          <w:color w:val="333333"/>
          <w:sz w:val="21"/>
          <w:szCs w:val="21"/>
        </w:rPr>
        <w:t xml:space="preserve">Multi-institutional orchestration: </w:t>
      </w:r>
      <w:r>
        <w:rPr>
          <w:rFonts w:ascii="Arial" w:cs="Arial" w:eastAsia="Arial" w:hAnsi="Arial"/>
          <w:color w:val="333333"/>
          <w:sz w:val="21"/>
          <w:szCs w:val="21"/>
        </w:rPr>
        <w:t xml:space="preserve">Until single-bank partnership is proven.</w:t>
      </w:r>
    </w:p>
    <w:p>
      <w:pPr>
        <w:pStyle w:val="ListParagraph"/>
        <w:numPr>
          <w:ilvl w:val="0"/>
          <w:numId w:val="2"/>
        </w:numPr>
        <w:spacing w:after="80" w:line="280"/>
      </w:pPr>
      <w:r>
        <w:rPr>
          <w:rFonts w:ascii="Arial" w:cs="Arial" w:eastAsia="Arial" w:hAnsi="Arial"/>
          <w:b/>
          <w:bCs/>
          <w:color w:val="333333"/>
          <w:sz w:val="21"/>
          <w:szCs w:val="21"/>
        </w:rPr>
        <w:t xml:space="preserve">Trust charter application: </w:t>
      </w:r>
      <w:r>
        <w:rPr>
          <w:rFonts w:ascii="Arial" w:cs="Arial" w:eastAsia="Arial" w:hAnsi="Arial"/>
          <w:color w:val="333333"/>
          <w:sz w:val="21"/>
          <w:szCs w:val="21"/>
        </w:rPr>
        <w:t xml:space="preserve">Until WayPoint Crown has demonstrated demand.</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IX. Potential Returns Analysis</w:t>
      </w:r>
    </w:p>
    <w:p>
      <w:pPr>
        <w:pStyle w:val="Heading2"/>
        <w:spacing w:before="280" w:after="160"/>
      </w:pPr>
      <w:r>
        <w:rPr>
          <w:rFonts w:ascii="Georgia" w:cs="Georgia" w:eastAsia="Georgia" w:hAnsi="Georgia"/>
          <w:b/>
          <w:bCs/>
          <w:color w:val="2E5E8E"/>
          <w:sz w:val="26"/>
          <w:szCs w:val="26"/>
        </w:rPr>
        <w:t xml:space="preserve">Conservative Scenario (Single Vertical Focus)</w:t>
      </w:r>
    </w:p>
    <w:p>
      <w:pPr>
        <w:spacing w:after="160" w:line="300"/>
        <w:jc w:val="both"/>
      </w:pPr>
      <w:r>
        <w:rPr>
          <w:rFonts w:ascii="Arial" w:cs="Arial" w:eastAsia="Arial" w:hAnsi="Arial"/>
          <w:color w:val="333333"/>
          <w:sz w:val="21"/>
          <w:szCs w:val="21"/>
        </w:rPr>
        <w:t xml:space="preserve">If Meridia executes WayPoint Core only, achieving 5,000 small business customers at $50/month average revenue per user:</w:t>
      </w:r>
    </w:p>
    <w:p>
      <w:pPr>
        <w:pStyle w:val="ListParagraph"/>
        <w:numPr>
          <w:ilvl w:val="0"/>
          <w:numId w:val="2"/>
        </w:numPr>
        <w:spacing w:after="80" w:line="280"/>
      </w:pPr>
      <w:r>
        <w:rPr>
          <w:rFonts w:ascii="Arial" w:cs="Arial" w:eastAsia="Arial" w:hAnsi="Arial"/>
          <w:b/>
          <w:bCs/>
          <w:color w:val="333333"/>
          <w:sz w:val="21"/>
          <w:szCs w:val="21"/>
        </w:rPr>
        <w:t xml:space="preserve">Year 1: </w:t>
      </w:r>
      <w:r>
        <w:rPr>
          <w:rFonts w:ascii="Arial" w:cs="Arial" w:eastAsia="Arial" w:hAnsi="Arial"/>
          <w:color w:val="333333"/>
          <w:sz w:val="21"/>
          <w:szCs w:val="21"/>
        </w:rPr>
        <w:t xml:space="preserve">$120K ARR (100 customers)</w:t>
      </w:r>
    </w:p>
    <w:p>
      <w:pPr>
        <w:pStyle w:val="ListParagraph"/>
        <w:numPr>
          <w:ilvl w:val="0"/>
          <w:numId w:val="2"/>
        </w:numPr>
        <w:spacing w:after="80" w:line="280"/>
      </w:pPr>
      <w:r>
        <w:rPr>
          <w:rFonts w:ascii="Arial" w:cs="Arial" w:eastAsia="Arial" w:hAnsi="Arial"/>
          <w:b/>
          <w:bCs/>
          <w:color w:val="333333"/>
          <w:sz w:val="21"/>
          <w:szCs w:val="21"/>
        </w:rPr>
        <w:t xml:space="preserve">Year 2: </w:t>
      </w:r>
      <w:r>
        <w:rPr>
          <w:rFonts w:ascii="Arial" w:cs="Arial" w:eastAsia="Arial" w:hAnsi="Arial"/>
          <w:color w:val="333333"/>
          <w:sz w:val="21"/>
          <w:szCs w:val="21"/>
        </w:rPr>
        <w:t xml:space="preserve">$600K–$1.2M ARR (1,000–2,000 customers)</w:t>
      </w:r>
    </w:p>
    <w:p>
      <w:pPr>
        <w:pStyle w:val="ListParagraph"/>
        <w:numPr>
          <w:ilvl w:val="0"/>
          <w:numId w:val="2"/>
        </w:numPr>
        <w:spacing w:after="80" w:line="280"/>
      </w:pPr>
      <w:r>
        <w:rPr>
          <w:rFonts w:ascii="Arial" w:cs="Arial" w:eastAsia="Arial" w:hAnsi="Arial"/>
          <w:b/>
          <w:bCs/>
          <w:color w:val="333333"/>
          <w:sz w:val="21"/>
          <w:szCs w:val="21"/>
        </w:rPr>
        <w:t xml:space="preserve">Year 3: </w:t>
      </w:r>
      <w:r>
        <w:rPr>
          <w:rFonts w:ascii="Arial" w:cs="Arial" w:eastAsia="Arial" w:hAnsi="Arial"/>
          <w:color w:val="333333"/>
          <w:sz w:val="21"/>
          <w:szCs w:val="21"/>
        </w:rPr>
        <w:t xml:space="preserve">$3M–$6M ARR (5,000–10,000 customers)</w:t>
      </w:r>
    </w:p>
    <w:p>
      <w:pPr>
        <w:pStyle w:val="ListParagraph"/>
        <w:numPr>
          <w:ilvl w:val="0"/>
          <w:numId w:val="2"/>
        </w:numPr>
        <w:spacing w:after="80" w:line="280"/>
      </w:pPr>
      <w:r>
        <w:rPr>
          <w:rFonts w:ascii="Arial" w:cs="Arial" w:eastAsia="Arial" w:hAnsi="Arial"/>
          <w:b/>
          <w:bCs/>
          <w:color w:val="333333"/>
          <w:sz w:val="21"/>
          <w:szCs w:val="21"/>
        </w:rPr>
        <w:t xml:space="preserve">Year 5: </w:t>
      </w:r>
      <w:r>
        <w:rPr>
          <w:rFonts w:ascii="Arial" w:cs="Arial" w:eastAsia="Arial" w:hAnsi="Arial"/>
          <w:color w:val="333333"/>
          <w:sz w:val="21"/>
          <w:szCs w:val="21"/>
        </w:rPr>
        <w:t xml:space="preserve">$10M–$20M ARR</w:t>
      </w:r>
    </w:p>
    <w:p>
      <w:pPr>
        <w:pStyle w:val="ListParagraph"/>
        <w:numPr>
          <w:ilvl w:val="0"/>
          <w:numId w:val="2"/>
        </w:numPr>
        <w:spacing w:after="80" w:line="280"/>
      </w:pPr>
      <w:r>
        <w:rPr>
          <w:rFonts w:ascii="Arial" w:cs="Arial" w:eastAsia="Arial" w:hAnsi="Arial"/>
          <w:b/>
          <w:bCs/>
          <w:color w:val="333333"/>
          <w:sz w:val="21"/>
          <w:szCs w:val="21"/>
        </w:rPr>
        <w:t xml:space="preserve">Implied valuation at 10–15x ARR: </w:t>
      </w:r>
      <w:r>
        <w:rPr>
          <w:rFonts w:ascii="Arial" w:cs="Arial" w:eastAsia="Arial" w:hAnsi="Arial"/>
          <w:color w:val="333333"/>
          <w:sz w:val="21"/>
          <w:szCs w:val="21"/>
        </w:rPr>
        <w:t xml:space="preserve">$100M–$300M</w:t>
      </w:r>
    </w:p>
    <w:p>
      <w:pPr>
        <w:pStyle w:val="Heading2"/>
        <w:spacing w:before="280" w:after="160"/>
      </w:pPr>
      <w:r>
        <w:rPr>
          <w:rFonts w:ascii="Georgia" w:cs="Georgia" w:eastAsia="Georgia" w:hAnsi="Georgia"/>
          <w:b/>
          <w:bCs/>
          <w:color w:val="2E5E8E"/>
          <w:sz w:val="26"/>
          <w:szCs w:val="26"/>
        </w:rPr>
        <w:t xml:space="preserve">Moderate Scenario (Two Verticals + International)</w:t>
      </w:r>
    </w:p>
    <w:p>
      <w:pPr>
        <w:spacing w:after="160" w:line="300"/>
        <w:jc w:val="both"/>
      </w:pPr>
      <w:r>
        <w:rPr>
          <w:rFonts w:ascii="Arial" w:cs="Arial" w:eastAsia="Arial" w:hAnsi="Arial"/>
          <w:color w:val="333333"/>
          <w:sz w:val="21"/>
          <w:szCs w:val="21"/>
        </w:rPr>
        <w:t xml:space="preserve">WayPoint Core plus WayPoint Crown, with UAE and UK market entry:</w:t>
      </w:r>
    </w:p>
    <w:p>
      <w:pPr>
        <w:pStyle w:val="ListParagraph"/>
        <w:numPr>
          <w:ilvl w:val="0"/>
          <w:numId w:val="2"/>
        </w:numPr>
        <w:spacing w:after="80" w:line="280"/>
      </w:pPr>
      <w:r>
        <w:rPr>
          <w:rFonts w:ascii="Arial" w:cs="Arial" w:eastAsia="Arial" w:hAnsi="Arial"/>
          <w:b/>
          <w:bCs/>
          <w:color w:val="333333"/>
          <w:sz w:val="21"/>
          <w:szCs w:val="21"/>
        </w:rPr>
        <w:t xml:space="preserve">Year 3: </w:t>
      </w:r>
      <w:r>
        <w:rPr>
          <w:rFonts w:ascii="Arial" w:cs="Arial" w:eastAsia="Arial" w:hAnsi="Arial"/>
          <w:color w:val="333333"/>
          <w:sz w:val="21"/>
          <w:szCs w:val="21"/>
        </w:rPr>
        <w:t xml:space="preserve">$5M–$12M ARR</w:t>
      </w:r>
    </w:p>
    <w:p>
      <w:pPr>
        <w:pStyle w:val="ListParagraph"/>
        <w:numPr>
          <w:ilvl w:val="0"/>
          <w:numId w:val="2"/>
        </w:numPr>
        <w:spacing w:after="80" w:line="280"/>
      </w:pPr>
      <w:r>
        <w:rPr>
          <w:rFonts w:ascii="Arial" w:cs="Arial" w:eastAsia="Arial" w:hAnsi="Arial"/>
          <w:b/>
          <w:bCs/>
          <w:color w:val="333333"/>
          <w:sz w:val="21"/>
          <w:szCs w:val="21"/>
        </w:rPr>
        <w:t xml:space="preserve">Year 5: </w:t>
      </w:r>
      <w:r>
        <w:rPr>
          <w:rFonts w:ascii="Arial" w:cs="Arial" w:eastAsia="Arial" w:hAnsi="Arial"/>
          <w:color w:val="333333"/>
          <w:sz w:val="21"/>
          <w:szCs w:val="21"/>
        </w:rPr>
        <w:t xml:space="preserve">$25M–$60M ARR</w:t>
      </w:r>
    </w:p>
    <w:p>
      <w:pPr>
        <w:pStyle w:val="ListParagraph"/>
        <w:numPr>
          <w:ilvl w:val="0"/>
          <w:numId w:val="2"/>
        </w:numPr>
        <w:spacing w:after="80" w:line="280"/>
      </w:pPr>
      <w:r>
        <w:rPr>
          <w:rFonts w:ascii="Arial" w:cs="Arial" w:eastAsia="Arial" w:hAnsi="Arial"/>
          <w:b/>
          <w:bCs/>
          <w:color w:val="333333"/>
          <w:sz w:val="21"/>
          <w:szCs w:val="21"/>
        </w:rPr>
        <w:t xml:space="preserve">Implied valuation: </w:t>
      </w:r>
      <w:r>
        <w:rPr>
          <w:rFonts w:ascii="Arial" w:cs="Arial" w:eastAsia="Arial" w:hAnsi="Arial"/>
          <w:color w:val="333333"/>
          <w:sz w:val="21"/>
          <w:szCs w:val="21"/>
        </w:rPr>
        <w:t xml:space="preserve">$250M–$900M</w:t>
      </w:r>
    </w:p>
    <w:p>
      <w:pPr>
        <w:pStyle w:val="Heading2"/>
        <w:spacing w:before="280" w:after="160"/>
      </w:pPr>
      <w:r>
        <w:rPr>
          <w:rFonts w:ascii="Georgia" w:cs="Georgia" w:eastAsia="Georgia" w:hAnsi="Georgia"/>
          <w:b/>
          <w:bCs/>
          <w:color w:val="2E5E8E"/>
          <w:sz w:val="26"/>
          <w:szCs w:val="26"/>
        </w:rPr>
        <w:t xml:space="preserve">Aggressive Scenario (Full Ecosystem Execution)</w:t>
      </w:r>
    </w:p>
    <w:p>
      <w:pPr>
        <w:spacing w:after="160" w:line="300"/>
        <w:jc w:val="both"/>
      </w:pPr>
      <w:r>
        <w:rPr>
          <w:rFonts w:ascii="Arial" w:cs="Arial" w:eastAsia="Arial" w:hAnsi="Arial"/>
          <w:color w:val="333333"/>
          <w:sz w:val="21"/>
          <w:szCs w:val="21"/>
        </w:rPr>
        <w:t xml:space="preserve">All products, multi-market, with successful Series A and institutional partnerships:</w:t>
      </w:r>
    </w:p>
    <w:p>
      <w:pPr>
        <w:pStyle w:val="ListParagraph"/>
        <w:numPr>
          <w:ilvl w:val="0"/>
          <w:numId w:val="2"/>
        </w:numPr>
        <w:spacing w:after="80" w:line="280"/>
      </w:pPr>
      <w:r>
        <w:rPr>
          <w:rFonts w:ascii="Arial" w:cs="Arial" w:eastAsia="Arial" w:hAnsi="Arial"/>
          <w:b/>
          <w:bCs/>
          <w:color w:val="333333"/>
          <w:sz w:val="21"/>
          <w:szCs w:val="21"/>
        </w:rPr>
        <w:t xml:space="preserve">Year 5: </w:t>
      </w:r>
      <w:r>
        <w:rPr>
          <w:rFonts w:ascii="Arial" w:cs="Arial" w:eastAsia="Arial" w:hAnsi="Arial"/>
          <w:color w:val="333333"/>
          <w:sz w:val="21"/>
          <w:szCs w:val="21"/>
        </w:rPr>
        <w:t xml:space="preserve">$50M–$100M+ ARR</w:t>
      </w:r>
    </w:p>
    <w:p>
      <w:pPr>
        <w:pStyle w:val="ListParagraph"/>
        <w:numPr>
          <w:ilvl w:val="0"/>
          <w:numId w:val="2"/>
        </w:numPr>
        <w:spacing w:after="80" w:line="280"/>
      </w:pPr>
      <w:r>
        <w:rPr>
          <w:rFonts w:ascii="Arial" w:cs="Arial" w:eastAsia="Arial" w:hAnsi="Arial"/>
          <w:b/>
          <w:bCs/>
          <w:color w:val="333333"/>
          <w:sz w:val="21"/>
          <w:szCs w:val="21"/>
        </w:rPr>
        <w:t xml:space="preserve">Implied valuation: </w:t>
      </w:r>
      <w:r>
        <w:rPr>
          <w:rFonts w:ascii="Arial" w:cs="Arial" w:eastAsia="Arial" w:hAnsi="Arial"/>
          <w:color w:val="333333"/>
          <w:sz w:val="21"/>
          <w:szCs w:val="21"/>
        </w:rPr>
        <w:t xml:space="preserve">$500M–$1.5B</w:t>
      </w:r>
    </w:p>
    <w:p>
      <w:pPr>
        <w:spacing w:after="160" w:line="300"/>
        <w:jc w:val="both"/>
      </w:pPr>
      <w:r>
        <w:rPr>
          <w:rFonts w:ascii="Arial" w:cs="Arial" w:eastAsia="Arial" w:hAnsi="Arial"/>
          <w:color w:val="333333"/>
          <w:sz w:val="21"/>
          <w:szCs w:val="21"/>
        </w:rPr>
        <w:t xml:space="preserve">The aggressive scenario requires raising $20M+ in capital, building a 50+ person team, securing regulatory licenses in 3+ jurisdictions, and executing flawlessly across multiple verticals simultaneously. It is achievable but represents the upper bound of probability. The conservative scenario is achievable with current resources plus $500K in external capital.</w:t>
      </w:r>
    </w:p>
    <w:p>
      <w:pPr>
        <w:pStyle w:val="Heading2"/>
        <w:spacing w:before="280" w:after="160"/>
      </w:pPr>
      <w:r>
        <w:rPr>
          <w:rFonts w:ascii="Georgia" w:cs="Georgia" w:eastAsia="Georgia" w:hAnsi="Georgia"/>
          <w:b/>
          <w:bCs/>
          <w:color w:val="2E5E8E"/>
          <w:sz w:val="26"/>
          <w:szCs w:val="26"/>
        </w:rPr>
        <w:t xml:space="preserve">Returns for Early Capital Partners</w:t>
      </w:r>
    </w:p>
    <w:p>
      <w:pPr>
        <w:spacing w:after="160" w:line="300"/>
        <w:jc w:val="both"/>
      </w:pPr>
      <w:r>
        <w:rPr>
          <w:rFonts w:ascii="Arial" w:cs="Arial" w:eastAsia="Arial" w:hAnsi="Arial"/>
          <w:color w:val="333333"/>
          <w:sz w:val="21"/>
          <w:szCs w:val="21"/>
        </w:rPr>
        <w:t xml:space="preserve">An investor entering at seed stage ($500K–1M at $5–10M pre-money valuation) would see the following potential returns across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Scenario</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Year 5 Valuation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Return Multiple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IRR</w:t>
            </w:r>
          </w:p>
        </w:tc>
      </w:tr>
      <w:tr>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Conservative</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$100M–$300M</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10–60x</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58–130%</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$250M–$900M</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25–180x</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90–200%+</w:t>
            </w:r>
          </w:p>
        </w:tc>
      </w:tr>
      <w:tr>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Aggressive</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$500M–$1.5B</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50–300x</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120–250%+</w:t>
            </w:r>
          </w:p>
        </w:tc>
      </w:tr>
    </w:tbl>
    <w:p>
      <w:pPr>
        <w:spacing w:before="80" w:after="80"/>
      </w:pPr>
    </w:p>
    <w:p>
      <w:pPr>
        <w:spacing w:after="160" w:line="300"/>
        <w:jc w:val="both"/>
      </w:pPr>
      <w:r>
        <w:rPr>
          <w:rFonts w:ascii="Arial" w:cs="Arial" w:eastAsia="Arial" w:hAnsi="Arial"/>
          <w:color w:val="333333"/>
          <w:sz w:val="21"/>
          <w:szCs w:val="21"/>
        </w:rPr>
        <w:t xml:space="preserve">These multiples are consistent with early-stage fintech returns: Chime’s seed investors saw 500x+ returns, Monarch Money’s early backers have seen 25x+ in under three years. The category-creation opportunity across family office governance and excluded-vertical banking could yield outsized returns relative to more crowded segments.</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X. Closing Assessment</w:t>
      </w:r>
    </w:p>
    <w:p>
      <w:pPr>
        <w:spacing w:after="160" w:line="300"/>
        <w:jc w:val="both"/>
      </w:pPr>
      <w:r>
        <w:rPr>
          <w:rFonts w:ascii="Arial" w:cs="Arial" w:eastAsia="Arial" w:hAnsi="Arial"/>
          <w:color w:val="333333"/>
          <w:sz w:val="21"/>
          <w:szCs w:val="21"/>
        </w:rPr>
        <w:t xml:space="preserve">This report was commissioned to show depth. Here is the depth.</w:t>
      </w:r>
    </w:p>
    <w:p>
      <w:pPr>
        <w:spacing w:after="160" w:line="300"/>
        <w:jc w:val="both"/>
      </w:pPr>
      <w:r>
        <w:rPr>
          <w:rFonts w:ascii="Arial" w:cs="Arial" w:eastAsia="Arial" w:hAnsi="Arial"/>
          <w:color w:val="333333"/>
          <w:sz w:val="21"/>
          <w:szCs w:val="21"/>
        </w:rPr>
        <w:t xml:space="preserve">What has been built is extraordinary. The integrated architecture across finance, education, governance, and creativity—all operating on the same interpretive OS—is genuinely innovative. The AI collaboration methodology that produced this platform is itself valuable intellectual property. The mission authenticity is rare and powerful. The competitive analysis confirms genuine white space across every product line, both domestically and internationally.</w:t>
      </w:r>
    </w:p>
    <w:p>
      <w:pPr>
        <w:spacing w:after="160" w:line="300"/>
        <w:jc w:val="both"/>
      </w:pPr>
      <w:r>
        <w:rPr>
          <w:rFonts w:ascii="Arial" w:cs="Arial" w:eastAsia="Arial" w:hAnsi="Arial"/>
          <w:color w:val="333333"/>
          <w:sz w:val="21"/>
          <w:szCs w:val="21"/>
        </w:rPr>
        <w:t xml:space="preserve">What is being attempted is nearly impossible. Building what would normally require a funded fintech team, a family office advisory firm, an education technology company, a music business, and an AI infrastructure company—simultaneously, as a solo founder with limited capital. The competitive intelligence confirms that well-funded competitors with hundreds of millions in capital have not built what Meridia envisions. That is both the opportunity and the warning.</w:t>
      </w:r>
    </w:p>
    <w:p>
      <w:pPr>
        <w:spacing w:after="160" w:line="300"/>
        <w:jc w:val="both"/>
      </w:pPr>
      <w:r>
        <w:rPr>
          <w:rFonts w:ascii="Arial" w:cs="Arial" w:eastAsia="Arial" w:hAnsi="Arial"/>
          <w:color w:val="333333"/>
          <w:sz w:val="21"/>
          <w:szCs w:val="21"/>
        </w:rPr>
        <w:t xml:space="preserve">The path forward requires sacrifice. Not every product can launch first. Not every market can be entered now. The self-repairing, self-enhancing framework that the R&amp;D department represents—this process, this intelligence capability—is itself the competitive moat. No competitor has an AI-powered R&amp;D division generating this depth of strategic intelligence at this speed with this level of integration across market analysis, regulatory mapping, competitive positioning, and product strategy simultaneously.</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The technology works. The markets are real. The white space is verified globally. The regulatory tailwinds are time-limited. The funding pathways exist and are accessible. The question has never been whether this is possible. The question is whether the execution will match the architecture. This report is evidence that it can.</w:t>
      </w:r>
    </w:p>
    <w:p>
      <w:pPr>
        <w:spacing w:after="160" w:line="300"/>
        <w:jc w:val="both"/>
      </w:pPr>
      <w:r>
        <w:rPr>
          <w:rFonts w:ascii="Arial" w:cs="Arial" w:eastAsia="Arial" w:hAnsi="Arial"/>
          <w:color w:val="333333"/>
          <w:sz w:val="21"/>
          <w:szCs w:val="21"/>
        </w:rPr>
        <w:t xml:space="preserve">The R&amp;D department recommends immediate execution of Phase 1 as outlined in Section VIII. The first Meridian Continental Report is on the record. The next one should report revenue.</w:t>
      </w:r>
    </w:p>
    <w:p>
      <w:pPr>
        <w:spacing w:before="80" w:after="80"/>
      </w:pPr>
    </w:p>
    <w:p>
      <w:pPr>
        <w:spacing w:before="600"/>
        <w:jc w:val="center"/>
      </w:pPr>
      <w:r>
        <w:rPr>
          <w:rFonts w:ascii="Georgia" w:cs="Georgia" w:eastAsia="Georgia" w:hAnsi="Georgia"/>
          <w:i/>
          <w:iCs/>
          <w:color w:val="666666"/>
          <w:sz w:val="22"/>
          <w:szCs w:val="22"/>
        </w:rPr>
        <w:t xml:space="preserve">— End of Report —</w:t>
      </w:r>
    </w:p>
    <w:p>
      <w:pPr>
        <w:spacing w:before="120"/>
        <w:jc w:val="center"/>
      </w:pPr>
      <w:r>
        <w:rPr>
          <w:rFonts w:ascii="Arial" w:cs="Arial" w:eastAsia="Arial" w:hAnsi="Arial"/>
          <w:color w:val="666666"/>
          <w:sz w:val="20"/>
          <w:szCs w:val="20"/>
        </w:rPr>
        <w:t xml:space="preserve">R&amp;D / Business Development Division</w:t>
      </w:r>
    </w:p>
    <w:p>
      <w:pPr>
        <w:spacing w:before="60"/>
        <w:jc w:val="center"/>
      </w:pPr>
      <w:r>
        <w:rPr>
          <w:rFonts w:ascii="Arial" w:cs="Arial" w:eastAsia="Arial" w:hAnsi="Arial"/>
          <w:color w:val="666666"/>
          <w:sz w:val="20"/>
          <w:szCs w:val="20"/>
        </w:rPr>
        <w:t xml:space="preserve">Meridia — Eden Intelligence Group</w:t>
      </w:r>
    </w:p>
    <w:p>
      <w:pPr>
        <w:spacing w:before="60"/>
        <w:jc w:val="center"/>
      </w:pPr>
      <w:r>
        <w:rPr>
          <w:rFonts w:ascii="Arial" w:cs="Arial" w:eastAsia="Arial" w:hAnsi="Arial"/>
          <w:color w:val="666666"/>
          <w:sz w:val="20"/>
          <w:szCs w:val="20"/>
        </w:rPr>
        <w:t xml:space="preserve">February 19,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922E" w:sz="2" w:space="4"/>
      </w:pBdr>
      <w:tabs>
        <w:tab w:val="right" w:pos="9026"/>
      </w:tabs>
    </w:pPr>
    <w:r>
      <w:rPr>
        <w:rFonts w:ascii="Arial" w:cs="Arial" w:eastAsia="Arial" w:hAnsi="Arial"/>
        <w:color w:val="666666"/>
        <w:sz w:val="14"/>
        <w:szCs w:val="14"/>
      </w:rPr>
      <w:t xml:space="preserve">CONFIDENTIAL — Meridia / Eden Intelligence Group</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922E" w:sz="2" w:space="4"/>
      </w:pBdr>
      <w:tabs>
        <w:tab w:val="right" w:pos="9026"/>
      </w:tabs>
    </w:pPr>
    <w:r>
      <w:rPr>
        <w:rFonts w:ascii="Arial" w:cs="Arial" w:eastAsia="Arial" w:hAnsi="Arial"/>
        <w:color w:val="666666"/>
        <w:sz w:val="14"/>
        <w:szCs w:val="14"/>
      </w:rPr>
      <w:t xml:space="preserve">CONFIDENTIAL — Meridia / Eden Intelligence Group</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22E" w:sz="2" w:space="4"/>
      </w:pBdr>
      <w:tabs>
        <w:tab w:val="right" w:pos="9026"/>
      </w:tabs>
    </w:pPr>
    <w:r>
      <w:rPr>
        <w:rFonts w:ascii="Arial" w:cs="Arial" w:eastAsia="Arial" w:hAnsi="Arial"/>
        <w:b/>
        <w:bCs/>
        <w:color w:val="666666"/>
        <w:sz w:val="16"/>
        <w:szCs w:val="16"/>
      </w:rPr>
      <w:t xml:space="preserve">MERIDIAN CONTINENTAL REPORT</w:t>
    </w:r>
    <w:r>
      <w:rPr>
        <w:rFonts w:ascii="Arial" w:cs="Arial" w:eastAsia="Arial" w:hAnsi="Arial"/>
        <w:color w:val="666666"/>
        <w:sz w:val="16"/>
        <w:szCs w:val="16"/>
      </w:rPr>
      <w:t xml:space="preserve">	MCR-2026-001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22E" w:sz="2" w:space="4"/>
      </w:pBdr>
      <w:tabs>
        <w:tab w:val="right" w:pos="9026"/>
      </w:tabs>
    </w:pPr>
    <w:r>
      <w:rPr>
        <w:rFonts w:ascii="Arial" w:cs="Arial" w:eastAsia="Arial" w:hAnsi="Arial"/>
        <w:b/>
        <w:bCs/>
        <w:color w:val="666666"/>
        <w:sz w:val="16"/>
        <w:szCs w:val="16"/>
      </w:rPr>
      <w:t xml:space="preserve">MERIDIAN CONTINENTAL REPORT</w:t>
    </w:r>
    <w:r>
      <w:rPr>
        <w:rFonts w:ascii="Arial" w:cs="Arial" w:eastAsia="Arial" w:hAnsi="Arial"/>
        <w:color w:val="666666"/>
        <w:sz w:val="16"/>
        <w:szCs w:val="16"/>
      </w:rPr>
      <w:t xml:space="preserve">	MCR-2026-001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E5E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2026-02-19T20:33:06.539Z</dcterms:created>
  <dcterms:modified xsi:type="dcterms:W3CDTF">2026-02-19T20:33:06.540Z</dcterms:modified>
</cp:coreProperties>
</file>

<file path=docProps/custom.xml><?xml version="1.0" encoding="utf-8"?>
<Properties xmlns="http://schemas.openxmlformats.org/officeDocument/2006/custom-properties" xmlns:vt="http://schemas.openxmlformats.org/officeDocument/2006/docPropsVTypes"/>
</file>