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inzel" w:cs="Cinzel" w:eastAsia="Cinzel" w:hAnsi="Cinzel"/>
          <w:b w:val="false"/>
          <w:bCs w:val="false"/>
          <w:i w:val="false"/>
          <w:iCs w:val="false"/>
          <w:color w:val="B8860B"/>
          <w:spacing w:val="200"/>
          <w:sz w:val="28"/>
          <w:szCs w:val="28"/>
        </w:rPr>
        <w:t xml:space="preserve">THE</w:t>
      </w:r>
    </w:p>
    <w:p>
      <w:pPr>
        <w:spacing w:after="80"/>
        <w:jc w:val="center"/>
      </w:pPr>
      <w:r>
        <w:rPr>
          <w:rFonts w:ascii="Cinzel" w:cs="Cinzel" w:eastAsia="Cinzel" w:hAnsi="Cinzel"/>
          <w:b/>
          <w:bCs/>
          <w:i w:val="false"/>
          <w:iCs w:val="false"/>
          <w:color w:val="1B3A5C"/>
          <w:spacing w:val="100"/>
          <w:sz w:val="52"/>
          <w:szCs w:val="52"/>
        </w:rPr>
        <w:t xml:space="preserve">MERIDIAN CONTINENTAL</w:t>
      </w:r>
    </w:p>
    <w:p>
      <w:pPr>
        <w:pBdr>
          <w:bottom w:val="single" w:color="B8860B" w:sz="4" w:space="8"/>
        </w:pBdr>
        <w:spacing w:after="400"/>
        <w:jc w:val="center"/>
      </w:pPr>
    </w:p>
    <w:p>
      <w:pPr>
        <w:spacing w:after="40" w:before="200"/>
        <w:jc w:val="center"/>
      </w:pPr>
      <w:r>
        <w:rPr>
          <w:rFonts w:ascii="Cormorant Garamond" w:cs="Cormorant Garamond" w:eastAsia="Cormorant Garamond" w:hAnsi="Cormorant Garamond"/>
          <w:b w:val="false"/>
          <w:bCs w:val="false"/>
          <w:i/>
          <w:iCs/>
          <w:color w:val="B8860B"/>
          <w:sz w:val="28"/>
          <w:szCs w:val="28"/>
        </w:rPr>
        <w:t xml:space="preserve">Financial Atlas and Positioning Report</w:t>
      </w:r>
    </w:p>
    <w:p>
      <w:pPr>
        <w:spacing w:after="600"/>
        <w:jc w:val="center"/>
      </w:pPr>
      <w:r>
        <w:rPr>
          <w:rFonts w:ascii="Cormorant Garamond" w:cs="Cormorant Garamond" w:eastAsia="Cormorant Garamond" w:hAnsi="Cormorant Garamond"/>
          <w:b w:val="false"/>
          <w:bCs w:val="false"/>
          <w:i/>
          <w:iCs/>
          <w:color w:val="6B6B6B"/>
          <w:sz w:val="24"/>
          <w:szCs w:val="24"/>
        </w:rPr>
        <w:t xml:space="preserve">Global Intelligence for the Sophisticated</w:t>
      </w:r>
    </w:p>
    <w:p>
      <w:pPr>
        <w:spacing w:after="40"/>
        <w:jc w:val="center"/>
      </w:pPr>
      <w:r>
        <w:rPr>
          <w:rFonts w:ascii="Cinzel" w:cs="Cinzel" w:eastAsia="Cinzel" w:hAnsi="Cinzel"/>
          <w:b w:val="false"/>
          <w:bCs w:val="false"/>
          <w:i w:val="false"/>
          <w:iCs w:val="false"/>
          <w:color w:val="1B3A5C"/>
          <w:spacing w:val="200"/>
          <w:sz w:val="28"/>
          <w:szCs w:val="28"/>
        </w:rPr>
        <w:t xml:space="preserve">VOLUME I</w:t>
      </w:r>
    </w:p>
    <w:p>
      <w:pPr>
        <w:spacing w:after="40"/>
        <w:jc w:val="center"/>
      </w:pPr>
      <w:r>
        <w:rPr>
          <w:rFonts w:ascii="Cormorant Garamond" w:cs="Cormorant Garamond" w:eastAsia="Cormorant Garamond" w:hAnsi="Cormorant Garamond"/>
          <w:b w:val="false"/>
          <w:bCs w:val="false"/>
          <w:i/>
          <w:iCs/>
          <w:color w:val="4A4A4A"/>
          <w:sz w:val="26"/>
          <w:szCs w:val="26"/>
        </w:rPr>
        <w:t xml:space="preserve">The Global Financial Architecture</w:t>
      </w:r>
    </w:p>
    <w:p>
      <w:pPr>
        <w:spacing w:after="1200"/>
        <w:jc w:val="center"/>
      </w:pPr>
      <w:r>
        <w:rPr>
          <w:rFonts w:ascii="Cormorant Garamond" w:cs="Cormorant Garamond" w:eastAsia="Cormorant Garamond" w:hAnsi="Cormorant Garamond"/>
          <w:b w:val="false"/>
          <w:bCs w:val="false"/>
          <w:i w:val="false"/>
          <w:iCs w:val="false"/>
          <w:color w:val="6B6B6B"/>
          <w:sz w:val="22"/>
          <w:szCs w:val="22"/>
        </w:rPr>
        <w:t xml:space="preserve">From Domestic Banking to Sovereign Coordination</w:t>
      </w:r>
    </w:p>
    <w:p>
      <w:pPr>
        <w:spacing w:after="40"/>
        <w:jc w:val="center"/>
      </w:pPr>
      <w:r>
        <w:rPr>
          <w:rFonts w:ascii="Cinzel" w:cs="Cinzel" w:eastAsia="Cinzel" w:hAnsi="Cinzel"/>
          <w:b w:val="false"/>
          <w:bCs w:val="false"/>
          <w:i w:val="false"/>
          <w:iCs w:val="false"/>
          <w:color w:val="B8860B"/>
          <w:spacing w:val="100"/>
          <w:sz w:val="20"/>
          <w:szCs w:val="20"/>
        </w:rPr>
        <w:t xml:space="preserve">A Meridia Publication</w:t>
      </w:r>
    </w:p>
    <w:p>
      <w:pPr>
        <w:spacing w:after="40"/>
        <w:jc w:val="center"/>
      </w:pPr>
      <w:r>
        <w:rPr>
          <w:rFonts w:ascii="Cormorant Garamond" w:cs="Cormorant Garamond" w:eastAsia="Cormorant Garamond" w:hAnsi="Cormorant Garamond"/>
          <w:b w:val="false"/>
          <w:bCs w:val="false"/>
          <w:i w:val="false"/>
          <w:iCs w:val="false"/>
          <w:color w:val="6B6B6B"/>
          <w:sz w:val="22"/>
          <w:szCs w:val="22"/>
        </w:rPr>
        <w:t xml:space="preserve">February 2026</w:t>
      </w:r>
    </w:p>
    <w:p>
      <w:r>
        <w:br w:type="page"/>
      </w:r>
    </w:p>
    <w:p>
      <w:pPr>
        <w:spacing w:before="2400"/>
      </w:pPr>
    </w:p>
    <w:p>
      <w:pPr>
        <w:spacing w:after="200"/>
        <w:ind w:left="1440" w:right="1440"/>
        <w:jc w:val="center"/>
      </w:pPr>
      <w:r>
        <w:rPr>
          <w:rFonts w:ascii="Cormorant Garamond" w:cs="Cormorant Garamond" w:eastAsia="Cormorant Garamond" w:hAnsi="Cormorant Garamond"/>
          <w:b w:val="false"/>
          <w:bCs w:val="false"/>
          <w:i/>
          <w:iCs/>
          <w:color w:val="4A4A4A"/>
          <w:sz w:val="24"/>
          <w:szCs w:val="24"/>
        </w:rPr>
        <w:t xml:space="preserve">“The man who has the money has the power, and the man who has the power has the money. And it is the duty of every man who loves his race to see to it that the race gets its fair share of both.”</w:t>
      </w:r>
    </w:p>
    <w:p>
      <w:pPr>
        <w:spacing w:after="800"/>
        <w:jc w:val="center"/>
      </w:pPr>
      <w:r>
        <w:rPr>
          <w:rFonts w:ascii="Cormorant Garamond" w:cs="Cormorant Garamond" w:eastAsia="Cormorant Garamond" w:hAnsi="Cormorant Garamond"/>
          <w:b w:val="false"/>
          <w:bCs w:val="false"/>
          <w:i w:val="false"/>
          <w:iCs w:val="false"/>
          <w:color w:val="6B6B6B"/>
          <w:sz w:val="22"/>
          <w:szCs w:val="22"/>
        </w:rPr>
        <w:t xml:space="preserve">— Frederick Douglass</w:t>
      </w:r>
    </w:p>
    <w:p>
      <w:pPr>
        <w:spacing w:after="200"/>
        <w:ind w:left="1440" w:right="1440"/>
        <w:jc w:val="center"/>
      </w:pPr>
      <w:r>
        <w:rPr>
          <w:rFonts w:ascii="Cormorant Garamond" w:cs="Cormorant Garamond" w:eastAsia="Cormorant Garamond" w:hAnsi="Cormorant Garamond"/>
          <w:b w:val="false"/>
          <w:bCs w:val="false"/>
          <w:i/>
          <w:iCs/>
          <w:color w:val="6B6B6B"/>
          <w:sz w:val="22"/>
          <w:szCs w:val="22"/>
        </w:rPr>
        <w:t xml:space="preserve">This volume exists because the architecture of global finance has been deliberately obscured from those who need to understand it most. Not through conspiracy, but through complexity — layers of specialization that prevent any single professional from seeing across the full system. What follows is an attempt to make the invisible visible, the complex navigable, and the gatekept accessible.</w:t>
      </w:r>
    </w:p>
    <w:p>
      <w:r>
        <w:br w:type="page"/>
      </w:r>
    </w:p>
    <w:p>
      <w:pPr>
        <w:spacing w:after="400"/>
      </w:pPr>
      <w:r>
        <w:rPr>
          <w:rFonts w:ascii="Cinzel" w:cs="Cinzel" w:eastAsia="Cinzel" w:hAnsi="Cinzel"/>
          <w:b/>
          <w:bCs/>
          <w:i w:val="false"/>
          <w:iCs w:val="false"/>
          <w:color w:val="1B3A5C"/>
          <w:spacing w:val="200"/>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40"/>
      </w:pPr>
      <w:r>
        <w:rPr>
          <w:rFonts w:ascii="Cinzel" w:cs="Cinzel" w:eastAsia="Cinzel" w:hAnsi="Cinzel"/>
          <w:b/>
          <w:bCs/>
          <w:i w:val="false"/>
          <w:iCs w:val="false"/>
          <w:color w:val="1B3A5C"/>
          <w:sz w:val="32"/>
          <w:szCs w:val="32"/>
        </w:rPr>
        <w:t xml:space="preserve">Part I: Why International Structures Exist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Every country has three things: a currency, a legal system, and a tax regime. All three can change at any time, for any reason, without your permission.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1933, the United States made it illegal for citizens to own gold. Executive Order 6102. If your wealth was in gold, the government took it and gave you paper at a rate they set. Legal. Overnight.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1971, Nixon closed the gold window. The dollar became untethered from any physical asset. Every dollar you held changed in nature — not in amount, but in what it was — without your consent.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2013, Cyprus seized up to 47.5% of bank deposits over €100,000 to bail out its banking system. If you had €500,000 in a Cypriot bank on a Friday, you had roughly €260,000 on Monday. Legal. Sovereign decision.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point is not that governments are evil. The point is that concentration of assets within a single sovereign jurisdiction is a structural risk. Not a political opinion. A fact of architecture. If your currency, your legal protections, and your tax treatment all flow from one government, then one government’s decision — one election, one crisis, one policy shift — can restructure your entire position.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This is what C. Hoare &amp; Co.’s clients understood in 1672. This is what the Rothschilds formalized across five countries. This is what every UHNW family office practices today. It is not about hiding. It is about never being fully dependent on a single system that you do not control.</w:t>
      </w:r>
    </w:p>
    <w:p>
      <w:r>
        <w:br w:type="page"/>
      </w:r>
    </w:p>
    <w:p>
      <w:pPr>
        <w:pStyle w:val="Heading1"/>
        <w:spacing w:before="400" w:after="240"/>
      </w:pPr>
      <w:r>
        <w:rPr>
          <w:rFonts w:ascii="Cinzel" w:cs="Cinzel" w:eastAsia="Cinzel" w:hAnsi="Cinzel"/>
          <w:b/>
          <w:bCs/>
          <w:i w:val="false"/>
          <w:iCs w:val="false"/>
          <w:color w:val="1B3A5C"/>
          <w:sz w:val="32"/>
          <w:szCs w:val="32"/>
        </w:rPr>
        <w:t xml:space="preserve">Part II: How Money Moves Across Borders</w:t>
      </w:r>
    </w:p>
    <w:p>
      <w:pPr>
        <w:pStyle w:val="Heading2"/>
        <w:spacing w:before="320" w:after="200"/>
      </w:pPr>
      <w:r>
        <w:rPr>
          <w:rFonts w:ascii="Cinzel" w:cs="Cinzel" w:eastAsia="Cinzel" w:hAnsi="Cinzel"/>
          <w:b/>
          <w:bCs/>
          <w:i w:val="false"/>
          <w:iCs w:val="false"/>
          <w:color w:val="1B3A5C"/>
          <w:sz w:val="26"/>
          <w:szCs w:val="26"/>
        </w:rPr>
        <w:t xml:space="preserve">Correspondent Banking</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Domestically, money moves through Fedwire (real-time gross settlement), CHIPS (net settlement for large interbank payments), and ACH (batch processing for consumer transactions). Those are all domestic systems denominated in dollars, governed by the Federal Reserve.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When money crosses a border, none of those systems work directly. There is no world central bank. There is no global Fedwire. The system relies on relationships between banks — and this is where correspondent banking becomes the foundation of everything international.</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Bank A is in New York. Bank B is in London. They do not share a payment rail. So Bank A opens an account at Bank B, denominated in pounds. That is Bank A’s nostro account — “ours” held at your institution. From Bank B’s perspective, that same account is a vostro account — “yours” held at our institution.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When a client of Bank A needs to send pounds to someone in London, Bank A does not send anything across a wire to England. It instructs Bank B to pay the recipient from the nostro account Bank A already holds there. The money was already in London. It just changed who it belonged to.</w:t>
      </w:r>
    </w:p>
    <w:p>
      <w:pPr>
        <w:pStyle w:val="Heading2"/>
        <w:spacing w:before="320" w:after="200"/>
      </w:pPr>
      <w:r>
        <w:rPr>
          <w:rFonts w:ascii="Cinzel" w:cs="Cinzel" w:eastAsia="Cinzel" w:hAnsi="Cinzel"/>
          <w:b/>
          <w:bCs/>
          <w:i w:val="false"/>
          <w:iCs w:val="false"/>
          <w:color w:val="1B3A5C"/>
          <w:sz w:val="26"/>
          <w:szCs w:val="26"/>
        </w:rPr>
        <w:t xml:space="preserve">SWIFT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SWIFT does not move money. This is the single most misunderstood fact in international finance. SWIFT is a messaging system. It sends instructions: “Pay this person, from this account, this amount, with this reference.” The actual money moves through the correspondent accounts that were pre-funded. SWIFT is the telephone. The nostro/vostro accounts are the actual infrastructure.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This means international money movement depends entirely on which banks have relationships with which other banks. If your bank does not have a correspondent relationship in the country you need to reach, your payment has to hop — Bank A to Bank C to Bank B. Each hop takes time, costs fees, and introduces a counterparty. This is why the major money center banks — JPMorgan, Citi, HSBC, Deutsche Bank, Barclays — dominate international flows. They have the most correspondent relationships globally.</w:t>
      </w:r>
    </w:p>
    <w:p>
      <w:pPr>
        <w:pStyle w:val="Heading2"/>
        <w:spacing w:before="320" w:after="200"/>
      </w:pPr>
      <w:r>
        <w:rPr>
          <w:rFonts w:ascii="Cinzel" w:cs="Cinzel" w:eastAsia="Cinzel" w:hAnsi="Cinzel"/>
          <w:b/>
          <w:bCs/>
          <w:i w:val="false"/>
          <w:iCs w:val="false"/>
          <w:color w:val="1B3A5C"/>
          <w:sz w:val="26"/>
          <w:szCs w:val="26"/>
        </w:rPr>
        <w:t xml:space="preserve">CLS Bank — The Invisible Giant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Foreign exchange is a $7.5 trillion per day market. When you exchange dollars for euros, both legs of the transaction need to settle. You send dollars. You receive euros. But those two movements happen in different countries, on different payment systems, in different time zones.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risk: you send your dollars, and the other side does not send the euros. This is called Herstatt risk, named after a German bank that collapsed in 1974 at exactly the wrong moment — after receiving Deutsche marks from counterparties but before sending them their dollars.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CLS Bank was created to eliminate this. It settles both sides simultaneously — payment-versus-payment. Neither leg moves unless both legs move. It processes over $6 trillion daily across 18 currencies. Almost nobody outside of banking knows it exists.</w:t>
      </w:r>
    </w:p>
    <w:p>
      <w:r>
        <w:br w:type="page"/>
      </w:r>
    </w:p>
    <w:p>
      <w:pPr>
        <w:pStyle w:val="Heading1"/>
        <w:spacing w:before="400" w:after="240"/>
      </w:pPr>
      <w:r>
        <w:rPr>
          <w:rFonts w:ascii="Cinzel" w:cs="Cinzel" w:eastAsia="Cinzel" w:hAnsi="Cinzel"/>
          <w:b/>
          <w:bCs/>
          <w:i w:val="false"/>
          <w:iCs w:val="false"/>
          <w:color w:val="1B3A5C"/>
          <w:sz w:val="32"/>
          <w:szCs w:val="32"/>
        </w:rPr>
        <w:t xml:space="preserve">Part III: The Supranational Layer</w:t>
      </w:r>
    </w:p>
    <w:p>
      <w:pPr>
        <w:pStyle w:val="Heading2"/>
        <w:spacing w:before="320" w:after="200"/>
      </w:pPr>
      <w:r>
        <w:rPr>
          <w:rFonts w:ascii="Cinzel" w:cs="Cinzel" w:eastAsia="Cinzel" w:hAnsi="Cinzel"/>
          <w:b/>
          <w:bCs/>
          <w:i w:val="false"/>
          <w:iCs w:val="false"/>
          <w:color w:val="1B3A5C"/>
          <w:sz w:val="26"/>
          <w:szCs w:val="26"/>
        </w:rPr>
        <w:t xml:space="preserve">The Bank for International Settlements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Founded in 1930. Sixty-three member central banks. Headquartered in Basel, Switzerland. It is, in the most literal sense, the central bank of central banks.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BIS provides three things. First, a place where central bank governors meet privately. Every two months, the governors of the world’s major central banks gather in Basel. No press. No minutes published. No public agenda. The decisions that come out of those rooms ripple through every economy on earth. Second, the Basel Accords — the frameworks that define how much capital a bank must hold against its risks. When you hear that a bank has a “Tier 1 capital ratio,” that is Basel language. Third, BIS acts as a bank for central banks. Central banks hold deposits at BIS. During crises, BIS facilitates emergency liquidity.</w:t>
      </w:r>
    </w:p>
    <w:p>
      <w:pPr>
        <w:pStyle w:val="Heading2"/>
        <w:spacing w:before="320" w:after="200"/>
      </w:pPr>
      <w:r>
        <w:rPr>
          <w:rFonts w:ascii="Cinzel" w:cs="Cinzel" w:eastAsia="Cinzel" w:hAnsi="Cinzel"/>
          <w:b/>
          <w:bCs/>
          <w:i w:val="false"/>
          <w:iCs w:val="false"/>
          <w:color w:val="1B3A5C"/>
          <w:sz w:val="26"/>
          <w:szCs w:val="26"/>
        </w:rPr>
        <w:t xml:space="preserve">The Basel Accords</w:t>
      </w:r>
    </w:p>
    <w:p>
      <w:pPr>
        <w:pStyle w:val="Heading3"/>
        <w:spacing w:before="240" w:after="160"/>
      </w:pPr>
      <w:r>
        <w:rPr>
          <w:rFonts w:ascii="Cormorant Garamond" w:cs="Cormorant Garamond" w:eastAsia="Cormorant Garamond" w:hAnsi="Cormorant Garamond"/>
          <w:b/>
          <w:bCs/>
          <w:i w:val="false"/>
          <w:iCs w:val="false"/>
          <w:color w:val="1B3A5C"/>
          <w:sz w:val="24"/>
          <w:szCs w:val="24"/>
        </w:rPr>
        <w:t xml:space="preserve">Basel I — 1988</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Before Basel I, there was no international standard for bank capital. Basel I established that banks must hold capital equal to at least 8% of their risk-weighted assets. The concept of risk-weighting is where the architecture begins. Government bonds from OECD countries received 0% weight (considered riskless). Interbank loans received 20%. Residential mortgages 50%. Corporate and consumer loans 100%.</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immediate consequence: banks loaded up on government bonds because they required zero capital. The rules literally incentivize banks to buy sovereign debt. The framework serves the framework’s creators. The people writing the rules are central bankers. They work for governments.</w:t>
      </w:r>
    </w:p>
    <w:p>
      <w:pPr>
        <w:pStyle w:val="Heading3"/>
        <w:spacing w:before="240" w:after="160"/>
      </w:pPr>
      <w:r>
        <w:rPr>
          <w:rFonts w:ascii="Cormorant Garamond" w:cs="Cormorant Garamond" w:eastAsia="Cormorant Garamond" w:hAnsi="Cormorant Garamond"/>
          <w:b/>
          <w:bCs/>
          <w:i w:val="false"/>
          <w:iCs w:val="false"/>
          <w:color w:val="1B3A5C"/>
          <w:sz w:val="24"/>
          <w:szCs w:val="24"/>
        </w:rPr>
        <w:t xml:space="preserve">Basel II — 2004</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Basel II introduced three pillars: minimum capital requirements with more granular risk weights, supervisory review giving national regulators discretion, and market discipline through disclosure. Banks could use their own internal models to calculate risk. Those same models failed to predict the 2008 crisis. Basel II’s trust in bank self-assessment was one of the structural enablers of the financial crisis.</w:t>
      </w:r>
    </w:p>
    <w:p>
      <w:pPr>
        <w:pStyle w:val="Heading3"/>
        <w:spacing w:before="240" w:after="160"/>
      </w:pPr>
      <w:r>
        <w:rPr>
          <w:rFonts w:ascii="Cormorant Garamond" w:cs="Cormorant Garamond" w:eastAsia="Cormorant Garamond" w:hAnsi="Cormorant Garamond"/>
          <w:b/>
          <w:bCs/>
          <w:i w:val="false"/>
          <w:iCs w:val="false"/>
          <w:color w:val="1B3A5C"/>
          <w:sz w:val="24"/>
          <w:szCs w:val="24"/>
        </w:rPr>
        <w:t xml:space="preserve">Basel III — 2010</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Written in the wreckage of 2008. Higher capital requirements — the effective minimum Tier 1 ratio rose to 8.5% with additional surcharges for systemically important banks. Tier 1 capital was redefined to mean actual equity, not instruments that evaporated under stress. Two new liquidity ratios were introduced: the Liquidity Coverage Ratio requiring enough high-quality liquid assets to survive 30 days of severe stress, and the Net Stable Funding Ratio preventing the maturity mismatch that killed Lehman Brothers. A leverage ratio backstop prevents gaming of risk weights. A countercyclical buffer forces reserves during booms for release during busts.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Each Accord was written in response to the failure of the previous one. The system learns, but only from catastrophic failure.</w:t>
      </w:r>
    </w:p>
    <w:p>
      <w:pPr>
        <w:pStyle w:val="Heading2"/>
        <w:spacing w:before="320" w:after="200"/>
      </w:pPr>
      <w:r>
        <w:rPr>
          <w:rFonts w:ascii="Cinzel" w:cs="Cinzel" w:eastAsia="Cinzel" w:hAnsi="Cinzel"/>
          <w:b/>
          <w:bCs/>
          <w:i w:val="false"/>
          <w:iCs w:val="false"/>
          <w:color w:val="1B3A5C"/>
          <w:sz w:val="26"/>
          <w:szCs w:val="26"/>
        </w:rPr>
        <w:t xml:space="preserve">The International Monetary Fund</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190 member countries. Headquartered in Washington. The IMF monitors economic health of every member nation and provides emergency financing when a country’s balance of payments becomes unsustainable. But not as charity. As a lender with conditions — structural adjustment programs that typically require the borrowing country to reform its tax policy, reduce government spending, privatize state assets, or liberalize trade. A sovereign nation that becomes dependent on IMF lending surrenders a portion of its sovereignty. Not legally. Structurally.</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IMF also created Special Drawing Rights — a unit of account based on a basket of five currencies that central banks use to settle accounts between themselves. During COVID, the IMF allocated $650 billion in new SDRs. Most people never heard of it.</w:t>
      </w:r>
    </w:p>
    <w:p>
      <w:pPr>
        <w:pStyle w:val="Heading2"/>
        <w:spacing w:before="320" w:after="200"/>
      </w:pPr>
      <w:r>
        <w:rPr>
          <w:rFonts w:ascii="Cinzel" w:cs="Cinzel" w:eastAsia="Cinzel" w:hAnsi="Cinzel"/>
          <w:b/>
          <w:bCs/>
          <w:i w:val="false"/>
          <w:iCs w:val="false"/>
          <w:color w:val="1B3A5C"/>
          <w:sz w:val="26"/>
          <w:szCs w:val="26"/>
        </w:rPr>
        <w:t xml:space="preserve">The World Bank</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World Bank provides long-term development financing to developing nations. It raises capital by issuing bonds in global markets — World Bank bonds are among the safest securities in existence — and lends those funds at favorable rates. A pension fund in Norway buying a World Bank bond is, without knowing it, financing a water treatment plant in Senegal. The World Bank sees both sides and connects them. It arbitrages the gap between where capital is comfortable and where capital is needed. The spread funds the operation.</w:t>
      </w:r>
    </w:p>
    <w:p>
      <w:pPr>
        <w:pStyle w:val="Heading2"/>
        <w:spacing w:before="320" w:after="200"/>
      </w:pPr>
      <w:r>
        <w:rPr>
          <w:rFonts w:ascii="Cinzel" w:cs="Cinzel" w:eastAsia="Cinzel" w:hAnsi="Cinzel"/>
          <w:b/>
          <w:bCs/>
          <w:i w:val="false"/>
          <w:iCs w:val="false"/>
          <w:color w:val="1B3A5C"/>
          <w:sz w:val="26"/>
          <w:szCs w:val="26"/>
        </w:rPr>
        <w:t xml:space="preserve">The OECD</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Organisation for Economic Co-operation and Development. Thirty-eight member countries — essentially the club of wealthy, developed nations. The OECD classification determines which government bonds receive 0% risk weight under Basel, meaning OECD governments can borrow more cheaply because the regulatory framework incentivizes banks to buy their bonds. A membership club in Paris determines a risk classification in Basel that determines borrowing costs for every government on earth.</w:t>
      </w:r>
    </w:p>
    <w:p>
      <w:r>
        <w:br w:type="page"/>
      </w:r>
    </w:p>
    <w:p>
      <w:pPr>
        <w:pStyle w:val="Heading1"/>
        <w:spacing w:before="400" w:after="240"/>
      </w:pPr>
      <w:r>
        <w:rPr>
          <w:rFonts w:ascii="Cinzel" w:cs="Cinzel" w:eastAsia="Cinzel" w:hAnsi="Cinzel"/>
          <w:b/>
          <w:bCs/>
          <w:i w:val="false"/>
          <w:iCs w:val="false"/>
          <w:color w:val="1B3A5C"/>
          <w:sz w:val="32"/>
          <w:szCs w:val="32"/>
        </w:rPr>
        <w:t xml:space="preserve">Part IV: The Offshore Architecture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Certain small sovereign nations recognized they could compete for capital not by having the biggest economy or the strongest military, but by having the most stable, predictable, and protective legal frameworks. They are selling certainty.</w:t>
      </w:r>
    </w:p>
    <w:p>
      <w:pPr>
        <w:pStyle w:val="Heading2"/>
        <w:spacing w:before="320" w:after="200"/>
      </w:pPr>
      <w:r>
        <w:rPr>
          <w:rFonts w:ascii="Cinzel" w:cs="Cinzel" w:eastAsia="Cinzel" w:hAnsi="Cinzel"/>
          <w:b/>
          <w:bCs/>
          <w:i w:val="false"/>
          <w:iCs w:val="false"/>
          <w:color w:val="1B3A5C"/>
          <w:sz w:val="26"/>
          <w:szCs w:val="26"/>
        </w:rPr>
        <w:t xml:space="preserve">The Crown Dependencies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Jersey, Guernsey, and the Isle of Man are not part of the United Kingdom. They are self-governing possessions of the Crown with their own legislatures, courts, and tax systems.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Jersey is the most significant trust jurisdiction in the world outside of domestic options. Jersey trusts have no forced heirship rules, no perpetuity limit, no capital gains tax, no inheritance tax, and no wealth tax for non-residents. The jurisdiction earns its revenue from administration fees, legal services, and regulated trust companies.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Guernsey holds particular strengths in insurance and captive structures, with deep connections to Lloyd’s of London. The Isle of Man specializes in banking, aircraft registration, and was one of the first jurisdictions to regulate cryptocurrency.</w:t>
      </w:r>
    </w:p>
    <w:p>
      <w:pPr>
        <w:pStyle w:val="Heading2"/>
        <w:spacing w:before="320" w:after="200"/>
      </w:pPr>
      <w:r>
        <w:rPr>
          <w:rFonts w:ascii="Cinzel" w:cs="Cinzel" w:eastAsia="Cinzel" w:hAnsi="Cinzel"/>
          <w:b/>
          <w:bCs/>
          <w:i w:val="false"/>
          <w:iCs w:val="false"/>
          <w:color w:val="1B3A5C"/>
          <w:sz w:val="26"/>
          <w:szCs w:val="26"/>
        </w:rPr>
        <w:t xml:space="preserve">The Caribbean and Atlantic Jurisdictions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Cayman Islands — population 65,000, the fifth-largest financial center in the world. Over 60% of the world’s hedge funds are domiciled in Cayman. Not because managers live there, but because Cayman’s fund formation framework is the most efficient, well-understood, and globally accepted structure available.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British Virgin Islands — over 400,000 companies registered, population under 30,000. BVI is the holding company jurisdiction, using its efficient corporate law and network of double taxation treaties.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Bermuda — the reinsurance capital of the world. When a hurricane causes $50 billion in damage, the insurance companies that pay the claims are themselves insured through reinsurance, and a disproportionate amount of that risk sits in Bermuda.</w:t>
      </w:r>
    </w:p>
    <w:p>
      <w:pPr>
        <w:pStyle w:val="Heading2"/>
        <w:spacing w:before="320" w:after="200"/>
      </w:pPr>
      <w:r>
        <w:rPr>
          <w:rFonts w:ascii="Cinzel" w:cs="Cinzel" w:eastAsia="Cinzel" w:hAnsi="Cinzel"/>
          <w:b/>
          <w:bCs/>
          <w:i w:val="false"/>
          <w:iCs w:val="false"/>
          <w:color w:val="1B3A5C"/>
          <w:sz w:val="26"/>
          <w:szCs w:val="26"/>
        </w:rPr>
        <w:t xml:space="preserve">Singapore, Luxembourg, Liechtenstein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Singapore is becoming for Asian wealth what Jersey is for European old money. Its Variable Capital Companies and family office frameworks have attracted hundreds of UHNW families.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Luxembourg hosts over $5 trillion in fund assets. Its UCITS fund structure is the global passport for investment funds — one structure, one jurisdiction, access to 450 million potential investors across 27 EU countries.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Liechtenstein’s foundations (Stiftung) and establishments (Anstalt) provide wealth holding structures with no shareholders, no members, and no owners in the traditional sense. Assets leave the founder’s estate permanently, governed by a foundation council.</w:t>
      </w:r>
    </w:p>
    <w:p>
      <w:pPr>
        <w:pStyle w:val="Heading2"/>
        <w:spacing w:before="320" w:after="200"/>
      </w:pPr>
      <w:r>
        <w:rPr>
          <w:rFonts w:ascii="Cinzel" w:cs="Cinzel" w:eastAsia="Cinzel" w:hAnsi="Cinzel"/>
          <w:b/>
          <w:bCs/>
          <w:i w:val="false"/>
          <w:iCs w:val="false"/>
          <w:color w:val="1B3A5C"/>
          <w:sz w:val="26"/>
          <w:szCs w:val="26"/>
        </w:rPr>
        <w:t xml:space="preserve">Evasion Versus Architecture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Tax evasion is illegal. Tax architecture is legal. The difference is disclosure. FATCA requires every foreign financial institution to report accounts held by US persons to the IRS. CRS does the same across over 100 countries. The era of hidden accounts is effectively over. What remains is the legitimate use of jurisdictional differences in legal frameworks — the same principle as choosing South Dakota over New York for a domestic trust, applied across sovereign borders.</w:t>
      </w:r>
    </w:p>
    <w:p>
      <w:r>
        <w:br w:type="page"/>
      </w:r>
    </w:p>
    <w:p>
      <w:pPr>
        <w:pStyle w:val="Heading1"/>
        <w:spacing w:before="400" w:after="240"/>
      </w:pPr>
      <w:r>
        <w:rPr>
          <w:rFonts w:ascii="Cinzel" w:cs="Cinzel" w:eastAsia="Cinzel" w:hAnsi="Cinzel"/>
          <w:b/>
          <w:bCs/>
          <w:i w:val="false"/>
          <w:iCs w:val="false"/>
          <w:color w:val="1B3A5C"/>
          <w:sz w:val="32"/>
          <w:szCs w:val="32"/>
        </w:rPr>
        <w:t xml:space="preserve">Part V: Trust and Holding Structures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trust separates three roles that are normally unified in ownership: the settlor creates the trust and defines its purpose, the trustee holds legal title and manages the assets, and the beneficiary receives the benefit. This three-way separation is the single most powerful concept in wealth architecture because it means the person who benefits from the wealth does not need to be the person who controls it, and neither needs to be the person who created the rules.</w:t>
      </w:r>
    </w:p>
    <w:p>
      <w:pPr>
        <w:pStyle w:val="Heading2"/>
        <w:spacing w:before="320" w:after="200"/>
      </w:pPr>
      <w:r>
        <w:rPr>
          <w:rFonts w:ascii="Cinzel" w:cs="Cinzel" w:eastAsia="Cinzel" w:hAnsi="Cinzel"/>
          <w:b/>
          <w:bCs/>
          <w:i w:val="false"/>
          <w:iCs w:val="false"/>
          <w:color w:val="1B3A5C"/>
          <w:sz w:val="26"/>
          <w:szCs w:val="26"/>
        </w:rPr>
        <w:t xml:space="preserve">The Hierarchy of Trusts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revocable trust is a convenience structure — it avoids probate but provides no asset protection and no tax advantages. Architecture begins with the irrevocable trust, where the settlor gives up control permanently. The tradeoff is absolute: control for protection. You cannot have both.</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dynasty trust is an irrevocable trust designed to last across multiple generations. In jurisdictions with no rule against perpetuities — South Dakota, Nevada, and Alaska domestically, Jersey and Guernsey internationally — it can theoretically last forever. At current rates of 40% federal estate tax, an unprotected estate loses nearly half its value at each generational transfer. Over three generations, $10 million becomes approximately $2.16 million. Inside a dynasty trust, the full $10 million compounds uninterrupted. South Dakota now holds over $600 billion in trust assets.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spendthrift provision prevents beneficiaries from assigning their trust interest and prevents creditors from reaching it. The structure anticipates human failure and builds around it.</w:t>
      </w:r>
    </w:p>
    <w:p>
      <w:pPr>
        <w:pStyle w:val="Heading2"/>
        <w:spacing w:before="320" w:after="200"/>
      </w:pPr>
      <w:r>
        <w:rPr>
          <w:rFonts w:ascii="Cinzel" w:cs="Cinzel" w:eastAsia="Cinzel" w:hAnsi="Cinzel"/>
          <w:b/>
          <w:bCs/>
          <w:i w:val="false"/>
          <w:iCs w:val="false"/>
          <w:color w:val="1B3A5C"/>
          <w:sz w:val="26"/>
          <w:szCs w:val="26"/>
        </w:rPr>
        <w:t xml:space="preserve">Beyond Trusts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Private Trust Company allows a family to create its own corporate trustee, serving one family with a board of family members and trusted advisors. A family office is the operational staff and infrastructure managing the total financial life. This is the closest existing analog to what Meridia provides — except family offices require $100 million or more in assets to justify dedicated staff.</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Holding companies, Luxembourg SOPARFIs, Dutch BVs, and Singapore VCCs are the vehicles that move between jurisdictions, each optimized for specific functions: dividend receipt, treaty access, fund compartmentalization. A single family’s architecture might span six jurisdictions with eight different structures, each serving a specific function, coordinated by an integration layer that sits across all of them.</w:t>
      </w:r>
    </w:p>
    <w:p>
      <w:r>
        <w:br w:type="page"/>
      </w:r>
    </w:p>
    <w:p>
      <w:pPr>
        <w:pStyle w:val="Heading1"/>
        <w:spacing w:before="400" w:after="240"/>
      </w:pPr>
      <w:r>
        <w:rPr>
          <w:rFonts w:ascii="Cinzel" w:cs="Cinzel" w:eastAsia="Cinzel" w:hAnsi="Cinzel"/>
          <w:b/>
          <w:bCs/>
          <w:i w:val="false"/>
          <w:iCs w:val="false"/>
          <w:color w:val="1B3A5C"/>
          <w:sz w:val="32"/>
          <w:szCs w:val="32"/>
        </w:rPr>
        <w:t xml:space="preserve">Part VI: Insurance and Reinsurance Architecture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Insurance is the only financial product that creates money from an event that has not happened yet. A premium is paid today for a promise to pay tomorrow, if. The pricing of that “if” is the entire industry.</w:t>
      </w:r>
    </w:p>
    <w:p>
      <w:pPr>
        <w:pStyle w:val="Heading2"/>
        <w:spacing w:before="320" w:after="200"/>
      </w:pPr>
      <w:r>
        <w:rPr>
          <w:rFonts w:ascii="Cinzel" w:cs="Cinzel" w:eastAsia="Cinzel" w:hAnsi="Cinzel"/>
          <w:b/>
          <w:bCs/>
          <w:i w:val="false"/>
          <w:iCs w:val="false"/>
          <w:color w:val="1B3A5C"/>
          <w:sz w:val="26"/>
          <w:szCs w:val="26"/>
        </w:rPr>
        <w:t xml:space="preserve">The Layers of Risk Transfer</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Primary insurers sell policies directly to individuals and businesses. When their exposure concentrates — a hurricane corridor, a pandemic, a financial crisis — they buy insurance on their own risk. That is reinsurance. The major global reinsurers are names most people have never heard: Munich Re, Swiss Re, Hannover Re. These companies sit behind the companies you know.</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reinsurance chain goes deeper through retrocession — a reinsurer buying reinsurance on its own portfolio. Each layer takes a portion of premium and assumes a portion of risk. A single homeowner’s policy might be backed by four or five layers of risk transfer, each in a different jurisdiction.</w:t>
      </w:r>
    </w:p>
    <w:p>
      <w:pPr>
        <w:pStyle w:val="Heading2"/>
        <w:spacing w:before="320" w:after="200"/>
      </w:pPr>
      <w:r>
        <w:rPr>
          <w:rFonts w:ascii="Cinzel" w:cs="Cinzel" w:eastAsia="Cinzel" w:hAnsi="Cinzel"/>
          <w:b/>
          <w:bCs/>
          <w:i w:val="false"/>
          <w:iCs w:val="false"/>
          <w:color w:val="1B3A5C"/>
          <w:sz w:val="26"/>
          <w:szCs w:val="26"/>
        </w:rPr>
        <w:t xml:space="preserve">Lloyd’s of London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Lloyd’s is not an insurance company. It is a marketplace where insurance is bought and sold, originating in Edward Lloyd’s coffee house in 1688. Syndicates are the operating units, each a pool of capital underwriting specific risk types. Members provide capital. Brokers bring risk to the market on a slip that syndicates subscribe to by writing their line — the percentage of risk they will accept. No single syndicate takes the entire risk. It is distributed across multiple syndicates backed by capital from multiple countries. Lloyd’s has been continuously operating for over 335 years through every crisis because the structure distributes risk so widely that no single event can destroy the whole.</w:t>
      </w:r>
    </w:p>
    <w:p>
      <w:pPr>
        <w:pStyle w:val="Heading2"/>
        <w:spacing w:before="320" w:after="200"/>
      </w:pPr>
      <w:r>
        <w:rPr>
          <w:rFonts w:ascii="Cinzel" w:cs="Cinzel" w:eastAsia="Cinzel" w:hAnsi="Cinzel"/>
          <w:b/>
          <w:bCs/>
          <w:i w:val="false"/>
          <w:iCs w:val="false"/>
          <w:color w:val="1B3A5C"/>
          <w:sz w:val="26"/>
          <w:szCs w:val="26"/>
        </w:rPr>
        <w:t xml:space="preserve">Captive Insurance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 captive insurance company is created by a business to insure its own risks, eliminating the commercial insurer’s profit margin and overhead. Captives can write coverage for risks that commercial markets will not cover. Captives access the reinsurance market just like any other insurer. And captives generate float — premiums invested until claims come due — creating a capital accumulation vehicle funded by insurance operations.</w:t>
      </w:r>
    </w:p>
    <w:p>
      <w:pPr>
        <w:pStyle w:val="Heading2"/>
        <w:spacing w:before="320" w:after="200"/>
      </w:pPr>
      <w:r>
        <w:rPr>
          <w:rFonts w:ascii="Cinzel" w:cs="Cinzel" w:eastAsia="Cinzel" w:hAnsi="Cinzel"/>
          <w:b/>
          <w:bCs/>
          <w:i w:val="false"/>
          <w:iCs w:val="false"/>
          <w:color w:val="1B3A5C"/>
          <w:sz w:val="26"/>
          <w:szCs w:val="26"/>
        </w:rPr>
        <w:t xml:space="preserve">The Float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Warren Buffett’s Berkshire Hathaway collects over $160 billion in insurance float. The investment returns on float are Berkshire’s primary profit engine. Every insurer is, at its core, an investment fund that uses insurance policies as its fundraising mechanism. The premiums are the deposits. The claims are the withdrawals. The spread is the profit.</w:t>
      </w:r>
    </w:p>
    <w:p>
      <w:pPr>
        <w:pStyle w:val="Heading2"/>
        <w:spacing w:before="320" w:after="200"/>
      </w:pPr>
      <w:r>
        <w:rPr>
          <w:rFonts w:ascii="Cinzel" w:cs="Cinzel" w:eastAsia="Cinzel" w:hAnsi="Cinzel"/>
          <w:b/>
          <w:bCs/>
          <w:i w:val="false"/>
          <w:iCs w:val="false"/>
          <w:color w:val="1B3A5C"/>
          <w:sz w:val="26"/>
          <w:szCs w:val="26"/>
        </w:rPr>
        <w:t xml:space="preserve">Insurance and Assurance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British financial language, insurance covers events that might happen. Assurance covers events that will happen. This distinction matters: Governance Assurance is not insuring against the possibility that governance might fail. It is providing assurance that governance has been verified, is being monitored, and is backed by a financial guarantee.</w:t>
      </w:r>
    </w:p>
    <w:p>
      <w:r>
        <w:br w:type="page"/>
      </w:r>
    </w:p>
    <w:p>
      <w:pPr>
        <w:pStyle w:val="Heading1"/>
        <w:spacing w:before="400" w:after="240"/>
      </w:pPr>
      <w:r>
        <w:rPr>
          <w:rFonts w:ascii="Cinzel" w:cs="Cinzel" w:eastAsia="Cinzel" w:hAnsi="Cinzel"/>
          <w:b/>
          <w:bCs/>
          <w:i w:val="false"/>
          <w:iCs w:val="false"/>
          <w:color w:val="1B3A5C"/>
          <w:sz w:val="32"/>
          <w:szCs w:val="32"/>
        </w:rPr>
        <w:t xml:space="preserve">Part VII: Investment and Capital Markets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Capital markets create claims on future value. A stock is a claim on a company’s future earnings. A bond is a claim on a borrower’s future repayment. A derivative is a claim on a claim. The market exists because participants hold different beliefs about the future and stake money on those beliefs. Capital markets are, at their foundation, intelligence markets. The participant with better comprehension captures value from participants with worse comprehension.</w:t>
      </w:r>
    </w:p>
    <w:p>
      <w:pPr>
        <w:pStyle w:val="Heading2"/>
        <w:spacing w:before="320" w:after="200"/>
      </w:pPr>
      <w:r>
        <w:rPr>
          <w:rFonts w:ascii="Cinzel" w:cs="Cinzel" w:eastAsia="Cinzel" w:hAnsi="Cinzel"/>
          <w:b/>
          <w:bCs/>
          <w:i w:val="false"/>
          <w:iCs w:val="false"/>
          <w:color w:val="1B3A5C"/>
          <w:sz w:val="26"/>
          <w:szCs w:val="26"/>
        </w:rPr>
        <w:t xml:space="preserve">The Primary Market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Debt markets anchor the system. Government bonds are the risk-free rate baseline against which every other investment is measured. The Basel Accords’ 0% risk weight for OECD government bonds creates a structural subsidy for sovereign borrowing. Corporate bonds exist on a credit spectrum from investment grade to high yield, with rating agencies — paid by the issuers they rate — determining classification.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equity markets, the IPO process reveals the power structure: investment banks control allocation, institutional investors receive shares at the offering price, and retail investors buy on the open market at the marked-up price. Private equity acquires and restructures companies with leverage, operating at a scale where capital becomes governance. Venture capital pools for upside across uncertainty — the same mechanism as insurance, inverted.</w:t>
      </w:r>
    </w:p>
    <w:p>
      <w:pPr>
        <w:pStyle w:val="Heading2"/>
        <w:spacing w:before="320" w:after="200"/>
      </w:pPr>
      <w:r>
        <w:rPr>
          <w:rFonts w:ascii="Cinzel" w:cs="Cinzel" w:eastAsia="Cinzel" w:hAnsi="Cinzel"/>
          <w:b/>
          <w:bCs/>
          <w:i w:val="false"/>
          <w:iCs w:val="false"/>
          <w:color w:val="1B3A5C"/>
          <w:sz w:val="26"/>
          <w:szCs w:val="26"/>
        </w:rPr>
        <w:t xml:space="preserve">The Secondary Market and Infrastructure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Dark pools now account for approximately 40% of US equity trading volume. The public market represents only about 60% of actual activity. Clearinghouses guarantee settlement between buyer and seller, processing trillions daily as the least visible and most critical infrastructure. Custodians — principally DTCC’s subsidiary Cede &amp; Co. — hold virtually all US securities. You are the beneficial owner. The custodial layer sits between you and the asset you think you own.</w:t>
      </w:r>
    </w:p>
    <w:p>
      <w:pPr>
        <w:pStyle w:val="Heading2"/>
        <w:spacing w:before="320" w:after="200"/>
      </w:pPr>
      <w:r>
        <w:rPr>
          <w:rFonts w:ascii="Cinzel" w:cs="Cinzel" w:eastAsia="Cinzel" w:hAnsi="Cinzel"/>
          <w:b/>
          <w:bCs/>
          <w:i w:val="false"/>
          <w:iCs w:val="false"/>
          <w:color w:val="1B3A5C"/>
          <w:sz w:val="26"/>
          <w:szCs w:val="26"/>
        </w:rPr>
        <w:t xml:space="preserve">The Derivative Layer</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Options, futures, swaps, and credit default swaps create a web of obligations exceeding $600 trillion in notional value against approximately $100 trillion in global GDP. The interconnections between derivative counterparties create systemic risk that is nearly impossible to fully map. The failure of one significant counterparty cascades through the entire system. This is counterparty risk, and it is the reason central clearing was mandated after 2008.</w:t>
      </w:r>
    </w:p>
    <w:p>
      <w:pPr>
        <w:pStyle w:val="Heading2"/>
        <w:spacing w:before="320" w:after="200"/>
      </w:pPr>
      <w:r>
        <w:rPr>
          <w:rFonts w:ascii="Cinzel" w:cs="Cinzel" w:eastAsia="Cinzel" w:hAnsi="Cinzel"/>
          <w:b/>
          <w:bCs/>
          <w:i w:val="false"/>
          <w:iCs w:val="false"/>
          <w:color w:val="1B3A5C"/>
          <w:sz w:val="26"/>
          <w:szCs w:val="26"/>
        </w:rPr>
        <w:t xml:space="preserve">Asset Management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Index funds and passive investing now control over 50% of US equity fund assets. The S&amp;P Index Committee — which decides which companies are in the S&amp;P 500 — triggers billions in automatic buying or selling with each decision, making it one of the most powerful capital allocation mechanisms in the world. Sovereign wealth funds operate at Level 4 of the financial hierarchy. Norway’s Government Pension Fund Global owns approximately 1.5% of every listed company globally.</w:t>
      </w:r>
    </w:p>
    <w:p>
      <w:pPr>
        <w:pStyle w:val="Heading2"/>
        <w:spacing w:before="320" w:after="200"/>
      </w:pPr>
      <w:r>
        <w:rPr>
          <w:rFonts w:ascii="Cinzel" w:cs="Cinzel" w:eastAsia="Cinzel" w:hAnsi="Cinzel"/>
          <w:b/>
          <w:bCs/>
          <w:i w:val="false"/>
          <w:iCs w:val="false"/>
          <w:color w:val="1B3A5C"/>
          <w:sz w:val="26"/>
          <w:szCs w:val="26"/>
        </w:rPr>
        <w:t xml:space="preserve">Private Markets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Private credit has grown to over $1.5 trillion as banks, constrained by Basel capital requirements, retreat from lending. This is disintermediation — removing the bank from the middle of the lending relationship. Special Purpose Vehicles isolate individual assets or transactions, forming the atomic unit of structured finance. Every mortgage-backed security, every collateralized loan obligation lives inside an SPV.</w:t>
      </w:r>
    </w:p>
    <w:p>
      <w:r>
        <w:br w:type="page"/>
      </w:r>
    </w:p>
    <w:p>
      <w:pPr>
        <w:pStyle w:val="Heading1"/>
        <w:spacing w:before="400" w:after="240"/>
      </w:pPr>
      <w:r>
        <w:rPr>
          <w:rFonts w:ascii="Cinzel" w:cs="Cinzel" w:eastAsia="Cinzel" w:hAnsi="Cinzel"/>
          <w:b/>
          <w:bCs/>
          <w:i w:val="false"/>
          <w:iCs w:val="false"/>
          <w:color w:val="1B3A5C"/>
          <w:sz w:val="32"/>
          <w:szCs w:val="32"/>
        </w:rPr>
        <w:t xml:space="preserve">Part VIII: Liquidity and Treasury Architecture</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Liquidity is the ability to convert what you have into what you need, when you need it, without losing significant value in the conversion. Every financial crisis in history is, at its mechanical core, a liquidity crisis — a moment when that conversion fails.</w:t>
      </w:r>
    </w:p>
    <w:p>
      <w:pPr>
        <w:pStyle w:val="Heading2"/>
        <w:spacing w:before="320" w:after="200"/>
      </w:pPr>
      <w:r>
        <w:rPr>
          <w:rFonts w:ascii="Cinzel" w:cs="Cinzel" w:eastAsia="Cinzel" w:hAnsi="Cinzel"/>
          <w:b/>
          <w:bCs/>
          <w:i w:val="false"/>
          <w:iCs w:val="false"/>
          <w:color w:val="1B3A5C"/>
          <w:sz w:val="26"/>
          <w:szCs w:val="26"/>
        </w:rPr>
        <w:t xml:space="preserve">The Liquidity Hierarchy</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Not all liquid assets are equally liquid. Cash is the most liquid but earns nothing. Central bank reserves are nearly as liquid. Treasury bills — particularly the 90-day T-bill — are the benchmark short-term liquid asset. Money market instruments are liquid in normal times but freeze in crises, as the commercial paper market demonstrated in 2008. Government bonds, corporate bonds, equities, and real estate each sit at decreasing points along the liquidity spectrum.</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Liquidity is a condition, not a property. An asset is liquid because there are buyers willing to purchase it at a fair price when you need to sell. Remove the buyers and the most “liquid” asset becomes illiquid.</w:t>
      </w:r>
    </w:p>
    <w:p>
      <w:pPr>
        <w:pStyle w:val="Heading2"/>
        <w:spacing w:before="320" w:after="200"/>
      </w:pPr>
      <w:r>
        <w:rPr>
          <w:rFonts w:ascii="Cinzel" w:cs="Cinzel" w:eastAsia="Cinzel" w:hAnsi="Cinzel"/>
          <w:b/>
          <w:bCs/>
          <w:i w:val="false"/>
          <w:iCs w:val="false"/>
          <w:color w:val="1B3A5C"/>
          <w:sz w:val="26"/>
          <w:szCs w:val="26"/>
        </w:rPr>
        <w:t xml:space="preserve">The Repo Market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Over $4 trillion in daily volume. The repo market is where the financial system breathes. A repurchase agreement is a collateralized overnight loan: I sell you a security today with an agreement to buy it back tomorrow at a slightly higher price. Every night, the financial system effectively dissolves and reconstitutes itself through repo. If the repo market freezes — if lenders refuse to accept collateral — every institution that relies on overnight funding faces instant crisis. They are solvent but illiquid. That is exactly how Lehman Brothers died.</w:t>
      </w:r>
    </w:p>
    <w:p>
      <w:pPr>
        <w:pStyle w:val="Heading2"/>
        <w:spacing w:before="320" w:after="200"/>
      </w:pPr>
      <w:r>
        <w:rPr>
          <w:rFonts w:ascii="Cinzel" w:cs="Cinzel" w:eastAsia="Cinzel" w:hAnsi="Cinzel"/>
          <w:b/>
          <w:bCs/>
          <w:i w:val="false"/>
          <w:iCs w:val="false"/>
          <w:color w:val="1B3A5C"/>
          <w:sz w:val="26"/>
          <w:szCs w:val="26"/>
        </w:rPr>
        <w:t xml:space="preserve">The Federal Reserve’s Liquidity Tools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federal funds rate sets the cost of overnight borrowing. The discount window provides direct lending at a penalty rate, though stigma undermines its effectiveness. Open market operations and quantitative easing inject or drain liquidity by purchasing or selling securities. During the post-2008 and COVID interventions, the Fed purchased over $8 trillion in Treasuries and mortgage-backed securities, creating money by keystroke — crediting bank reserve accounts electronically with purchasing power that did not exist until the moment of purchase.</w:t>
      </w:r>
    </w:p>
    <w:p>
      <w:pPr>
        <w:pStyle w:val="Heading2"/>
        <w:spacing w:before="320" w:after="200"/>
      </w:pPr>
      <w:r>
        <w:rPr>
          <w:rFonts w:ascii="Cinzel" w:cs="Cinzel" w:eastAsia="Cinzel" w:hAnsi="Cinzel"/>
          <w:b/>
          <w:bCs/>
          <w:i w:val="false"/>
          <w:iCs w:val="false"/>
          <w:color w:val="1B3A5C"/>
          <w:sz w:val="26"/>
          <w:szCs w:val="26"/>
        </w:rPr>
        <w:t xml:space="preserve">The Emergency Swap Lines</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During 2008, the Federal Reserve opened swap lines with fourteen central banks, lending dollars directly to foreign central banks in exchange for their currencies. At peak, over $580 billion was outstanding. The Federal Reserve was acting as the central bank of the world. This mechanism was pre-negotiated in Basel. When the crisis hit, the phone calls were short because the architecture was already in place. The public saw chaos. The infrastructure saw execution of a pre-arranged plan.</w:t>
      </w:r>
    </w:p>
    <w:p>
      <w:pPr>
        <w:pStyle w:val="Heading2"/>
        <w:spacing w:before="320" w:after="200"/>
      </w:pPr>
      <w:r>
        <w:rPr>
          <w:rFonts w:ascii="Cinzel" w:cs="Cinzel" w:eastAsia="Cinzel" w:hAnsi="Cinzel"/>
          <w:b/>
          <w:bCs/>
          <w:i w:val="false"/>
          <w:iCs w:val="false"/>
          <w:color w:val="1B3A5C"/>
          <w:sz w:val="26"/>
          <w:szCs w:val="26"/>
        </w:rPr>
        <w:t xml:space="preserve">The Mechanical Story of 2008</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The collateral problem: mortgage-backed securities used as collateral throughout the system became uncertain in value. The haircut spiral: lenders demanded more collateral for the same loan, creating hundreds of billions in funding gaps overnight. The fire sale: institutions sold assets simultaneously with no buyers, collapsing prices. The counterparty freeze: banks stopped lending to each other because nobody trusted anyone else’s balance sheet. The cascade: Lehman’s bankruptcy propagated through every counterparty relationship globally through the correspondent banking network. The intervention: the Fed, Treasury, and FDIC committed over $12 trillion in support. The system was that close to total failure.</w:t>
      </w:r>
    </w:p>
    <w:p>
      <w:pPr>
        <w:pStyle w:val="Heading2"/>
        <w:spacing w:before="320" w:after="200"/>
      </w:pPr>
      <w:r>
        <w:rPr>
          <w:rFonts w:ascii="Cinzel" w:cs="Cinzel" w:eastAsia="Cinzel" w:hAnsi="Cinzel"/>
          <w:b/>
          <w:bCs/>
          <w:i w:val="false"/>
          <w:iCs w:val="false"/>
          <w:color w:val="1B3A5C"/>
          <w:sz w:val="26"/>
          <w:szCs w:val="26"/>
        </w:rPr>
        <w:t xml:space="preserve">COVID — The Faster Version</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In March 2020, the Treasury market — the most liquid market in the world — seized because everyone needed cash simultaneously. The Fed purchased $1 trillion in a single month, reactivated every 2008 facility, and crossed a line it had never crossed: purchasing corporate bonds and ETFs in the open market. The crisis that could have been worse than 2008 was contained within weeks.</w:t>
      </w:r>
    </w:p>
    <w:p>
      <w:pPr>
        <w:pStyle w:val="Heading2"/>
        <w:spacing w:before="320" w:after="200"/>
      </w:pPr>
      <w:r>
        <w:rPr>
          <w:rFonts w:ascii="Cinzel" w:cs="Cinzel" w:eastAsia="Cinzel" w:hAnsi="Cinzel"/>
          <w:b/>
          <w:bCs/>
          <w:i w:val="false"/>
          <w:iCs w:val="false"/>
          <w:color w:val="1B3A5C"/>
          <w:sz w:val="26"/>
          <w:szCs w:val="26"/>
        </w:rPr>
        <w:t xml:space="preserve">Treasury Management</w:t>
      </w:r>
    </w:p>
    <w:p>
      <w:pPr>
        <w:spacing w:after="200" w:before="0" w:line="276"/>
        <w:jc w:val="both"/>
      </w:pPr>
      <w:r>
        <w:rPr>
          <w:rFonts w:ascii="Cormorant Garamond" w:cs="Cormorant Garamond" w:eastAsia="Cormorant Garamond" w:hAnsi="Cormorant Garamond"/>
          <w:b w:val="false"/>
          <w:bCs w:val="false"/>
          <w:i w:val="false"/>
          <w:iCs w:val="false"/>
          <w:color w:val="2D2D2D"/>
          <w:sz w:val="24"/>
          <w:szCs w:val="24"/>
        </w:rPr>
        <w:t xml:space="preserve">Asset-liability management models scenarios for deposit withdrawal, market closure, and funding source failure. Cash flow forecasting is the operational heartbeat. Contingency funding plans document institutional response when normal funding fails. Internal funds transfer pricing ensures the cost of liquidity is visible throughout the institution. Trust is the liquidity of the financial system. When trust is present, everything flows. When trust withdraws, the pipes are still there but nothing moves through them.</w:t>
      </w:r>
    </w:p>
    <w:p>
      <w:r>
        <w:br w:type="page"/>
      </w:r>
    </w:p>
    <w:p>
      <w:pPr>
        <w:spacing w:before="2000"/>
      </w:pPr>
    </w:p>
    <w:p>
      <w:pPr>
        <w:pBdr>
          <w:bottom w:val="single" w:color="B8860B" w:sz="4" w:space="8"/>
        </w:pBdr>
        <w:spacing w:after="400"/>
        <w:jc w:val="center"/>
      </w:pPr>
    </w:p>
    <w:p>
      <w:pPr>
        <w:spacing w:before="200"/>
      </w:pPr>
    </w:p>
    <w:p>
      <w:pPr>
        <w:spacing w:after="200"/>
        <w:ind w:left="1080" w:right="1080"/>
        <w:jc w:val="center"/>
      </w:pPr>
      <w:r>
        <w:rPr>
          <w:rFonts w:ascii="Cormorant Garamond" w:cs="Cormorant Garamond" w:eastAsia="Cormorant Garamond" w:hAnsi="Cormorant Garamond"/>
          <w:b w:val="false"/>
          <w:bCs w:val="false"/>
          <w:i/>
          <w:iCs/>
          <w:color w:val="4A4A4A"/>
          <w:sz w:val="24"/>
          <w:szCs w:val="24"/>
        </w:rPr>
        <w:t xml:space="preserve">This volume has mapped the global financial architecture from retail banking to sovereign coordination. Banking systems, payment plumbing, supranational institutions, offshore jurisdictions, trust structures, insurance markets, capital markets, and crisis mechanics. The complete map of how the system actually functions — not the textbook version, but the plumbing version.</w:t>
      </w:r>
    </w:p>
    <w:p>
      <w:pPr>
        <w:spacing w:after="200"/>
        <w:ind w:left="1080" w:right="1080"/>
        <w:jc w:val="center"/>
      </w:pPr>
      <w:r>
        <w:rPr>
          <w:rFonts w:ascii="Cormorant Garamond" w:cs="Cormorant Garamond" w:eastAsia="Cormorant Garamond" w:hAnsi="Cormorant Garamond"/>
          <w:b w:val="false"/>
          <w:bCs w:val="false"/>
          <w:i/>
          <w:iCs/>
          <w:color w:val="4A4A4A"/>
          <w:sz w:val="24"/>
          <w:szCs w:val="24"/>
        </w:rPr>
        <w:t xml:space="preserve">Volume II will show how this architecture maps onto what Meridia builds. How the Trust Index reflects Basel frameworks. How Meridia as a Service mirrors correspondent banking. How Governance Assurance enters the insurance architecture. How the Meridian Vortex creates cross-layer intelligence no single institution can produce. And how the constitutional absolutes govern what the system can never do, regardless of what it can do.</w:t>
      </w:r>
    </w:p>
    <w:p>
      <w:pPr>
        <w:spacing w:after="600"/>
        <w:ind w:left="1080" w:right="1080"/>
        <w:jc w:val="center"/>
      </w:pPr>
      <w:r>
        <w:rPr>
          <w:rFonts w:ascii="Cormorant Garamond" w:cs="Cormorant Garamond" w:eastAsia="Cormorant Garamond" w:hAnsi="Cormorant Garamond"/>
          <w:b/>
          <w:bCs/>
          <w:i/>
          <w:iCs/>
          <w:color w:val="1B3A5C"/>
          <w:sz w:val="24"/>
          <w:szCs w:val="24"/>
        </w:rPr>
        <w:t xml:space="preserve">The landscape has been mapped. The bridge is next.</w:t>
      </w:r>
    </w:p>
    <w:p>
      <w:pPr>
        <w:pBdr>
          <w:bottom w:val="single" w:color="B8860B" w:sz="2" w:space="1"/>
        </w:pBdr>
        <w:spacing w:before="200" w:after="200"/>
      </w:pPr>
    </w:p>
    <w:p>
      <w:pPr>
        <w:spacing w:after="40" w:before="400"/>
        <w:jc w:val="center"/>
      </w:pPr>
      <w:r>
        <w:rPr>
          <w:rFonts w:ascii="Cinzel" w:cs="Cinzel" w:eastAsia="Cinzel" w:hAnsi="Cinzel"/>
          <w:b w:val="false"/>
          <w:bCs w:val="false"/>
          <w:i w:val="false"/>
          <w:iCs w:val="false"/>
          <w:color w:val="1B3A5C"/>
          <w:spacing w:val="100"/>
          <w:sz w:val="20"/>
          <w:szCs w:val="20"/>
        </w:rPr>
        <w:t xml:space="preserve">THE MERIDIAN CONTINENTAL</w:t>
      </w:r>
    </w:p>
    <w:p>
      <w:pPr>
        <w:spacing w:after="40"/>
        <w:jc w:val="center"/>
      </w:pPr>
      <w:r>
        <w:rPr>
          <w:rFonts w:ascii="Cormorant Garamond" w:cs="Cormorant Garamond" w:eastAsia="Cormorant Garamond" w:hAnsi="Cormorant Garamond"/>
          <w:b w:val="false"/>
          <w:bCs w:val="false"/>
          <w:i/>
          <w:iCs/>
          <w:color w:val="B8860B"/>
          <w:sz w:val="20"/>
          <w:szCs w:val="20"/>
        </w:rPr>
        <w:t xml:space="preserve">A Meridia Publication</w:t>
      </w:r>
    </w:p>
    <w:p>
      <w:pPr>
        <w:spacing w:after="40"/>
        <w:jc w:val="center"/>
      </w:pPr>
      <w:r>
        <w:rPr>
          <w:rFonts w:ascii="Cormorant Garamond" w:cs="Cormorant Garamond" w:eastAsia="Cormorant Garamond" w:hAnsi="Cormorant Garamond"/>
          <w:b w:val="false"/>
          <w:bCs w:val="false"/>
          <w:i w:val="false"/>
          <w:iCs w:val="false"/>
          <w:color w:val="6B6B6B"/>
          <w:sz w:val="18"/>
          <w:szCs w:val="18"/>
        </w:rPr>
        <w:t xml:space="preserve">© 2026 Meridia.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rmorant Garamond" w:cs="Cormorant Garamond" w:eastAsia="Cormorant Garamond" w:hAnsi="Cormorant Garamond"/>
        <w:b w:val="false"/>
        <w:bCs w:val="false"/>
        <w:i w:val="false"/>
        <w:iCs w:val="false"/>
        <w:color w:val="6B6B6B"/>
        <w:sz w:val="16"/>
        <w:szCs w:val="16"/>
      </w:rPr>
      <w:t xml:space="preserve"/>
    </w:r>
    <w:r>
      <w:rPr>
        <w:rFonts w:ascii="Cormorant Garamond" w:cs="Cormorant Garamond" w:eastAsia="Cormorant Garamond" w:hAnsi="Cormorant Garamond"/>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1" w:space="4"/>
      </w:pBdr>
      <w:tabs>
        <w:tab w:val="right" w:pos="9026"/>
      </w:tabs>
    </w:pPr>
    <w:r>
      <w:rPr>
        <w:rFonts w:ascii="Cinzel" w:cs="Cinzel" w:eastAsia="Cinzel" w:hAnsi="Cinzel"/>
        <w:b w:val="false"/>
        <w:bCs w:val="false"/>
        <w:i w:val="false"/>
        <w:iCs w:val="false"/>
        <w:color w:val="6B6B6B"/>
        <w:spacing w:val="60"/>
        <w:sz w:val="16"/>
        <w:szCs w:val="16"/>
      </w:rPr>
      <w:t xml:space="preserve">THE MERIDIAN CONTINENTAL</w:t>
    </w:r>
    <w:r>
      <w:t xml:space="preserve">	</w:t>
    </w:r>
    <w:r>
      <w:rPr>
        <w:rFonts w:ascii="Cormorant Garamond" w:cs="Cormorant Garamond" w:eastAsia="Cormorant Garamond" w:hAnsi="Cormorant Garamond"/>
        <w:b w:val="false"/>
        <w:bCs w:val="false"/>
        <w:i/>
        <w:iCs/>
        <w:color w:val="6B6B6B"/>
        <w:sz w:val="16"/>
        <w:szCs w:val="16"/>
      </w:rPr>
      <w:t xml:space="preserve">Volume I: The Global Financial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Cinzel" w:cs="Cinzel" w:eastAsia="Cinzel" w:hAnsi="Cinzel"/>
      <w:b/>
      <w:bCs/>
      <w:color w:val="1B3A5C"/>
      <w:sz w:val="32"/>
      <w:szCs w:val="32"/>
    </w:rPr>
  </w:style>
  <w:style w:type="paragraph" w:styleId="Heading2">
    <w:name w:val="Heading 2"/>
    <w:basedOn w:val="Normal"/>
    <w:next w:val="Normal"/>
    <w:qFormat/>
    <w:pPr>
      <w:spacing w:before="320" w:after="200"/>
      <w:outlineLvl w:val="1"/>
    </w:pPr>
    <w:rPr>
      <w:rFonts w:ascii="Cinzel" w:cs="Cinzel" w:eastAsia="Cinzel" w:hAnsi="Cinzel"/>
      <w:b/>
      <w:bCs/>
      <w:color w:val="1B3A5C"/>
      <w:sz w:val="26"/>
      <w:szCs w:val="26"/>
    </w:rPr>
  </w:style>
  <w:style w:type="paragraph" w:styleId="Heading3">
    <w:name w:val="Heading 3"/>
    <w:basedOn w:val="Normal"/>
    <w:next w:val="Normal"/>
    <w:qFormat/>
    <w:pPr>
      <w:spacing w:before="240" w:after="160"/>
      <w:outlineLvl w:val="2"/>
    </w:pPr>
    <w:rPr>
      <w:rFonts w:ascii="Cormorant Garamond" w:cs="Cormorant Garamond" w:eastAsia="Cormorant Garamond" w:hAnsi="Cormorant Garamond"/>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2026-02-26T20:41:42.542Z</dcterms:created>
  <dcterms:modified xsi:type="dcterms:W3CDTF">2026-02-26T20:41:42.543Z</dcterms:modified>
</cp:coreProperties>
</file>

<file path=docProps/custom.xml><?xml version="1.0" encoding="utf-8"?>
<Properties xmlns="http://schemas.openxmlformats.org/officeDocument/2006/custom-properties" xmlns:vt="http://schemas.openxmlformats.org/officeDocument/2006/docPropsVTypes"/>
</file>