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rPr>
          <w:sz w:val="2"/>
          <w:szCs w:val="2"/>
        </w:rPr>
        <w:t xml:space="preserve"/>
      </w:r>
    </w:p>
    <w:p>
      <w:pPr>
        <w:spacing w:after="40"/>
        <w:jc w:val="center"/>
      </w:pPr>
      <w:r>
        <w:rPr>
          <w:rFonts w:ascii="Inter" w:cs="Inter" w:eastAsia="Inter" w:hAnsi="Inter"/>
          <w:b/>
          <w:bCs/>
          <w:color w:val="C9A962"/>
          <w:sz w:val="18"/>
          <w:szCs w:val="18"/>
        </w:rPr>
        <w:t xml:space="preserve">MERIDIAN</w:t>
      </w:r>
    </w:p>
    <w:p>
      <w:pPr>
        <w:spacing w:after="20"/>
        <w:jc w:val="center"/>
      </w:pPr>
      <w:r>
        <w:rPr>
          <w:rFonts w:ascii="Inter" w:cs="Inter" w:eastAsia="Inter" w:hAnsi="Inter"/>
          <w:color w:val="C9A962"/>
          <w:sz w:val="14"/>
          <w:szCs w:val="14"/>
        </w:rPr>
        <w:t xml:space="preserve">CONTINENTAL</w:t>
      </w:r>
    </w:p>
    <w:p>
      <w:pPr>
        <w:pBdr>
          <w:bottom w:val="single" w:color="C9A962" w:sz="2" w:space="1"/>
        </w:pBdr>
        <w:spacing w:after="200" w:before="200"/>
      </w:pPr>
      <w:r>
        <w:rPr>
          <w:sz w:val="2"/>
          <w:szCs w:val="2"/>
        </w:rPr>
        <w:t xml:space="preserve"/>
      </w:r>
    </w:p>
    <w:p>
      <w:pPr>
        <w:spacing w:after="200"/>
      </w:pPr>
      <w:r>
        <w:rPr>
          <w:sz w:val="2"/>
          <w:szCs w:val="2"/>
        </w:rPr>
        <w:t xml:space="preserve"/>
      </w:r>
    </w:p>
    <w:p>
      <w:pPr>
        <w:spacing w:after="100"/>
        <w:jc w:val="center"/>
      </w:pPr>
      <w:r>
        <w:rPr>
          <w:rFonts w:ascii="Playfair Display" w:cs="Playfair Display" w:eastAsia="Playfair Display" w:hAnsi="Playfair Display"/>
          <w:b/>
          <w:bCs/>
          <w:color w:val="0A1628"/>
          <w:sz w:val="44"/>
          <w:szCs w:val="44"/>
        </w:rPr>
        <w:t xml:space="preserve">Institutional Intelligence Brief</w:t>
      </w:r>
    </w:p>
    <w:p>
      <w:pPr>
        <w:spacing w:after="100"/>
      </w:pPr>
      <w:r>
        <w:rPr>
          <w:sz w:val="2"/>
          <w:szCs w:val="2"/>
        </w:rPr>
        <w:t xml:space="preserve"/>
      </w:r>
    </w:p>
    <w:p>
      <w:pPr>
        <w:spacing w:after="60"/>
        <w:jc w:val="center"/>
      </w:pPr>
      <w:r>
        <w:rPr>
          <w:rFonts w:ascii="Playfair Display" w:cs="Playfair Display" w:eastAsia="Playfair Display" w:hAnsi="Playfair Display"/>
          <w:color w:val="0A1628"/>
          <w:sz w:val="30"/>
          <w:szCs w:val="30"/>
        </w:rPr>
        <w:t xml:space="preserve">Pinnacle Financial Partners, Inc.</w:t>
      </w:r>
    </w:p>
    <w:p>
      <w:pPr>
        <w:spacing w:after="60"/>
        <w:jc w:val="center"/>
      </w:pPr>
      <w:r>
        <w:rPr>
          <w:rFonts w:ascii="Cormorant Garamond" w:cs="Cormorant Garamond" w:eastAsia="Cormorant Garamond" w:hAnsi="Cormorant Garamond"/>
          <w:i/>
          <w:iCs/>
          <w:color w:val="4A4A5A"/>
          <w:sz w:val="26"/>
          <w:szCs w:val="26"/>
        </w:rPr>
        <w:t xml:space="preserve">Post-Merger Integration Analysis</w:t>
      </w:r>
    </w:p>
    <w:p>
      <w:pPr>
        <w:spacing w:after="60"/>
        <w:jc w:val="center"/>
      </w:pPr>
      <w:r>
        <w:rPr>
          <w:rFonts w:ascii="Inter" w:cs="Inter" w:eastAsia="Inter" w:hAnsi="Inter"/>
          <w:color w:val="4A4A5A"/>
          <w:sz w:val="18"/>
          <w:szCs w:val="18"/>
        </w:rPr>
        <w:t xml:space="preserve">NYSE: PNFP • $117.2B Combined Assets • Nine-State Footprint</w:t>
      </w:r>
    </w:p>
    <w:p>
      <w:pPr>
        <w:pBdr>
          <w:bottom w:val="single" w:color="C9A962" w:sz="2" w:space="1"/>
        </w:pBdr>
        <w:spacing w:after="200" w:before="200"/>
      </w:pPr>
      <w:r>
        <w:rPr>
          <w:sz w:val="2"/>
          <w:szCs w:val="2"/>
        </w:rPr>
        <w:t xml:space="preserve"/>
      </w:r>
    </w:p>
    <w:p>
      <w:pPr>
        <w:spacing w:after="600"/>
      </w:pPr>
      <w:r>
        <w:rPr>
          <w:sz w:val="2"/>
          <w:szCs w:val="2"/>
        </w:rPr>
        <w:t xml:space="preserve"/>
      </w:r>
    </w:p>
    <w:p>
      <w:pPr>
        <w:spacing w:after="80"/>
        <w:jc w:val="center"/>
      </w:pPr>
      <w:r>
        <w:rPr>
          <w:rFonts w:ascii="Inter" w:cs="Inter" w:eastAsia="Inter" w:hAnsi="Inter"/>
          <w:color w:val="C9A962"/>
          <w:sz w:val="18"/>
          <w:szCs w:val="18"/>
        </w:rPr>
        <w:t xml:space="preserve">Q1 2026 — 60-Day Post-Close Assessment</w:t>
      </w:r>
    </w:p>
    <w:p>
      <w:pPr>
        <w:spacing w:after="80"/>
        <w:jc w:val="center"/>
      </w:pPr>
      <w:r>
        <w:rPr>
          <w:rFonts w:ascii="Inter" w:cs="Inter" w:eastAsia="Inter" w:hAnsi="Inter"/>
          <w:color w:val="4A4A5A"/>
          <w:sz w:val="16"/>
          <w:szCs w:val="16"/>
        </w:rPr>
        <w:t xml:space="preserve">Classification: Confidential — Institutional Review</w:t>
      </w:r>
    </w:p>
    <w:p>
      <w:pPr>
        <w:jc w:val="center"/>
      </w:pPr>
      <w:r>
        <w:rPr>
          <w:rFonts w:ascii="Inter" w:cs="Inter" w:eastAsia="Inter" w:hAnsi="Inter"/>
          <w:color w:val="4A4A5A"/>
          <w:sz w:val="16"/>
          <w:szCs w:val="16"/>
        </w:rPr>
        <w:t xml:space="preserve">Meridia Holdings LLC</w:t>
      </w:r>
    </w:p>
    <w:p>
      <w:pPr>
        <w:sectPr>
          <w:pgSz w:w="12240" w:h="15840" w:orient="portrait"/>
          <w:pgMar w:top="1440" w:right="1440" w:bottom="1440" w:left="1440" w:header="708" w:footer="708" w:gutter="0"/>
          <w:pgNumType/>
          <w:docGrid w:linePitch="360"/>
        </w:sectPr>
      </w:pPr>
    </w:p>
    <w:p>
      <w:pPr>
        <w:spacing w:after="60"/>
      </w:pPr>
      <w:r>
        <w:rPr>
          <w:rFonts w:ascii="Inter" w:cs="Inter" w:eastAsia="Inter" w:hAnsi="Inter"/>
          <w:b/>
          <w:bCs/>
          <w:color w:val="C9A962"/>
          <w:sz w:val="15"/>
          <w:szCs w:val="15"/>
        </w:rPr>
        <w:t xml:space="preserve">EXECUTIVE SIGNAL</w:t>
      </w:r>
    </w:p>
    <w:p>
      <w:pPr>
        <w:spacing w:after="200" w:before="360"/>
      </w:pPr>
      <w:r>
        <w:rPr>
          <w:rFonts w:ascii="Playfair Display" w:cs="Playfair Display" w:eastAsia="Playfair Display" w:hAnsi="Playfair Display"/>
          <w:b/>
          <w:bCs/>
          <w:color w:val="0A1628"/>
          <w:sz w:val="30"/>
          <w:szCs w:val="30"/>
        </w:rPr>
        <w:t xml:space="preserve">Position Summary</w:t>
      </w:r>
    </w:p>
    <w:p>
      <w:pPr>
        <w:spacing w:after="160" w:line="300"/>
        <w:jc w:val="left"/>
      </w:pPr>
      <w:r>
        <w:rPr>
          <w:rFonts w:ascii="Cormorant Garamond" w:cs="Cormorant Garamond" w:eastAsia="Cormorant Garamond" w:hAnsi="Cormorant Garamond"/>
          <w:b w:val="false"/>
          <w:bCs w:val="false"/>
          <w:i w:val="false"/>
          <w:iCs w:val="false"/>
          <w:color w:val="1A1A2E"/>
          <w:sz w:val="22"/>
          <w:szCs w:val="22"/>
        </w:rPr>
        <w:t xml:space="preserve">Pinnacle Financial Partners completed its $8.6 billion all-stock merger with Synovus Financial Corp. on January 2, 2026, creating the largest bank holding company headquartered in Georgia and the largest bank headquartered in Tennessee. The combined entity operates $117.2 billion in assets, $95.7 billion in deposits, and $80.4 billion in loans across more than 400 locations in nine states. The holding company is headquartered in Atlanta; banking operations are headquartered in Nashville.</w:t>
      </w:r>
    </w:p>
    <w:p>
      <w:pPr>
        <w:spacing w:after="160" w:line="300"/>
        <w:jc w:val="left"/>
      </w:pPr>
      <w:r>
        <w:rPr>
          <w:rFonts w:ascii="Cormorant Garamond" w:cs="Cormorant Garamond" w:eastAsia="Cormorant Garamond" w:hAnsi="Cormorant Garamond"/>
          <w:b w:val="false"/>
          <w:bCs w:val="false"/>
          <w:i w:val="false"/>
          <w:iCs w:val="false"/>
          <w:color w:val="1A1A2E"/>
          <w:sz w:val="22"/>
          <w:szCs w:val="22"/>
        </w:rPr>
        <w:t xml:space="preserve">Sixty days into integration, the combined entity is operating under dual brands with system and brand consolidation targeted for early 2027. The integration is proceeding within announced parameters. However, several cross-domain signals warrant institutional attention — patterns that individual functional teams are unlikely to observe because they emerge from the interaction of operational, regulatory, cultural, and community dynamics rather than from any single dimension.</w:t>
      </w:r>
    </w:p>
    <w:p>
      <w:pPr>
        <w:spacing w:after="60"/>
      </w:pPr>
      <w:r>
        <w:rPr>
          <w:sz w:val="2"/>
          <w:szCs w:val="2"/>
        </w:rPr>
        <w:t xml:space="preserve"/>
      </w:r>
    </w:p>
    <w:p>
      <w:pPr>
        <w:spacing w:after="60"/>
      </w:pPr>
      <w:r>
        <w:rPr>
          <w:rFonts w:ascii="Inter" w:cs="Inter" w:eastAsia="Inter" w:hAnsi="Inter"/>
          <w:b/>
          <w:bCs/>
          <w:color w:val="C9A962"/>
          <w:sz w:val="15"/>
          <w:szCs w:val="15"/>
        </w:rPr>
        <w:t xml:space="preserve">MERIDIAN SIGNAL SUMMARY</w:t>
      </w:r>
    </w:p>
    <w:p>
      <w:pPr>
        <w:spacing w:after="100"/>
      </w:pPr>
      <w:r>
        <w:rPr>
          <w:rFonts w:ascii="Inter" w:cs="Inter" w:eastAsia="Inter" w:hAnsi="Inter"/>
          <w:b/>
          <w:bCs/>
          <w:color w:val="92400E"/>
          <w:sz w:val="18"/>
          <w:szCs w:val="18"/>
        </w:rPr>
        <w:t xml:space="preserve">[ELEVATED] </w:t>
      </w:r>
      <w:r>
        <w:rPr>
          <w:rFonts w:ascii="Cormorant Garamond" w:cs="Cormorant Garamond" w:eastAsia="Cormorant Garamond" w:hAnsi="Cormorant Garamond"/>
          <w:color w:val="1A1A2E"/>
          <w:sz w:val="21"/>
          <w:szCs w:val="21"/>
        </w:rPr>
        <w:t xml:space="preserve">CRA Assessment Area Consolidation — The combined entity inherits approximately 75+ distinct CRA assessment areas across nine states. Rationalization during the dual-brand period creates regulatory examination risk in transitional markets, particularly in smaller Georgia communities where Synovus held deep relationships and Pinnacle had no prior presence.</w:t>
      </w:r>
    </w:p>
    <w:p>
      <w:pPr>
        <w:spacing w:after="100"/>
      </w:pPr>
      <w:r>
        <w:rPr>
          <w:rFonts w:ascii="Inter" w:cs="Inter" w:eastAsia="Inter" w:hAnsi="Inter"/>
          <w:b/>
          <w:bCs/>
          <w:color w:val="92400E"/>
          <w:sz w:val="18"/>
          <w:szCs w:val="18"/>
        </w:rPr>
        <w:t xml:space="preserve">[ELEVATED] </w:t>
      </w:r>
      <w:r>
        <w:rPr>
          <w:rFonts w:ascii="Cormorant Garamond" w:cs="Cormorant Garamond" w:eastAsia="Cormorant Garamond" w:hAnsi="Cormorant Garamond"/>
          <w:color w:val="1A1A2E"/>
          <w:sz w:val="21"/>
          <w:szCs w:val="21"/>
        </w:rPr>
        <w:t xml:space="preserve">Relationship Banker Retention — Integration uncertainty is the primary driver of top-talent attrition in Southeast bank mergers. Both institutions built their brands on relationship-driven advisory. The 12-14 month conversion timeline extends the uncertainty window beyond historical norms, increasing attrition risk in overlapping Georgia and Tennessee markets.</w:t>
      </w:r>
    </w:p>
    <w:p>
      <w:pPr>
        <w:spacing w:after="100"/>
      </w:pPr>
      <w:r>
        <w:rPr>
          <w:rFonts w:ascii="Inter" w:cs="Inter" w:eastAsia="Inter" w:hAnsi="Inter"/>
          <w:b/>
          <w:bCs/>
          <w:color w:val="B45309"/>
          <w:sz w:val="18"/>
          <w:szCs w:val="18"/>
        </w:rPr>
        <w:t xml:space="preserve">[WATCH] </w:t>
      </w:r>
      <w:r>
        <w:rPr>
          <w:rFonts w:ascii="Cormorant Garamond" w:cs="Cormorant Garamond" w:eastAsia="Cormorant Garamond" w:hAnsi="Cormorant Garamond"/>
          <w:color w:val="1A1A2E"/>
          <w:sz w:val="21"/>
          <w:szCs w:val="21"/>
        </w:rPr>
        <w:t xml:space="preserve">Enhanced Regulatory Threshold — The combined entity’s $117.2B in assets triggers Category IV designation under the Federal Reserve’s tailored prudential standards. This imposes enhanced stress testing, liquidity risk management, and risk governance requirements that neither legacy institution operated under independently.</w:t>
      </w:r>
    </w:p>
    <w:p>
      <w:pPr>
        <w:spacing w:after="100"/>
      </w:pPr>
      <w:r>
        <w:rPr>
          <w:rFonts w:ascii="Inter" w:cs="Inter" w:eastAsia="Inter" w:hAnsi="Inter"/>
          <w:b/>
          <w:bCs/>
          <w:color w:val="B45309"/>
          <w:sz w:val="18"/>
          <w:szCs w:val="18"/>
        </w:rPr>
        <w:t xml:space="preserve">[WATCH] </w:t>
      </w:r>
      <w:r>
        <w:rPr>
          <w:rFonts w:ascii="Cormorant Garamond" w:cs="Cormorant Garamond" w:eastAsia="Cormorant Garamond" w:hAnsi="Cormorant Garamond"/>
          <w:color w:val="1A1A2E"/>
          <w:sz w:val="21"/>
          <w:szCs w:val="21"/>
        </w:rPr>
        <w:t xml:space="preserve">Community Development Continuity — Synovus maintained $450M in affordable mortgage commitments, $253M in community development loans (2024), and significant LIHTC activity across its footprint. Post-merger, maintaining this investment level across the expanded nine-state footprint while absorbing integration costs requires deliberate governance, not assumed continuity.</w:t>
      </w:r>
    </w:p>
    <w:p>
      <w:pPr>
        <w:spacing w:after="100"/>
      </w:pPr>
      <w:r>
        <w:rPr>
          <w:rFonts w:ascii="Inter" w:cs="Inter" w:eastAsia="Inter" w:hAnsi="Inter"/>
          <w:b/>
          <w:bCs/>
          <w:color w:val="166534"/>
          <w:sz w:val="18"/>
          <w:szCs w:val="18"/>
        </w:rPr>
        <w:t xml:space="preserve">[STABLE] </w:t>
      </w:r>
      <w:r>
        <w:rPr>
          <w:rFonts w:ascii="Cormorant Garamond" w:cs="Cormorant Garamond" w:eastAsia="Cormorant Garamond" w:hAnsi="Cormorant Garamond"/>
          <w:color w:val="1A1A2E"/>
          <w:sz w:val="21"/>
          <w:szCs w:val="21"/>
        </w:rPr>
        <w:t xml:space="preserve">Client Experience During Dual-Brand Period — Cross-brand ATM access is live. Account servicing remains brand-specific through conversion. FDIC insurance coverage is separately maintained for a six-month grace period. Client-facing disruption is minimal at 60 days.</w:t>
      </w:r>
    </w:p>
    <w:p>
      <w:pPr>
        <w:pBdr>
          <w:bottom w:val="single" w:color="C9A962" w:sz="2" w:space="1"/>
        </w:pBdr>
        <w:spacing w:after="200" w:before="200"/>
      </w:pPr>
      <w:r>
        <w:rPr>
          <w:sz w:val="2"/>
          <w:szCs w:val="2"/>
        </w:rPr>
        <w:t xml:space="preserve"/>
      </w:r>
    </w:p>
    <w:p>
      <w:pPr>
        <w:spacing w:after="60"/>
      </w:pPr>
      <w:r>
        <w:rPr>
          <w:rFonts w:ascii="Inter" w:cs="Inter" w:eastAsia="Inter" w:hAnsi="Inter"/>
          <w:b/>
          <w:bCs/>
          <w:color w:val="C9A962"/>
          <w:sz w:val="15"/>
          <w:szCs w:val="15"/>
        </w:rPr>
        <w:t xml:space="preserve">COMBINED ENTITY PROFILE</w:t>
      </w:r>
    </w:p>
    <w:p>
      <w:pPr>
        <w:spacing w:after="200" w:before="360"/>
      </w:pPr>
      <w:r>
        <w:rPr>
          <w:rFonts w:ascii="Playfair Display" w:cs="Playfair Display" w:eastAsia="Playfair Display" w:hAnsi="Playfair Display"/>
          <w:b/>
          <w:bCs/>
          <w:color w:val="0A1628"/>
          <w:sz w:val="30"/>
          <w:szCs w:val="30"/>
        </w:rPr>
        <w:t xml:space="preserve">The Institution at 60 Days</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gridCol w:w="2360"/>
      </w:tblGrid>
      <w:tr>
        <w:tc>
          <w:tcPr>
            <w:tcW w:type="dxa" w:w="2800"/>
            <w:tcBorders>
              <w:top w:val="single" w:color="D4C5A0" w:sz="1"/>
              <w:left w:val="single" w:color="D4C5A0" w:sz="1"/>
              <w:bottom w:val="single" w:color="D4C5A0" w:sz="1"/>
              <w:right w:val="single" w:color="D4C5A0" w:sz="1"/>
            </w:tcBorders>
            <w:shd w:fill="0A1628" w:val="clear"/>
            <w:tcMar>
              <w:top w:type="dxa" w:w="60"/>
              <w:left w:type="dxa" w:w="100"/>
              <w:bottom w:type="dxa" w:w="60"/>
              <w:right w:type="dxa" w:w="100"/>
            </w:tcMar>
          </w:tcPr>
          <w:p>
            <w:pPr>
              <w:jc w:val="center"/>
            </w:pPr>
            <w:r>
              <w:rPr>
                <w:rFonts w:ascii="Inter" w:cs="Inter" w:eastAsia="Inter" w:hAnsi="Inter"/>
                <w:b/>
                <w:bCs/>
                <w:color w:val="FFFFFF"/>
                <w:sz w:val="17"/>
                <w:szCs w:val="17"/>
              </w:rPr>
              <w:t xml:space="preserve">Metric</w:t>
            </w:r>
          </w:p>
        </w:tc>
        <w:tc>
          <w:tcPr>
            <w:tcW w:type="dxa" w:w="2100"/>
            <w:tcBorders>
              <w:top w:val="single" w:color="D4C5A0" w:sz="1"/>
              <w:left w:val="single" w:color="D4C5A0" w:sz="1"/>
              <w:bottom w:val="single" w:color="D4C5A0" w:sz="1"/>
              <w:right w:val="single" w:color="D4C5A0" w:sz="1"/>
            </w:tcBorders>
            <w:shd w:fill="0A1628" w:val="clear"/>
            <w:tcMar>
              <w:top w:type="dxa" w:w="60"/>
              <w:left w:type="dxa" w:w="100"/>
              <w:bottom w:type="dxa" w:w="60"/>
              <w:right w:type="dxa" w:w="100"/>
            </w:tcMar>
          </w:tcPr>
          <w:p>
            <w:pPr>
              <w:jc w:val="center"/>
            </w:pPr>
            <w:r>
              <w:rPr>
                <w:rFonts w:ascii="Inter" w:cs="Inter" w:eastAsia="Inter" w:hAnsi="Inter"/>
                <w:b/>
                <w:bCs/>
                <w:color w:val="FFFFFF"/>
                <w:sz w:val="17"/>
                <w:szCs w:val="17"/>
              </w:rPr>
              <w:t xml:space="preserve">Legacy Pinnacle</w:t>
            </w:r>
          </w:p>
        </w:tc>
        <w:tc>
          <w:tcPr>
            <w:tcW w:type="dxa" w:w="2100"/>
            <w:tcBorders>
              <w:top w:val="single" w:color="D4C5A0" w:sz="1"/>
              <w:left w:val="single" w:color="D4C5A0" w:sz="1"/>
              <w:bottom w:val="single" w:color="D4C5A0" w:sz="1"/>
              <w:right w:val="single" w:color="D4C5A0" w:sz="1"/>
            </w:tcBorders>
            <w:shd w:fill="0A1628" w:val="clear"/>
            <w:tcMar>
              <w:top w:type="dxa" w:w="60"/>
              <w:left w:type="dxa" w:w="100"/>
              <w:bottom w:type="dxa" w:w="60"/>
              <w:right w:type="dxa" w:w="100"/>
            </w:tcMar>
          </w:tcPr>
          <w:p>
            <w:pPr>
              <w:jc w:val="center"/>
            </w:pPr>
            <w:r>
              <w:rPr>
                <w:rFonts w:ascii="Inter" w:cs="Inter" w:eastAsia="Inter" w:hAnsi="Inter"/>
                <w:b/>
                <w:bCs/>
                <w:color w:val="FFFFFF"/>
                <w:sz w:val="17"/>
                <w:szCs w:val="17"/>
              </w:rPr>
              <w:t xml:space="preserve">Legacy Synovus</w:t>
            </w:r>
          </w:p>
        </w:tc>
        <w:tc>
          <w:tcPr>
            <w:tcW w:type="dxa" w:w="2360"/>
            <w:tcBorders>
              <w:top w:val="single" w:color="D4C5A0" w:sz="1"/>
              <w:left w:val="single" w:color="D4C5A0" w:sz="1"/>
              <w:bottom w:val="single" w:color="D4C5A0" w:sz="1"/>
              <w:right w:val="single" w:color="D4C5A0" w:sz="1"/>
            </w:tcBorders>
            <w:shd w:fill="0A1628" w:val="clear"/>
            <w:tcMar>
              <w:top w:type="dxa" w:w="60"/>
              <w:left w:type="dxa" w:w="100"/>
              <w:bottom w:type="dxa" w:w="60"/>
              <w:right w:type="dxa" w:w="100"/>
            </w:tcMar>
          </w:tcPr>
          <w:p>
            <w:pPr>
              <w:jc w:val="center"/>
            </w:pPr>
            <w:r>
              <w:rPr>
                <w:rFonts w:ascii="Inter" w:cs="Inter" w:eastAsia="Inter" w:hAnsi="Inter"/>
                <w:b/>
                <w:bCs/>
                <w:color w:val="FFFFFF"/>
                <w:sz w:val="17"/>
                <w:szCs w:val="17"/>
              </w:rPr>
              <w:t xml:space="preserve">Combined PNFP</w:t>
            </w:r>
          </w:p>
        </w:tc>
      </w:tr>
      <w:tr>
        <w:tc>
          <w:tcPr>
            <w:tcW w:type="dxa" w:w="2800"/>
            <w:tcBorders>
              <w:top w:val="single" w:color="D4C5A0" w:sz="1"/>
              <w:left w:val="single" w:color="D4C5A0" w:sz="1"/>
              <w:bottom w:val="single" w:color="D4C5A0" w:sz="1"/>
              <w:right w:val="single" w:color="D4C5A0" w:sz="1"/>
            </w:tcBorders>
            <w:shd w:fill="FDF8ED" w:val="clear"/>
            <w:tcMar>
              <w:top w:type="dxa" w:w="50"/>
              <w:left w:type="dxa" w:w="100"/>
              <w:bottom w:type="dxa" w:w="50"/>
              <w:right w:type="dxa" w:w="100"/>
            </w:tcMar>
          </w:tcPr>
          <w:p>
            <w:pPr>
              <w:jc w:val="left"/>
            </w:pPr>
            <w:r>
              <w:rPr>
                <w:rFonts w:ascii="Cormorant Garamond" w:cs="Cormorant Garamond" w:eastAsia="Cormorant Garamond" w:hAnsi="Cormorant Garamond"/>
                <w:b/>
                <w:bCs/>
                <w:color w:val="1A1A2E"/>
                <w:sz w:val="20"/>
                <w:szCs w:val="20"/>
              </w:rPr>
              <w:t xml:space="preserve">Total Assets</w:t>
            </w:r>
          </w:p>
        </w:tc>
        <w:tc>
          <w:tcPr>
            <w:tcW w:type="dxa" w:w="2100"/>
            <w:tcBorders>
              <w:top w:val="single" w:color="D4C5A0" w:sz="1"/>
              <w:left w:val="single" w:color="D4C5A0" w:sz="1"/>
              <w:bottom w:val="single" w:color="D4C5A0" w:sz="1"/>
              <w:right w:val="single" w:color="D4C5A0" w:sz="1"/>
            </w:tcBorders>
            <w:shd w:fill="FDF8ED" w:val="clear"/>
            <w:tcMar>
              <w:top w:type="dxa" w:w="50"/>
              <w:left w:type="dxa" w:w="100"/>
              <w:bottom w:type="dxa" w:w="50"/>
              <w:right w:type="dxa" w:w="100"/>
            </w:tcMar>
          </w:tcPr>
          <w:p>
            <w:pPr>
              <w:jc w:val="center"/>
            </w:pPr>
            <w:r>
              <w:rPr>
                <w:rFonts w:ascii="Cormorant Garamond" w:cs="Cormorant Garamond" w:eastAsia="Cormorant Garamond" w:hAnsi="Cormorant Garamond"/>
                <w:b w:val="false"/>
                <w:bCs w:val="false"/>
                <w:color w:val="1A1A2E"/>
                <w:sz w:val="20"/>
                <w:szCs w:val="20"/>
              </w:rPr>
              <w:t xml:space="preserve">$54.8B</w:t>
            </w:r>
          </w:p>
        </w:tc>
        <w:tc>
          <w:tcPr>
            <w:tcW w:type="dxa" w:w="2100"/>
            <w:tcBorders>
              <w:top w:val="single" w:color="D4C5A0" w:sz="1"/>
              <w:left w:val="single" w:color="D4C5A0" w:sz="1"/>
              <w:bottom w:val="single" w:color="D4C5A0" w:sz="1"/>
              <w:right w:val="single" w:color="D4C5A0" w:sz="1"/>
            </w:tcBorders>
            <w:shd w:fill="FDF8ED" w:val="clear"/>
            <w:tcMar>
              <w:top w:type="dxa" w:w="50"/>
              <w:left w:type="dxa" w:w="100"/>
              <w:bottom w:type="dxa" w:w="50"/>
              <w:right w:type="dxa" w:w="100"/>
            </w:tcMar>
          </w:tcPr>
          <w:p>
            <w:pPr>
              <w:jc w:val="center"/>
            </w:pPr>
            <w:r>
              <w:rPr>
                <w:rFonts w:ascii="Cormorant Garamond" w:cs="Cormorant Garamond" w:eastAsia="Cormorant Garamond" w:hAnsi="Cormorant Garamond"/>
                <w:b w:val="false"/>
                <w:bCs w:val="false"/>
                <w:color w:val="1A1A2E"/>
                <w:sz w:val="20"/>
                <w:szCs w:val="20"/>
              </w:rPr>
              <w:t xml:space="preserve">$60.0B</w:t>
            </w:r>
          </w:p>
        </w:tc>
        <w:tc>
          <w:tcPr>
            <w:tcW w:type="dxa" w:w="2360"/>
            <w:tcBorders>
              <w:top w:val="single" w:color="D4C5A0" w:sz="1"/>
              <w:left w:val="single" w:color="D4C5A0" w:sz="1"/>
              <w:bottom w:val="single" w:color="D4C5A0" w:sz="1"/>
              <w:right w:val="single" w:color="D4C5A0" w:sz="1"/>
            </w:tcBorders>
            <w:shd w:fill="FDF8ED" w:val="clear"/>
            <w:tcMar>
              <w:top w:type="dxa" w:w="50"/>
              <w:left w:type="dxa" w:w="100"/>
              <w:bottom w:type="dxa" w:w="50"/>
              <w:right w:type="dxa" w:w="100"/>
            </w:tcMar>
          </w:tcPr>
          <w:p>
            <w:pPr>
              <w:jc w:val="center"/>
            </w:pPr>
            <w:r>
              <w:rPr>
                <w:rFonts w:ascii="Cormorant Garamond" w:cs="Cormorant Garamond" w:eastAsia="Cormorant Garamond" w:hAnsi="Cormorant Garamond"/>
                <w:b w:val="false"/>
                <w:bCs w:val="false"/>
                <w:color w:val="1A1A2E"/>
                <w:sz w:val="20"/>
                <w:szCs w:val="20"/>
              </w:rPr>
              <w:t xml:space="preserve">$117.2B</w:t>
            </w:r>
          </w:p>
        </w:tc>
      </w:tr>
      <w:tr>
        <w:tc>
          <w:tcPr>
            <w:tcW w:type="dxa" w:w="2800"/>
            <w:tcBorders>
              <w:top w:val="single" w:color="D4C5A0" w:sz="1"/>
              <w:left w:val="single" w:color="D4C5A0" w:sz="1"/>
              <w:bottom w:val="single" w:color="D4C5A0" w:sz="1"/>
              <w:right w:val="single" w:color="D4C5A0" w:sz="1"/>
            </w:tcBorders>
            <w:shd w:fill="FFFFFF" w:val="clear"/>
            <w:tcMar>
              <w:top w:type="dxa" w:w="50"/>
              <w:left w:type="dxa" w:w="100"/>
              <w:bottom w:type="dxa" w:w="50"/>
              <w:right w:type="dxa" w:w="100"/>
            </w:tcMar>
          </w:tcPr>
          <w:p>
            <w:pPr>
              <w:jc w:val="left"/>
            </w:pPr>
            <w:r>
              <w:rPr>
                <w:rFonts w:ascii="Cormorant Garamond" w:cs="Cormorant Garamond" w:eastAsia="Cormorant Garamond" w:hAnsi="Cormorant Garamond"/>
                <w:b/>
                <w:bCs/>
                <w:color w:val="1A1A2E"/>
                <w:sz w:val="20"/>
                <w:szCs w:val="20"/>
              </w:rPr>
              <w:t xml:space="preserve">Total Deposits</w:t>
            </w:r>
          </w:p>
        </w:tc>
        <w:tc>
          <w:tcPr>
            <w:tcW w:type="dxa" w:w="2100"/>
            <w:tcBorders>
              <w:top w:val="single" w:color="D4C5A0" w:sz="1"/>
              <w:left w:val="single" w:color="D4C5A0" w:sz="1"/>
              <w:bottom w:val="single" w:color="D4C5A0" w:sz="1"/>
              <w:right w:val="single" w:color="D4C5A0" w:sz="1"/>
            </w:tcBorders>
            <w:shd w:fill="FFFFFF" w:val="clear"/>
            <w:tcMar>
              <w:top w:type="dxa" w:w="50"/>
              <w:left w:type="dxa" w:w="100"/>
              <w:bottom w:type="dxa" w:w="50"/>
              <w:right w:type="dxa" w:w="100"/>
            </w:tcMar>
          </w:tcPr>
          <w:p>
            <w:pPr>
              <w:jc w:val="center"/>
            </w:pPr>
            <w:r>
              <w:rPr>
                <w:rFonts w:ascii="Cormorant Garamond" w:cs="Cormorant Garamond" w:eastAsia="Cormorant Garamond" w:hAnsi="Cormorant Garamond"/>
                <w:b w:val="false"/>
                <w:bCs w:val="false"/>
                <w:color w:val="1A1A2E"/>
                <w:sz w:val="20"/>
                <w:szCs w:val="20"/>
              </w:rPr>
              <w:t xml:space="preserve">~$44B</w:t>
            </w:r>
          </w:p>
        </w:tc>
        <w:tc>
          <w:tcPr>
            <w:tcW w:type="dxa" w:w="2100"/>
            <w:tcBorders>
              <w:top w:val="single" w:color="D4C5A0" w:sz="1"/>
              <w:left w:val="single" w:color="D4C5A0" w:sz="1"/>
              <w:bottom w:val="single" w:color="D4C5A0" w:sz="1"/>
              <w:right w:val="single" w:color="D4C5A0" w:sz="1"/>
            </w:tcBorders>
            <w:shd w:fill="FFFFFF" w:val="clear"/>
            <w:tcMar>
              <w:top w:type="dxa" w:w="50"/>
              <w:left w:type="dxa" w:w="100"/>
              <w:bottom w:type="dxa" w:w="50"/>
              <w:right w:type="dxa" w:w="100"/>
            </w:tcMar>
          </w:tcPr>
          <w:p>
            <w:pPr>
              <w:jc w:val="center"/>
            </w:pPr>
            <w:r>
              <w:rPr>
                <w:rFonts w:ascii="Cormorant Garamond" w:cs="Cormorant Garamond" w:eastAsia="Cormorant Garamond" w:hAnsi="Cormorant Garamond"/>
                <w:b w:val="false"/>
                <w:bCs w:val="false"/>
                <w:color w:val="1A1A2E"/>
                <w:sz w:val="20"/>
                <w:szCs w:val="20"/>
              </w:rPr>
              <w:t xml:space="preserve">~$51B</w:t>
            </w:r>
          </w:p>
        </w:tc>
        <w:tc>
          <w:tcPr>
            <w:tcW w:type="dxa" w:w="2360"/>
            <w:tcBorders>
              <w:top w:val="single" w:color="D4C5A0" w:sz="1"/>
              <w:left w:val="single" w:color="D4C5A0" w:sz="1"/>
              <w:bottom w:val="single" w:color="D4C5A0" w:sz="1"/>
              <w:right w:val="single" w:color="D4C5A0" w:sz="1"/>
            </w:tcBorders>
            <w:shd w:fill="FFFFFF" w:val="clear"/>
            <w:tcMar>
              <w:top w:type="dxa" w:w="50"/>
              <w:left w:type="dxa" w:w="100"/>
              <w:bottom w:type="dxa" w:w="50"/>
              <w:right w:type="dxa" w:w="100"/>
            </w:tcMar>
          </w:tcPr>
          <w:p>
            <w:pPr>
              <w:jc w:val="center"/>
            </w:pPr>
            <w:r>
              <w:rPr>
                <w:rFonts w:ascii="Cormorant Garamond" w:cs="Cormorant Garamond" w:eastAsia="Cormorant Garamond" w:hAnsi="Cormorant Garamond"/>
                <w:b w:val="false"/>
                <w:bCs w:val="false"/>
                <w:color w:val="1A1A2E"/>
                <w:sz w:val="20"/>
                <w:szCs w:val="20"/>
              </w:rPr>
              <w:t xml:space="preserve">$95.7B</w:t>
            </w:r>
          </w:p>
        </w:tc>
      </w:tr>
      <w:tr>
        <w:tc>
          <w:tcPr>
            <w:tcW w:type="dxa" w:w="2800"/>
            <w:tcBorders>
              <w:top w:val="single" w:color="D4C5A0" w:sz="1"/>
              <w:left w:val="single" w:color="D4C5A0" w:sz="1"/>
              <w:bottom w:val="single" w:color="D4C5A0" w:sz="1"/>
              <w:right w:val="single" w:color="D4C5A0" w:sz="1"/>
            </w:tcBorders>
            <w:shd w:fill="FDF8ED" w:val="clear"/>
            <w:tcMar>
              <w:top w:type="dxa" w:w="50"/>
              <w:left w:type="dxa" w:w="100"/>
              <w:bottom w:type="dxa" w:w="50"/>
              <w:right w:type="dxa" w:w="100"/>
            </w:tcMar>
          </w:tcPr>
          <w:p>
            <w:pPr>
              <w:jc w:val="left"/>
            </w:pPr>
            <w:r>
              <w:rPr>
                <w:rFonts w:ascii="Cormorant Garamond" w:cs="Cormorant Garamond" w:eastAsia="Cormorant Garamond" w:hAnsi="Cormorant Garamond"/>
                <w:b/>
                <w:bCs/>
                <w:color w:val="1A1A2E"/>
                <w:sz w:val="20"/>
                <w:szCs w:val="20"/>
              </w:rPr>
              <w:t xml:space="preserve">Total Loans</w:t>
            </w:r>
          </w:p>
        </w:tc>
        <w:tc>
          <w:tcPr>
            <w:tcW w:type="dxa" w:w="2100"/>
            <w:tcBorders>
              <w:top w:val="single" w:color="D4C5A0" w:sz="1"/>
              <w:left w:val="single" w:color="D4C5A0" w:sz="1"/>
              <w:bottom w:val="single" w:color="D4C5A0" w:sz="1"/>
              <w:right w:val="single" w:color="D4C5A0" w:sz="1"/>
            </w:tcBorders>
            <w:shd w:fill="FDF8ED" w:val="clear"/>
            <w:tcMar>
              <w:top w:type="dxa" w:w="50"/>
              <w:left w:type="dxa" w:w="100"/>
              <w:bottom w:type="dxa" w:w="50"/>
              <w:right w:type="dxa" w:w="100"/>
            </w:tcMar>
          </w:tcPr>
          <w:p>
            <w:pPr>
              <w:jc w:val="center"/>
            </w:pPr>
            <w:r>
              <w:rPr>
                <w:rFonts w:ascii="Cormorant Garamond" w:cs="Cormorant Garamond" w:eastAsia="Cormorant Garamond" w:hAnsi="Cormorant Garamond"/>
                <w:b w:val="false"/>
                <w:bCs w:val="false"/>
                <w:color w:val="1A1A2E"/>
                <w:sz w:val="20"/>
                <w:szCs w:val="20"/>
              </w:rPr>
              <w:t xml:space="preserve">~$37B</w:t>
            </w:r>
          </w:p>
        </w:tc>
        <w:tc>
          <w:tcPr>
            <w:tcW w:type="dxa" w:w="2100"/>
            <w:tcBorders>
              <w:top w:val="single" w:color="D4C5A0" w:sz="1"/>
              <w:left w:val="single" w:color="D4C5A0" w:sz="1"/>
              <w:bottom w:val="single" w:color="D4C5A0" w:sz="1"/>
              <w:right w:val="single" w:color="D4C5A0" w:sz="1"/>
            </w:tcBorders>
            <w:shd w:fill="FDF8ED" w:val="clear"/>
            <w:tcMar>
              <w:top w:type="dxa" w:w="50"/>
              <w:left w:type="dxa" w:w="100"/>
              <w:bottom w:type="dxa" w:w="50"/>
              <w:right w:type="dxa" w:w="100"/>
            </w:tcMar>
          </w:tcPr>
          <w:p>
            <w:pPr>
              <w:jc w:val="center"/>
            </w:pPr>
            <w:r>
              <w:rPr>
                <w:rFonts w:ascii="Cormorant Garamond" w:cs="Cormorant Garamond" w:eastAsia="Cormorant Garamond" w:hAnsi="Cormorant Garamond"/>
                <w:b w:val="false"/>
                <w:bCs w:val="false"/>
                <w:color w:val="1A1A2E"/>
                <w:sz w:val="20"/>
                <w:szCs w:val="20"/>
              </w:rPr>
              <w:t xml:space="preserve">~$43B</w:t>
            </w:r>
          </w:p>
        </w:tc>
        <w:tc>
          <w:tcPr>
            <w:tcW w:type="dxa" w:w="2360"/>
            <w:tcBorders>
              <w:top w:val="single" w:color="D4C5A0" w:sz="1"/>
              <w:left w:val="single" w:color="D4C5A0" w:sz="1"/>
              <w:bottom w:val="single" w:color="D4C5A0" w:sz="1"/>
              <w:right w:val="single" w:color="D4C5A0" w:sz="1"/>
            </w:tcBorders>
            <w:shd w:fill="FDF8ED" w:val="clear"/>
            <w:tcMar>
              <w:top w:type="dxa" w:w="50"/>
              <w:left w:type="dxa" w:w="100"/>
              <w:bottom w:type="dxa" w:w="50"/>
              <w:right w:type="dxa" w:w="100"/>
            </w:tcMar>
          </w:tcPr>
          <w:p>
            <w:pPr>
              <w:jc w:val="center"/>
            </w:pPr>
            <w:r>
              <w:rPr>
                <w:rFonts w:ascii="Cormorant Garamond" w:cs="Cormorant Garamond" w:eastAsia="Cormorant Garamond" w:hAnsi="Cormorant Garamond"/>
                <w:b w:val="false"/>
                <w:bCs w:val="false"/>
                <w:color w:val="1A1A2E"/>
                <w:sz w:val="20"/>
                <w:szCs w:val="20"/>
              </w:rPr>
              <w:t xml:space="preserve">$80.4B</w:t>
            </w:r>
          </w:p>
        </w:tc>
      </w:tr>
      <w:tr>
        <w:tc>
          <w:tcPr>
            <w:tcW w:type="dxa" w:w="2800"/>
            <w:tcBorders>
              <w:top w:val="single" w:color="D4C5A0" w:sz="1"/>
              <w:left w:val="single" w:color="D4C5A0" w:sz="1"/>
              <w:bottom w:val="single" w:color="D4C5A0" w:sz="1"/>
              <w:right w:val="single" w:color="D4C5A0" w:sz="1"/>
            </w:tcBorders>
            <w:shd w:fill="FFFFFF" w:val="clear"/>
            <w:tcMar>
              <w:top w:type="dxa" w:w="50"/>
              <w:left w:type="dxa" w:w="100"/>
              <w:bottom w:type="dxa" w:w="50"/>
              <w:right w:type="dxa" w:w="100"/>
            </w:tcMar>
          </w:tcPr>
          <w:p>
            <w:pPr>
              <w:jc w:val="left"/>
            </w:pPr>
            <w:r>
              <w:rPr>
                <w:rFonts w:ascii="Cormorant Garamond" w:cs="Cormorant Garamond" w:eastAsia="Cormorant Garamond" w:hAnsi="Cormorant Garamond"/>
                <w:b/>
                <w:bCs/>
                <w:color w:val="1A1A2E"/>
                <w:sz w:val="20"/>
                <w:szCs w:val="20"/>
              </w:rPr>
              <w:t xml:space="preserve">Locations</w:t>
            </w:r>
          </w:p>
        </w:tc>
        <w:tc>
          <w:tcPr>
            <w:tcW w:type="dxa" w:w="2100"/>
            <w:tcBorders>
              <w:top w:val="single" w:color="D4C5A0" w:sz="1"/>
              <w:left w:val="single" w:color="D4C5A0" w:sz="1"/>
              <w:bottom w:val="single" w:color="D4C5A0" w:sz="1"/>
              <w:right w:val="single" w:color="D4C5A0" w:sz="1"/>
            </w:tcBorders>
            <w:shd w:fill="FFFFFF" w:val="clear"/>
            <w:tcMar>
              <w:top w:type="dxa" w:w="50"/>
              <w:left w:type="dxa" w:w="100"/>
              <w:bottom w:type="dxa" w:w="50"/>
              <w:right w:type="dxa" w:w="100"/>
            </w:tcMar>
          </w:tcPr>
          <w:p>
            <w:pPr>
              <w:jc w:val="center"/>
            </w:pPr>
            <w:r>
              <w:rPr>
                <w:rFonts w:ascii="Cormorant Garamond" w:cs="Cormorant Garamond" w:eastAsia="Cormorant Garamond" w:hAnsi="Cormorant Garamond"/>
                <w:b w:val="false"/>
                <w:bCs w:val="false"/>
                <w:color w:val="1A1A2E"/>
                <w:sz w:val="20"/>
                <w:szCs w:val="20"/>
              </w:rPr>
              <w:t xml:space="preserve">~160</w:t>
            </w:r>
          </w:p>
        </w:tc>
        <w:tc>
          <w:tcPr>
            <w:tcW w:type="dxa" w:w="2100"/>
            <w:tcBorders>
              <w:top w:val="single" w:color="D4C5A0" w:sz="1"/>
              <w:left w:val="single" w:color="D4C5A0" w:sz="1"/>
              <w:bottom w:val="single" w:color="D4C5A0" w:sz="1"/>
              <w:right w:val="single" w:color="D4C5A0" w:sz="1"/>
            </w:tcBorders>
            <w:shd w:fill="FFFFFF" w:val="clear"/>
            <w:tcMar>
              <w:top w:type="dxa" w:w="50"/>
              <w:left w:type="dxa" w:w="100"/>
              <w:bottom w:type="dxa" w:w="50"/>
              <w:right w:type="dxa" w:w="100"/>
            </w:tcMar>
          </w:tcPr>
          <w:p>
            <w:pPr>
              <w:jc w:val="center"/>
            </w:pPr>
            <w:r>
              <w:rPr>
                <w:rFonts w:ascii="Cormorant Garamond" w:cs="Cormorant Garamond" w:eastAsia="Cormorant Garamond" w:hAnsi="Cormorant Garamond"/>
                <w:b w:val="false"/>
                <w:bCs w:val="false"/>
                <w:color w:val="1A1A2E"/>
                <w:sz w:val="20"/>
                <w:szCs w:val="20"/>
              </w:rPr>
              <w:t xml:space="preserve">~244</w:t>
            </w:r>
          </w:p>
        </w:tc>
        <w:tc>
          <w:tcPr>
            <w:tcW w:type="dxa" w:w="2360"/>
            <w:tcBorders>
              <w:top w:val="single" w:color="D4C5A0" w:sz="1"/>
              <w:left w:val="single" w:color="D4C5A0" w:sz="1"/>
              <w:bottom w:val="single" w:color="D4C5A0" w:sz="1"/>
              <w:right w:val="single" w:color="D4C5A0" w:sz="1"/>
            </w:tcBorders>
            <w:shd w:fill="FFFFFF" w:val="clear"/>
            <w:tcMar>
              <w:top w:type="dxa" w:w="50"/>
              <w:left w:type="dxa" w:w="100"/>
              <w:bottom w:type="dxa" w:w="50"/>
              <w:right w:type="dxa" w:w="100"/>
            </w:tcMar>
          </w:tcPr>
          <w:p>
            <w:pPr>
              <w:jc w:val="center"/>
            </w:pPr>
            <w:r>
              <w:rPr>
                <w:rFonts w:ascii="Cormorant Garamond" w:cs="Cormorant Garamond" w:eastAsia="Cormorant Garamond" w:hAnsi="Cormorant Garamond"/>
                <w:b w:val="false"/>
                <w:bCs w:val="false"/>
                <w:color w:val="1A1A2E"/>
                <w:sz w:val="20"/>
                <w:szCs w:val="20"/>
              </w:rPr>
              <w:t xml:space="preserve">400+</w:t>
            </w:r>
          </w:p>
        </w:tc>
      </w:tr>
      <w:tr>
        <w:tc>
          <w:tcPr>
            <w:tcW w:type="dxa" w:w="2800"/>
            <w:tcBorders>
              <w:top w:val="single" w:color="D4C5A0" w:sz="1"/>
              <w:left w:val="single" w:color="D4C5A0" w:sz="1"/>
              <w:bottom w:val="single" w:color="D4C5A0" w:sz="1"/>
              <w:right w:val="single" w:color="D4C5A0" w:sz="1"/>
            </w:tcBorders>
            <w:shd w:fill="FDF8ED" w:val="clear"/>
            <w:tcMar>
              <w:top w:type="dxa" w:w="50"/>
              <w:left w:type="dxa" w:w="100"/>
              <w:bottom w:type="dxa" w:w="50"/>
              <w:right w:type="dxa" w:w="100"/>
            </w:tcMar>
          </w:tcPr>
          <w:p>
            <w:pPr>
              <w:jc w:val="left"/>
            </w:pPr>
            <w:r>
              <w:rPr>
                <w:rFonts w:ascii="Cormorant Garamond" w:cs="Cormorant Garamond" w:eastAsia="Cormorant Garamond" w:hAnsi="Cormorant Garamond"/>
                <w:b/>
                <w:bCs/>
                <w:color w:val="1A1A2E"/>
                <w:sz w:val="20"/>
                <w:szCs w:val="20"/>
              </w:rPr>
              <w:t xml:space="preserve">States</w:t>
            </w:r>
          </w:p>
        </w:tc>
        <w:tc>
          <w:tcPr>
            <w:tcW w:type="dxa" w:w="2100"/>
            <w:tcBorders>
              <w:top w:val="single" w:color="D4C5A0" w:sz="1"/>
              <w:left w:val="single" w:color="D4C5A0" w:sz="1"/>
              <w:bottom w:val="single" w:color="D4C5A0" w:sz="1"/>
              <w:right w:val="single" w:color="D4C5A0" w:sz="1"/>
            </w:tcBorders>
            <w:shd w:fill="FDF8ED" w:val="clear"/>
            <w:tcMar>
              <w:top w:type="dxa" w:w="50"/>
              <w:left w:type="dxa" w:w="100"/>
              <w:bottom w:type="dxa" w:w="50"/>
              <w:right w:type="dxa" w:w="100"/>
            </w:tcMar>
          </w:tcPr>
          <w:p>
            <w:pPr>
              <w:jc w:val="center"/>
            </w:pPr>
            <w:r>
              <w:rPr>
                <w:rFonts w:ascii="Cormorant Garamond" w:cs="Cormorant Garamond" w:eastAsia="Cormorant Garamond" w:hAnsi="Cormorant Garamond"/>
                <w:b w:val="false"/>
                <w:bCs w:val="false"/>
                <w:color w:val="1A1A2E"/>
                <w:sz w:val="20"/>
                <w:szCs w:val="20"/>
              </w:rPr>
              <w:t xml:space="preserve">7</w:t>
            </w:r>
          </w:p>
        </w:tc>
        <w:tc>
          <w:tcPr>
            <w:tcW w:type="dxa" w:w="2100"/>
            <w:tcBorders>
              <w:top w:val="single" w:color="D4C5A0" w:sz="1"/>
              <w:left w:val="single" w:color="D4C5A0" w:sz="1"/>
              <w:bottom w:val="single" w:color="D4C5A0" w:sz="1"/>
              <w:right w:val="single" w:color="D4C5A0" w:sz="1"/>
            </w:tcBorders>
            <w:shd w:fill="FDF8ED" w:val="clear"/>
            <w:tcMar>
              <w:top w:type="dxa" w:w="50"/>
              <w:left w:type="dxa" w:w="100"/>
              <w:bottom w:type="dxa" w:w="50"/>
              <w:right w:type="dxa" w:w="100"/>
            </w:tcMar>
          </w:tcPr>
          <w:p>
            <w:pPr>
              <w:jc w:val="center"/>
            </w:pPr>
            <w:r>
              <w:rPr>
                <w:rFonts w:ascii="Cormorant Garamond" w:cs="Cormorant Garamond" w:eastAsia="Cormorant Garamond" w:hAnsi="Cormorant Garamond"/>
                <w:b w:val="false"/>
                <w:bCs w:val="false"/>
                <w:color w:val="1A1A2E"/>
                <w:sz w:val="20"/>
                <w:szCs w:val="20"/>
              </w:rPr>
              <w:t xml:space="preserve">5</w:t>
            </w:r>
          </w:p>
        </w:tc>
        <w:tc>
          <w:tcPr>
            <w:tcW w:type="dxa" w:w="2360"/>
            <w:tcBorders>
              <w:top w:val="single" w:color="D4C5A0" w:sz="1"/>
              <w:left w:val="single" w:color="D4C5A0" w:sz="1"/>
              <w:bottom w:val="single" w:color="D4C5A0" w:sz="1"/>
              <w:right w:val="single" w:color="D4C5A0" w:sz="1"/>
            </w:tcBorders>
            <w:shd w:fill="FDF8ED" w:val="clear"/>
            <w:tcMar>
              <w:top w:type="dxa" w:w="50"/>
              <w:left w:type="dxa" w:w="100"/>
              <w:bottom w:type="dxa" w:w="50"/>
              <w:right w:type="dxa" w:w="100"/>
            </w:tcMar>
          </w:tcPr>
          <w:p>
            <w:pPr>
              <w:jc w:val="center"/>
            </w:pPr>
            <w:r>
              <w:rPr>
                <w:rFonts w:ascii="Cormorant Garamond" w:cs="Cormorant Garamond" w:eastAsia="Cormorant Garamond" w:hAnsi="Cormorant Garamond"/>
                <w:b w:val="false"/>
                <w:bCs w:val="false"/>
                <w:color w:val="1A1A2E"/>
                <w:sz w:val="20"/>
                <w:szCs w:val="20"/>
              </w:rPr>
              <w:t xml:space="preserve">9</w:t>
            </w:r>
          </w:p>
        </w:tc>
      </w:tr>
      <w:tr>
        <w:tc>
          <w:tcPr>
            <w:tcW w:type="dxa" w:w="2800"/>
            <w:tcBorders>
              <w:top w:val="single" w:color="D4C5A0" w:sz="1"/>
              <w:left w:val="single" w:color="D4C5A0" w:sz="1"/>
              <w:bottom w:val="single" w:color="D4C5A0" w:sz="1"/>
              <w:right w:val="single" w:color="D4C5A0" w:sz="1"/>
            </w:tcBorders>
            <w:shd w:fill="FFFFFF" w:val="clear"/>
            <w:tcMar>
              <w:top w:type="dxa" w:w="50"/>
              <w:left w:type="dxa" w:w="100"/>
              <w:bottom w:type="dxa" w:w="50"/>
              <w:right w:type="dxa" w:w="100"/>
            </w:tcMar>
          </w:tcPr>
          <w:p>
            <w:pPr>
              <w:jc w:val="left"/>
            </w:pPr>
            <w:r>
              <w:rPr>
                <w:rFonts w:ascii="Cormorant Garamond" w:cs="Cormorant Garamond" w:eastAsia="Cormorant Garamond" w:hAnsi="Cormorant Garamond"/>
                <w:b/>
                <w:bCs/>
                <w:color w:val="1A1A2E"/>
                <w:sz w:val="20"/>
                <w:szCs w:val="20"/>
              </w:rPr>
              <w:t xml:space="preserve">Employees</w:t>
            </w:r>
          </w:p>
        </w:tc>
        <w:tc>
          <w:tcPr>
            <w:tcW w:type="dxa" w:w="2100"/>
            <w:tcBorders>
              <w:top w:val="single" w:color="D4C5A0" w:sz="1"/>
              <w:left w:val="single" w:color="D4C5A0" w:sz="1"/>
              <w:bottom w:val="single" w:color="D4C5A0" w:sz="1"/>
              <w:right w:val="single" w:color="D4C5A0" w:sz="1"/>
            </w:tcBorders>
            <w:shd w:fill="FFFFFF" w:val="clear"/>
            <w:tcMar>
              <w:top w:type="dxa" w:w="50"/>
              <w:left w:type="dxa" w:w="100"/>
              <w:bottom w:type="dxa" w:w="50"/>
              <w:right w:type="dxa" w:w="100"/>
            </w:tcMar>
          </w:tcPr>
          <w:p>
            <w:pPr>
              <w:jc w:val="center"/>
            </w:pPr>
            <w:r>
              <w:rPr>
                <w:rFonts w:ascii="Cormorant Garamond" w:cs="Cormorant Garamond" w:eastAsia="Cormorant Garamond" w:hAnsi="Cormorant Garamond"/>
                <w:b w:val="false"/>
                <w:bCs w:val="false"/>
                <w:color w:val="1A1A2E"/>
                <w:sz w:val="20"/>
                <w:szCs w:val="20"/>
              </w:rPr>
              <w:t xml:space="preserve">~3,500</w:t>
            </w:r>
          </w:p>
        </w:tc>
        <w:tc>
          <w:tcPr>
            <w:tcW w:type="dxa" w:w="2100"/>
            <w:tcBorders>
              <w:top w:val="single" w:color="D4C5A0" w:sz="1"/>
              <w:left w:val="single" w:color="D4C5A0" w:sz="1"/>
              <w:bottom w:val="single" w:color="D4C5A0" w:sz="1"/>
              <w:right w:val="single" w:color="D4C5A0" w:sz="1"/>
            </w:tcBorders>
            <w:shd w:fill="FFFFFF" w:val="clear"/>
            <w:tcMar>
              <w:top w:type="dxa" w:w="50"/>
              <w:left w:type="dxa" w:w="100"/>
              <w:bottom w:type="dxa" w:w="50"/>
              <w:right w:type="dxa" w:w="100"/>
            </w:tcMar>
          </w:tcPr>
          <w:p>
            <w:pPr>
              <w:jc w:val="center"/>
            </w:pPr>
            <w:r>
              <w:rPr>
                <w:rFonts w:ascii="Cormorant Garamond" w:cs="Cormorant Garamond" w:eastAsia="Cormorant Garamond" w:hAnsi="Cormorant Garamond"/>
                <w:b w:val="false"/>
                <w:bCs w:val="false"/>
                <w:color w:val="1A1A2E"/>
                <w:sz w:val="20"/>
                <w:szCs w:val="20"/>
              </w:rPr>
              <w:t xml:space="preserve">~5,300</w:t>
            </w:r>
          </w:p>
        </w:tc>
        <w:tc>
          <w:tcPr>
            <w:tcW w:type="dxa" w:w="2360"/>
            <w:tcBorders>
              <w:top w:val="single" w:color="D4C5A0" w:sz="1"/>
              <w:left w:val="single" w:color="D4C5A0" w:sz="1"/>
              <w:bottom w:val="single" w:color="D4C5A0" w:sz="1"/>
              <w:right w:val="single" w:color="D4C5A0" w:sz="1"/>
            </w:tcBorders>
            <w:shd w:fill="FFFFFF" w:val="clear"/>
            <w:tcMar>
              <w:top w:type="dxa" w:w="50"/>
              <w:left w:type="dxa" w:w="100"/>
              <w:bottom w:type="dxa" w:w="50"/>
              <w:right w:type="dxa" w:w="100"/>
            </w:tcMar>
          </w:tcPr>
          <w:p>
            <w:pPr>
              <w:jc w:val="center"/>
            </w:pPr>
            <w:r>
              <w:rPr>
                <w:rFonts w:ascii="Cormorant Garamond" w:cs="Cormorant Garamond" w:eastAsia="Cormorant Garamond" w:hAnsi="Cormorant Garamond"/>
                <w:b w:val="false"/>
                <w:bCs w:val="false"/>
                <w:color w:val="1A1A2E"/>
                <w:sz w:val="20"/>
                <w:szCs w:val="20"/>
              </w:rPr>
              <w:t xml:space="preserve">8,000+</w:t>
            </w:r>
          </w:p>
        </w:tc>
      </w:tr>
      <w:tr>
        <w:tc>
          <w:tcPr>
            <w:tcW w:type="dxa" w:w="2800"/>
            <w:tcBorders>
              <w:top w:val="single" w:color="D4C5A0" w:sz="1"/>
              <w:left w:val="single" w:color="D4C5A0" w:sz="1"/>
              <w:bottom w:val="single" w:color="D4C5A0" w:sz="1"/>
              <w:right w:val="single" w:color="D4C5A0" w:sz="1"/>
            </w:tcBorders>
            <w:shd w:fill="FDF8ED" w:val="clear"/>
            <w:tcMar>
              <w:top w:type="dxa" w:w="50"/>
              <w:left w:type="dxa" w:w="100"/>
              <w:bottom w:type="dxa" w:w="50"/>
              <w:right w:type="dxa" w:w="100"/>
            </w:tcMar>
          </w:tcPr>
          <w:p>
            <w:pPr>
              <w:jc w:val="left"/>
            </w:pPr>
            <w:r>
              <w:rPr>
                <w:rFonts w:ascii="Cormorant Garamond" w:cs="Cormorant Garamond" w:eastAsia="Cormorant Garamond" w:hAnsi="Cormorant Garamond"/>
                <w:b/>
                <w:bCs/>
                <w:color w:val="1A1A2E"/>
                <w:sz w:val="20"/>
                <w:szCs w:val="20"/>
              </w:rPr>
              <w:t xml:space="preserve">CRA Rating (Most Recent)</w:t>
            </w:r>
          </w:p>
        </w:tc>
        <w:tc>
          <w:tcPr>
            <w:tcW w:type="dxa" w:w="2100"/>
            <w:tcBorders>
              <w:top w:val="single" w:color="D4C5A0" w:sz="1"/>
              <w:left w:val="single" w:color="D4C5A0" w:sz="1"/>
              <w:bottom w:val="single" w:color="D4C5A0" w:sz="1"/>
              <w:right w:val="single" w:color="D4C5A0" w:sz="1"/>
            </w:tcBorders>
            <w:shd w:fill="FDF8ED" w:val="clear"/>
            <w:tcMar>
              <w:top w:type="dxa" w:w="50"/>
              <w:left w:type="dxa" w:w="100"/>
              <w:bottom w:type="dxa" w:w="50"/>
              <w:right w:type="dxa" w:w="100"/>
            </w:tcMar>
          </w:tcPr>
          <w:p>
            <w:pPr>
              <w:jc w:val="center"/>
            </w:pPr>
            <w:r>
              <w:rPr>
                <w:rFonts w:ascii="Cormorant Garamond" w:cs="Cormorant Garamond" w:eastAsia="Cormorant Garamond" w:hAnsi="Cormorant Garamond"/>
                <w:b w:val="false"/>
                <w:bCs w:val="false"/>
                <w:color w:val="1A1A2E"/>
                <w:sz w:val="20"/>
                <w:szCs w:val="20"/>
              </w:rPr>
              <w:t xml:space="preserve">Satisfactory (May 2023)</w:t>
            </w:r>
          </w:p>
        </w:tc>
        <w:tc>
          <w:tcPr>
            <w:tcW w:type="dxa" w:w="2100"/>
            <w:tcBorders>
              <w:top w:val="single" w:color="D4C5A0" w:sz="1"/>
              <w:left w:val="single" w:color="D4C5A0" w:sz="1"/>
              <w:bottom w:val="single" w:color="D4C5A0" w:sz="1"/>
              <w:right w:val="single" w:color="D4C5A0" w:sz="1"/>
            </w:tcBorders>
            <w:shd w:fill="FDF8ED" w:val="clear"/>
            <w:tcMar>
              <w:top w:type="dxa" w:w="50"/>
              <w:left w:type="dxa" w:w="100"/>
              <w:bottom w:type="dxa" w:w="50"/>
              <w:right w:type="dxa" w:w="100"/>
            </w:tcMar>
          </w:tcPr>
          <w:p>
            <w:pPr>
              <w:jc w:val="center"/>
            </w:pPr>
            <w:r>
              <w:rPr>
                <w:rFonts w:ascii="Cormorant Garamond" w:cs="Cormorant Garamond" w:eastAsia="Cormorant Garamond" w:hAnsi="Cormorant Garamond"/>
                <w:b w:val="false"/>
                <w:bCs w:val="false"/>
                <w:color w:val="1A1A2E"/>
                <w:sz w:val="20"/>
                <w:szCs w:val="20"/>
              </w:rPr>
              <w:t xml:space="preserve">Satisfactory (March 2024)</w:t>
            </w:r>
          </w:p>
        </w:tc>
        <w:tc>
          <w:tcPr>
            <w:tcW w:type="dxa" w:w="2360"/>
            <w:tcBorders>
              <w:top w:val="single" w:color="D4C5A0" w:sz="1"/>
              <w:left w:val="single" w:color="D4C5A0" w:sz="1"/>
              <w:bottom w:val="single" w:color="D4C5A0" w:sz="1"/>
              <w:right w:val="single" w:color="D4C5A0" w:sz="1"/>
            </w:tcBorders>
            <w:shd w:fill="FDF8ED" w:val="clear"/>
            <w:tcMar>
              <w:top w:type="dxa" w:w="50"/>
              <w:left w:type="dxa" w:w="100"/>
              <w:bottom w:type="dxa" w:w="50"/>
              <w:right w:type="dxa" w:w="100"/>
            </w:tcMar>
          </w:tcPr>
          <w:p>
            <w:pPr>
              <w:jc w:val="center"/>
            </w:pPr>
            <w:r>
              <w:rPr>
                <w:rFonts w:ascii="Cormorant Garamond" w:cs="Cormorant Garamond" w:eastAsia="Cormorant Garamond" w:hAnsi="Cormorant Garamond"/>
                <w:b w:val="false"/>
                <w:bCs w:val="false"/>
                <w:color w:val="1A1A2E"/>
                <w:sz w:val="20"/>
                <w:szCs w:val="20"/>
              </w:rPr>
              <w:t xml:space="preserve">TBD — New Exam Cycle</w:t>
            </w:r>
          </w:p>
        </w:tc>
      </w:tr>
      <w:tr>
        <w:tc>
          <w:tcPr>
            <w:tcW w:type="dxa" w:w="2800"/>
            <w:tcBorders>
              <w:top w:val="single" w:color="D4C5A0" w:sz="1"/>
              <w:left w:val="single" w:color="D4C5A0" w:sz="1"/>
              <w:bottom w:val="single" w:color="D4C5A0" w:sz="1"/>
              <w:right w:val="single" w:color="D4C5A0" w:sz="1"/>
            </w:tcBorders>
            <w:shd w:fill="FFFFFF" w:val="clear"/>
            <w:tcMar>
              <w:top w:type="dxa" w:w="50"/>
              <w:left w:type="dxa" w:w="100"/>
              <w:bottom w:type="dxa" w:w="50"/>
              <w:right w:type="dxa" w:w="100"/>
            </w:tcMar>
          </w:tcPr>
          <w:p>
            <w:pPr>
              <w:jc w:val="left"/>
            </w:pPr>
            <w:r>
              <w:rPr>
                <w:rFonts w:ascii="Cormorant Garamond" w:cs="Cormorant Garamond" w:eastAsia="Cormorant Garamond" w:hAnsi="Cormorant Garamond"/>
                <w:b/>
                <w:bCs/>
                <w:color w:val="1A1A2E"/>
                <w:sz w:val="20"/>
                <w:szCs w:val="20"/>
              </w:rPr>
              <w:t xml:space="preserve">HQ (Holding Co.)</w:t>
            </w:r>
          </w:p>
        </w:tc>
        <w:tc>
          <w:tcPr>
            <w:tcW w:type="dxa" w:w="2100"/>
            <w:tcBorders>
              <w:top w:val="single" w:color="D4C5A0" w:sz="1"/>
              <w:left w:val="single" w:color="D4C5A0" w:sz="1"/>
              <w:bottom w:val="single" w:color="D4C5A0" w:sz="1"/>
              <w:right w:val="single" w:color="D4C5A0" w:sz="1"/>
            </w:tcBorders>
            <w:shd w:fill="FFFFFF" w:val="clear"/>
            <w:tcMar>
              <w:top w:type="dxa" w:w="50"/>
              <w:left w:type="dxa" w:w="100"/>
              <w:bottom w:type="dxa" w:w="50"/>
              <w:right w:type="dxa" w:w="100"/>
            </w:tcMar>
          </w:tcPr>
          <w:p>
            <w:pPr>
              <w:jc w:val="center"/>
            </w:pPr>
            <w:r>
              <w:rPr>
                <w:rFonts w:ascii="Cormorant Garamond" w:cs="Cormorant Garamond" w:eastAsia="Cormorant Garamond" w:hAnsi="Cormorant Garamond"/>
                <w:b w:val="false"/>
                <w:bCs w:val="false"/>
                <w:color w:val="1A1A2E"/>
                <w:sz w:val="20"/>
                <w:szCs w:val="20"/>
              </w:rPr>
              <w:t xml:space="preserve">Nashville, TN</w:t>
            </w:r>
          </w:p>
        </w:tc>
        <w:tc>
          <w:tcPr>
            <w:tcW w:type="dxa" w:w="2100"/>
            <w:tcBorders>
              <w:top w:val="single" w:color="D4C5A0" w:sz="1"/>
              <w:left w:val="single" w:color="D4C5A0" w:sz="1"/>
              <w:bottom w:val="single" w:color="D4C5A0" w:sz="1"/>
              <w:right w:val="single" w:color="D4C5A0" w:sz="1"/>
            </w:tcBorders>
            <w:shd w:fill="FFFFFF" w:val="clear"/>
            <w:tcMar>
              <w:top w:type="dxa" w:w="50"/>
              <w:left w:type="dxa" w:w="100"/>
              <w:bottom w:type="dxa" w:w="50"/>
              <w:right w:type="dxa" w:w="100"/>
            </w:tcMar>
          </w:tcPr>
          <w:p>
            <w:pPr>
              <w:jc w:val="center"/>
            </w:pPr>
            <w:r>
              <w:rPr>
                <w:rFonts w:ascii="Cormorant Garamond" w:cs="Cormorant Garamond" w:eastAsia="Cormorant Garamond" w:hAnsi="Cormorant Garamond"/>
                <w:b w:val="false"/>
                <w:bCs w:val="false"/>
                <w:color w:val="1A1A2E"/>
                <w:sz w:val="20"/>
                <w:szCs w:val="20"/>
              </w:rPr>
              <w:t xml:space="preserve">Columbus, GA</w:t>
            </w:r>
          </w:p>
        </w:tc>
        <w:tc>
          <w:tcPr>
            <w:tcW w:type="dxa" w:w="2360"/>
            <w:tcBorders>
              <w:top w:val="single" w:color="D4C5A0" w:sz="1"/>
              <w:left w:val="single" w:color="D4C5A0" w:sz="1"/>
              <w:bottom w:val="single" w:color="D4C5A0" w:sz="1"/>
              <w:right w:val="single" w:color="D4C5A0" w:sz="1"/>
            </w:tcBorders>
            <w:shd w:fill="FFFFFF" w:val="clear"/>
            <w:tcMar>
              <w:top w:type="dxa" w:w="50"/>
              <w:left w:type="dxa" w:w="100"/>
              <w:bottom w:type="dxa" w:w="50"/>
              <w:right w:type="dxa" w:w="100"/>
            </w:tcMar>
          </w:tcPr>
          <w:p>
            <w:pPr>
              <w:jc w:val="center"/>
            </w:pPr>
            <w:r>
              <w:rPr>
                <w:rFonts w:ascii="Cormorant Garamond" w:cs="Cormorant Garamond" w:eastAsia="Cormorant Garamond" w:hAnsi="Cormorant Garamond"/>
                <w:b w:val="false"/>
                <w:bCs w:val="false"/>
                <w:color w:val="1A1A2E"/>
                <w:sz w:val="20"/>
                <w:szCs w:val="20"/>
              </w:rPr>
              <w:t xml:space="preserve">Atlanta, GA</w:t>
            </w:r>
          </w:p>
        </w:tc>
      </w:tr>
      <w:tr>
        <w:tc>
          <w:tcPr>
            <w:tcW w:type="dxa" w:w="2800"/>
            <w:tcBorders>
              <w:top w:val="single" w:color="D4C5A0" w:sz="1"/>
              <w:left w:val="single" w:color="D4C5A0" w:sz="1"/>
              <w:bottom w:val="single" w:color="D4C5A0" w:sz="1"/>
              <w:right w:val="single" w:color="D4C5A0" w:sz="1"/>
            </w:tcBorders>
            <w:shd w:fill="FDF8ED" w:val="clear"/>
            <w:tcMar>
              <w:top w:type="dxa" w:w="50"/>
              <w:left w:type="dxa" w:w="100"/>
              <w:bottom w:type="dxa" w:w="50"/>
              <w:right w:type="dxa" w:w="100"/>
            </w:tcMar>
          </w:tcPr>
          <w:p>
            <w:pPr>
              <w:jc w:val="left"/>
            </w:pPr>
            <w:r>
              <w:rPr>
                <w:rFonts w:ascii="Cormorant Garamond" w:cs="Cormorant Garamond" w:eastAsia="Cormorant Garamond" w:hAnsi="Cormorant Garamond"/>
                <w:b/>
                <w:bCs/>
                <w:color w:val="1A1A2E"/>
                <w:sz w:val="20"/>
                <w:szCs w:val="20"/>
              </w:rPr>
              <w:t xml:space="preserve">HQ (Bank)</w:t>
            </w:r>
          </w:p>
        </w:tc>
        <w:tc>
          <w:tcPr>
            <w:tcW w:type="dxa" w:w="2100"/>
            <w:tcBorders>
              <w:top w:val="single" w:color="D4C5A0" w:sz="1"/>
              <w:left w:val="single" w:color="D4C5A0" w:sz="1"/>
              <w:bottom w:val="single" w:color="D4C5A0" w:sz="1"/>
              <w:right w:val="single" w:color="D4C5A0" w:sz="1"/>
            </w:tcBorders>
            <w:shd w:fill="FDF8ED" w:val="clear"/>
            <w:tcMar>
              <w:top w:type="dxa" w:w="50"/>
              <w:left w:type="dxa" w:w="100"/>
              <w:bottom w:type="dxa" w:w="50"/>
              <w:right w:type="dxa" w:w="100"/>
            </w:tcMar>
          </w:tcPr>
          <w:p>
            <w:pPr>
              <w:jc w:val="center"/>
            </w:pPr>
            <w:r>
              <w:rPr>
                <w:rFonts w:ascii="Cormorant Garamond" w:cs="Cormorant Garamond" w:eastAsia="Cormorant Garamond" w:hAnsi="Cormorant Garamond"/>
                <w:b w:val="false"/>
                <w:bCs w:val="false"/>
                <w:color w:val="1A1A2E"/>
                <w:sz w:val="20"/>
                <w:szCs w:val="20"/>
              </w:rPr>
              <w:t xml:space="preserve">Nashville, TN</w:t>
            </w:r>
          </w:p>
        </w:tc>
        <w:tc>
          <w:tcPr>
            <w:tcW w:type="dxa" w:w="2100"/>
            <w:tcBorders>
              <w:top w:val="single" w:color="D4C5A0" w:sz="1"/>
              <w:left w:val="single" w:color="D4C5A0" w:sz="1"/>
              <w:bottom w:val="single" w:color="D4C5A0" w:sz="1"/>
              <w:right w:val="single" w:color="D4C5A0" w:sz="1"/>
            </w:tcBorders>
            <w:shd w:fill="FDF8ED" w:val="clear"/>
            <w:tcMar>
              <w:top w:type="dxa" w:w="50"/>
              <w:left w:type="dxa" w:w="100"/>
              <w:bottom w:type="dxa" w:w="50"/>
              <w:right w:type="dxa" w:w="100"/>
            </w:tcMar>
          </w:tcPr>
          <w:p>
            <w:pPr>
              <w:jc w:val="center"/>
            </w:pPr>
            <w:r>
              <w:rPr>
                <w:rFonts w:ascii="Cormorant Garamond" w:cs="Cormorant Garamond" w:eastAsia="Cormorant Garamond" w:hAnsi="Cormorant Garamond"/>
                <w:b w:val="false"/>
                <w:bCs w:val="false"/>
                <w:color w:val="1A1A2E"/>
                <w:sz w:val="20"/>
                <w:szCs w:val="20"/>
              </w:rPr>
              <w:t xml:space="preserve">Columbus, GA</w:t>
            </w:r>
          </w:p>
        </w:tc>
        <w:tc>
          <w:tcPr>
            <w:tcW w:type="dxa" w:w="2360"/>
            <w:tcBorders>
              <w:top w:val="single" w:color="D4C5A0" w:sz="1"/>
              <w:left w:val="single" w:color="D4C5A0" w:sz="1"/>
              <w:bottom w:val="single" w:color="D4C5A0" w:sz="1"/>
              <w:right w:val="single" w:color="D4C5A0" w:sz="1"/>
            </w:tcBorders>
            <w:shd w:fill="FDF8ED" w:val="clear"/>
            <w:tcMar>
              <w:top w:type="dxa" w:w="50"/>
              <w:left w:type="dxa" w:w="100"/>
              <w:bottom w:type="dxa" w:w="50"/>
              <w:right w:type="dxa" w:w="100"/>
            </w:tcMar>
          </w:tcPr>
          <w:p>
            <w:pPr>
              <w:jc w:val="center"/>
            </w:pPr>
            <w:r>
              <w:rPr>
                <w:rFonts w:ascii="Cormorant Garamond" w:cs="Cormorant Garamond" w:eastAsia="Cormorant Garamond" w:hAnsi="Cormorant Garamond"/>
                <w:b w:val="false"/>
                <w:bCs w:val="false"/>
                <w:color w:val="1A1A2E"/>
                <w:sz w:val="20"/>
                <w:szCs w:val="20"/>
              </w:rPr>
              <w:t xml:space="preserve">Nashville, TN</w:t>
            </w:r>
          </w:p>
        </w:tc>
      </w:tr>
      <w:tr>
        <w:tc>
          <w:tcPr>
            <w:tcW w:type="dxa" w:w="2800"/>
            <w:tcBorders>
              <w:top w:val="single" w:color="D4C5A0" w:sz="1"/>
              <w:left w:val="single" w:color="D4C5A0" w:sz="1"/>
              <w:bottom w:val="single" w:color="D4C5A0" w:sz="1"/>
              <w:right w:val="single" w:color="D4C5A0" w:sz="1"/>
            </w:tcBorders>
            <w:shd w:fill="FFFFFF" w:val="clear"/>
            <w:tcMar>
              <w:top w:type="dxa" w:w="50"/>
              <w:left w:type="dxa" w:w="100"/>
              <w:bottom w:type="dxa" w:w="50"/>
              <w:right w:type="dxa" w:w="100"/>
            </w:tcMar>
          </w:tcPr>
          <w:p>
            <w:pPr>
              <w:jc w:val="left"/>
            </w:pPr>
            <w:r>
              <w:rPr>
                <w:rFonts w:ascii="Cormorant Garamond" w:cs="Cormorant Garamond" w:eastAsia="Cormorant Garamond" w:hAnsi="Cormorant Garamond"/>
                <w:b/>
                <w:bCs/>
                <w:color w:val="1A1A2E"/>
                <w:sz w:val="20"/>
                <w:szCs w:val="20"/>
              </w:rPr>
              <w:t xml:space="preserve">Regulatory Status</w:t>
            </w:r>
          </w:p>
        </w:tc>
        <w:tc>
          <w:tcPr>
            <w:tcW w:type="dxa" w:w="2100"/>
            <w:tcBorders>
              <w:top w:val="single" w:color="D4C5A0" w:sz="1"/>
              <w:left w:val="single" w:color="D4C5A0" w:sz="1"/>
              <w:bottom w:val="single" w:color="D4C5A0" w:sz="1"/>
              <w:right w:val="single" w:color="D4C5A0" w:sz="1"/>
            </w:tcBorders>
            <w:shd w:fill="FFFFFF" w:val="clear"/>
            <w:tcMar>
              <w:top w:type="dxa" w:w="50"/>
              <w:left w:type="dxa" w:w="100"/>
              <w:bottom w:type="dxa" w:w="50"/>
              <w:right w:type="dxa" w:w="100"/>
            </w:tcMar>
          </w:tcPr>
          <w:p>
            <w:pPr>
              <w:jc w:val="center"/>
            </w:pPr>
            <w:r>
              <w:rPr>
                <w:rFonts w:ascii="Cormorant Garamond" w:cs="Cormorant Garamond" w:eastAsia="Cormorant Garamond" w:hAnsi="Cormorant Garamond"/>
                <w:b w:val="false"/>
                <w:bCs w:val="false"/>
                <w:color w:val="1A1A2E"/>
                <w:sz w:val="20"/>
                <w:szCs w:val="20"/>
              </w:rPr>
              <w:t xml:space="preserve">FDIC State Nonmember</w:t>
            </w:r>
          </w:p>
        </w:tc>
        <w:tc>
          <w:tcPr>
            <w:tcW w:type="dxa" w:w="2100"/>
            <w:tcBorders>
              <w:top w:val="single" w:color="D4C5A0" w:sz="1"/>
              <w:left w:val="single" w:color="D4C5A0" w:sz="1"/>
              <w:bottom w:val="single" w:color="D4C5A0" w:sz="1"/>
              <w:right w:val="single" w:color="D4C5A0" w:sz="1"/>
            </w:tcBorders>
            <w:shd w:fill="FFFFFF" w:val="clear"/>
            <w:tcMar>
              <w:top w:type="dxa" w:w="50"/>
              <w:left w:type="dxa" w:w="100"/>
              <w:bottom w:type="dxa" w:w="50"/>
              <w:right w:type="dxa" w:w="100"/>
            </w:tcMar>
          </w:tcPr>
          <w:p>
            <w:pPr>
              <w:jc w:val="center"/>
            </w:pPr>
            <w:r>
              <w:rPr>
                <w:rFonts w:ascii="Cormorant Garamond" w:cs="Cormorant Garamond" w:eastAsia="Cormorant Garamond" w:hAnsi="Cormorant Garamond"/>
                <w:b w:val="false"/>
                <w:bCs w:val="false"/>
                <w:color w:val="1A1A2E"/>
                <w:sz w:val="20"/>
                <w:szCs w:val="20"/>
              </w:rPr>
              <w:t xml:space="preserve">Fed Member Bank</w:t>
            </w:r>
          </w:p>
        </w:tc>
        <w:tc>
          <w:tcPr>
            <w:tcW w:type="dxa" w:w="2360"/>
            <w:tcBorders>
              <w:top w:val="single" w:color="D4C5A0" w:sz="1"/>
              <w:left w:val="single" w:color="D4C5A0" w:sz="1"/>
              <w:bottom w:val="single" w:color="D4C5A0" w:sz="1"/>
              <w:right w:val="single" w:color="D4C5A0" w:sz="1"/>
            </w:tcBorders>
            <w:shd w:fill="FFFFFF" w:val="clear"/>
            <w:tcMar>
              <w:top w:type="dxa" w:w="50"/>
              <w:left w:type="dxa" w:w="100"/>
              <w:bottom w:type="dxa" w:w="50"/>
              <w:right w:type="dxa" w:w="100"/>
            </w:tcMar>
          </w:tcPr>
          <w:p>
            <w:pPr>
              <w:jc w:val="center"/>
            </w:pPr>
            <w:r>
              <w:rPr>
                <w:rFonts w:ascii="Cormorant Garamond" w:cs="Cormorant Garamond" w:eastAsia="Cormorant Garamond" w:hAnsi="Cormorant Garamond"/>
                <w:b w:val="false"/>
                <w:bCs w:val="false"/>
                <w:color w:val="1A1A2E"/>
                <w:sz w:val="20"/>
                <w:szCs w:val="20"/>
              </w:rPr>
              <w:t xml:space="preserve">Fed Member Bank</w:t>
            </w:r>
          </w:p>
        </w:tc>
      </w:tr>
      <w:tr>
        <w:tc>
          <w:tcPr>
            <w:tcW w:type="dxa" w:w="2800"/>
            <w:tcBorders>
              <w:top w:val="single" w:color="D4C5A0" w:sz="1"/>
              <w:left w:val="single" w:color="D4C5A0" w:sz="1"/>
              <w:bottom w:val="single" w:color="D4C5A0" w:sz="1"/>
              <w:right w:val="single" w:color="D4C5A0" w:sz="1"/>
            </w:tcBorders>
            <w:shd w:fill="FDF8ED" w:val="clear"/>
            <w:tcMar>
              <w:top w:type="dxa" w:w="50"/>
              <w:left w:type="dxa" w:w="100"/>
              <w:bottom w:type="dxa" w:w="50"/>
              <w:right w:type="dxa" w:w="100"/>
            </w:tcMar>
          </w:tcPr>
          <w:p>
            <w:pPr>
              <w:jc w:val="left"/>
            </w:pPr>
            <w:r>
              <w:rPr>
                <w:rFonts w:ascii="Cormorant Garamond" w:cs="Cormorant Garamond" w:eastAsia="Cormorant Garamond" w:hAnsi="Cormorant Garamond"/>
                <w:b/>
                <w:bCs/>
                <w:color w:val="1A1A2E"/>
                <w:sz w:val="20"/>
                <w:szCs w:val="20"/>
              </w:rPr>
              <w:t xml:space="preserve">Ownership Split</w:t>
            </w:r>
          </w:p>
        </w:tc>
        <w:tc>
          <w:tcPr>
            <w:tcW w:type="dxa" w:w="2100"/>
            <w:tcBorders>
              <w:top w:val="single" w:color="D4C5A0" w:sz="1"/>
              <w:left w:val="single" w:color="D4C5A0" w:sz="1"/>
              <w:bottom w:val="single" w:color="D4C5A0" w:sz="1"/>
              <w:right w:val="single" w:color="D4C5A0" w:sz="1"/>
            </w:tcBorders>
            <w:shd w:fill="FDF8ED" w:val="clear"/>
            <w:tcMar>
              <w:top w:type="dxa" w:w="50"/>
              <w:left w:type="dxa" w:w="100"/>
              <w:bottom w:type="dxa" w:w="50"/>
              <w:right w:type="dxa" w:w="100"/>
            </w:tcMar>
          </w:tcPr>
          <w:p>
            <w:pPr>
              <w:jc w:val="center"/>
            </w:pPr>
            <w:r>
              <w:rPr>
                <w:rFonts w:ascii="Cormorant Garamond" w:cs="Cormorant Garamond" w:eastAsia="Cormorant Garamond" w:hAnsi="Cormorant Garamond"/>
                <w:b w:val="false"/>
                <w:bCs w:val="false"/>
                <w:color w:val="1A1A2E"/>
                <w:sz w:val="20"/>
                <w:szCs w:val="20"/>
              </w:rPr>
              <w:t xml:space="preserve">51.5%</w:t>
            </w:r>
          </w:p>
        </w:tc>
        <w:tc>
          <w:tcPr>
            <w:tcW w:type="dxa" w:w="2100"/>
            <w:tcBorders>
              <w:top w:val="single" w:color="D4C5A0" w:sz="1"/>
              <w:left w:val="single" w:color="D4C5A0" w:sz="1"/>
              <w:bottom w:val="single" w:color="D4C5A0" w:sz="1"/>
              <w:right w:val="single" w:color="D4C5A0" w:sz="1"/>
            </w:tcBorders>
            <w:shd w:fill="FDF8ED" w:val="clear"/>
            <w:tcMar>
              <w:top w:type="dxa" w:w="50"/>
              <w:left w:type="dxa" w:w="100"/>
              <w:bottom w:type="dxa" w:w="50"/>
              <w:right w:type="dxa" w:w="100"/>
            </w:tcMar>
          </w:tcPr>
          <w:p>
            <w:pPr>
              <w:jc w:val="center"/>
            </w:pPr>
            <w:r>
              <w:rPr>
                <w:rFonts w:ascii="Cormorant Garamond" w:cs="Cormorant Garamond" w:eastAsia="Cormorant Garamond" w:hAnsi="Cormorant Garamond"/>
                <w:b w:val="false"/>
                <w:bCs w:val="false"/>
                <w:color w:val="1A1A2E"/>
                <w:sz w:val="20"/>
                <w:szCs w:val="20"/>
              </w:rPr>
              <w:t xml:space="preserve">48.5%</w:t>
            </w:r>
          </w:p>
        </w:tc>
        <w:tc>
          <w:tcPr>
            <w:tcW w:type="dxa" w:w="2360"/>
            <w:tcBorders>
              <w:top w:val="single" w:color="D4C5A0" w:sz="1"/>
              <w:left w:val="single" w:color="D4C5A0" w:sz="1"/>
              <w:bottom w:val="single" w:color="D4C5A0" w:sz="1"/>
              <w:right w:val="single" w:color="D4C5A0" w:sz="1"/>
            </w:tcBorders>
            <w:shd w:fill="FDF8ED" w:val="clear"/>
            <w:tcMar>
              <w:top w:type="dxa" w:w="50"/>
              <w:left w:type="dxa" w:w="100"/>
              <w:bottom w:type="dxa" w:w="50"/>
              <w:right w:type="dxa" w:w="100"/>
            </w:tcMar>
          </w:tcPr>
          <w:p>
            <w:pPr>
              <w:jc w:val="center"/>
            </w:pPr>
            <w:r>
              <w:rPr>
                <w:rFonts w:ascii="Cormorant Garamond" w:cs="Cormorant Garamond" w:eastAsia="Cormorant Garamond" w:hAnsi="Cormorant Garamond"/>
                <w:b w:val="false"/>
                <w:bCs w:val="false"/>
                <w:color w:val="1A1A2E"/>
                <w:sz w:val="20"/>
                <w:szCs w:val="20"/>
              </w:rPr>
              <w:t xml:space="preserve">—</w:t>
            </w:r>
          </w:p>
        </w:tc>
      </w:tr>
      <w:tr>
        <w:tc>
          <w:tcPr>
            <w:tcW w:type="dxa" w:w="2800"/>
            <w:tcBorders>
              <w:top w:val="single" w:color="D4C5A0" w:sz="1"/>
              <w:left w:val="single" w:color="D4C5A0" w:sz="1"/>
              <w:bottom w:val="single" w:color="D4C5A0" w:sz="1"/>
              <w:right w:val="single" w:color="D4C5A0" w:sz="1"/>
            </w:tcBorders>
            <w:shd w:fill="FFFFFF" w:val="clear"/>
            <w:tcMar>
              <w:top w:type="dxa" w:w="50"/>
              <w:left w:type="dxa" w:w="100"/>
              <w:bottom w:type="dxa" w:w="50"/>
              <w:right w:type="dxa" w:w="100"/>
            </w:tcMar>
          </w:tcPr>
          <w:p>
            <w:pPr>
              <w:jc w:val="left"/>
            </w:pPr>
            <w:r>
              <w:rPr>
                <w:rFonts w:ascii="Cormorant Garamond" w:cs="Cormorant Garamond" w:eastAsia="Cormorant Garamond" w:hAnsi="Cormorant Garamond"/>
                <w:b/>
                <w:bCs/>
                <w:color w:val="1A1A2E"/>
                <w:sz w:val="20"/>
                <w:szCs w:val="20"/>
              </w:rPr>
              <w:t xml:space="preserve">CEO</w:t>
            </w:r>
          </w:p>
        </w:tc>
        <w:tc>
          <w:tcPr>
            <w:tcW w:type="dxa" w:w="2100"/>
            <w:tcBorders>
              <w:top w:val="single" w:color="D4C5A0" w:sz="1"/>
              <w:left w:val="single" w:color="D4C5A0" w:sz="1"/>
              <w:bottom w:val="single" w:color="D4C5A0" w:sz="1"/>
              <w:right w:val="single" w:color="D4C5A0" w:sz="1"/>
            </w:tcBorders>
            <w:shd w:fill="FFFFFF" w:val="clear"/>
            <w:tcMar>
              <w:top w:type="dxa" w:w="50"/>
              <w:left w:type="dxa" w:w="100"/>
              <w:bottom w:type="dxa" w:w="50"/>
              <w:right w:type="dxa" w:w="100"/>
            </w:tcMar>
          </w:tcPr>
          <w:p>
            <w:pPr>
              <w:jc w:val="center"/>
            </w:pPr>
            <w:r>
              <w:rPr>
                <w:rFonts w:ascii="Cormorant Garamond" w:cs="Cormorant Garamond" w:eastAsia="Cormorant Garamond" w:hAnsi="Cormorant Garamond"/>
                <w:b w:val="false"/>
                <w:bCs w:val="false"/>
                <w:color w:val="1A1A2E"/>
                <w:sz w:val="20"/>
                <w:szCs w:val="20"/>
              </w:rPr>
              <w:t xml:space="preserve">Terry Turner (Chair)</w:t>
            </w:r>
          </w:p>
        </w:tc>
        <w:tc>
          <w:tcPr>
            <w:tcW w:type="dxa" w:w="2100"/>
            <w:tcBorders>
              <w:top w:val="single" w:color="D4C5A0" w:sz="1"/>
              <w:left w:val="single" w:color="D4C5A0" w:sz="1"/>
              <w:bottom w:val="single" w:color="D4C5A0" w:sz="1"/>
              <w:right w:val="single" w:color="D4C5A0" w:sz="1"/>
            </w:tcBorders>
            <w:shd w:fill="FFFFFF" w:val="clear"/>
            <w:tcMar>
              <w:top w:type="dxa" w:w="50"/>
              <w:left w:type="dxa" w:w="100"/>
              <w:bottom w:type="dxa" w:w="50"/>
              <w:right w:type="dxa" w:w="100"/>
            </w:tcMar>
          </w:tcPr>
          <w:p>
            <w:pPr>
              <w:jc w:val="center"/>
            </w:pPr>
            <w:r>
              <w:rPr>
                <w:rFonts w:ascii="Cormorant Garamond" w:cs="Cormorant Garamond" w:eastAsia="Cormorant Garamond" w:hAnsi="Cormorant Garamond"/>
                <w:b w:val="false"/>
                <w:bCs w:val="false"/>
                <w:color w:val="1A1A2E"/>
                <w:sz w:val="20"/>
                <w:szCs w:val="20"/>
              </w:rPr>
              <w:t xml:space="preserve">Kevin Blair (CEO/Pres.)</w:t>
            </w:r>
          </w:p>
        </w:tc>
        <w:tc>
          <w:tcPr>
            <w:tcW w:type="dxa" w:w="2360"/>
            <w:tcBorders>
              <w:top w:val="single" w:color="D4C5A0" w:sz="1"/>
              <w:left w:val="single" w:color="D4C5A0" w:sz="1"/>
              <w:bottom w:val="single" w:color="D4C5A0" w:sz="1"/>
              <w:right w:val="single" w:color="D4C5A0" w:sz="1"/>
            </w:tcBorders>
            <w:shd w:fill="FFFFFF" w:val="clear"/>
            <w:tcMar>
              <w:top w:type="dxa" w:w="50"/>
              <w:left w:type="dxa" w:w="100"/>
              <w:bottom w:type="dxa" w:w="50"/>
              <w:right w:type="dxa" w:w="100"/>
            </w:tcMar>
          </w:tcPr>
          <w:p>
            <w:pPr>
              <w:jc w:val="center"/>
            </w:pPr>
            <w:r>
              <w:rPr>
                <w:rFonts w:ascii="Cormorant Garamond" w:cs="Cormorant Garamond" w:eastAsia="Cormorant Garamond" w:hAnsi="Cormorant Garamond"/>
                <w:b w:val="false"/>
                <w:bCs w:val="false"/>
                <w:color w:val="1A1A2E"/>
                <w:sz w:val="20"/>
                <w:szCs w:val="20"/>
              </w:rPr>
              <w:t xml:space="preserve">Kevin Blair</w:t>
            </w:r>
          </w:p>
        </w:tc>
      </w:tr>
    </w:tbl>
    <w:p>
      <w:pPr>
        <w:sectPr>
          <w:pgSz w:w="12240" w:h="15840" w:orient="portrait"/>
          <w:pgMar w:top="1440" w:right="1440" w:bottom="1440" w:left="1440" w:header="708" w:footer="708" w:gutter="0"/>
          <w:pgNumType/>
          <w:docGrid w:linePitch="360"/>
        </w:sectPr>
      </w:pPr>
    </w:p>
    <w:p>
      <w:pPr>
        <w:spacing w:after="60"/>
      </w:pPr>
      <w:r>
        <w:rPr>
          <w:rFonts w:ascii="Inter" w:cs="Inter" w:eastAsia="Inter" w:hAnsi="Inter"/>
          <w:b/>
          <w:bCs/>
          <w:color w:val="C9A962"/>
          <w:sz w:val="15"/>
          <w:szCs w:val="15"/>
        </w:rPr>
        <w:t xml:space="preserve">SIGNAL ANALYSIS</w:t>
      </w:r>
    </w:p>
    <w:p>
      <w:pPr>
        <w:spacing w:after="200" w:before="360"/>
      </w:pPr>
      <w:r>
        <w:rPr>
          <w:rFonts w:ascii="Playfair Display" w:cs="Playfair Display" w:eastAsia="Playfair Display" w:hAnsi="Playfair Display"/>
          <w:b/>
          <w:bCs/>
          <w:color w:val="0A1628"/>
          <w:sz w:val="30"/>
          <w:szCs w:val="30"/>
        </w:rPr>
        <w:t xml:space="preserve">CRA Assessment Area Consolidation</w:t>
      </w:r>
    </w:p>
    <w:p>
      <w:pPr>
        <w:spacing w:after="160" w:line="300"/>
        <w:jc w:val="left"/>
      </w:pPr>
      <w:r>
        <w:rPr>
          <w:rFonts w:ascii="Cormorant Garamond" w:cs="Cormorant Garamond" w:eastAsia="Cormorant Garamond" w:hAnsi="Cormorant Garamond"/>
          <w:b/>
          <w:bCs/>
          <w:i w:val="false"/>
          <w:iCs w:val="false"/>
          <w:color w:val="1A1A2E"/>
          <w:sz w:val="22"/>
          <w:szCs w:val="22"/>
        </w:rPr>
        <w:t xml:space="preserve">Signal Level: </w:t>
      </w:r>
      <w:r>
        <w:rPr>
          <w:rFonts w:ascii="Cormorant Garamond" w:cs="Cormorant Garamond" w:eastAsia="Cormorant Garamond" w:hAnsi="Cormorant Garamond"/>
          <w:b/>
          <w:bCs/>
          <w:i w:val="false"/>
          <w:iCs w:val="false"/>
          <w:color w:val="92400E"/>
          <w:sz w:val="22"/>
          <w:szCs w:val="22"/>
        </w:rPr>
        <w:t xml:space="preserve">ELEVATED</w:t>
      </w:r>
    </w:p>
    <w:p>
      <w:pPr>
        <w:spacing w:after="60"/>
      </w:pPr>
      <w:r>
        <w:rPr>
          <w:sz w:val="2"/>
          <w:szCs w:val="2"/>
        </w:rPr>
        <w:t xml:space="preserve"/>
      </w:r>
    </w:p>
    <w:p>
      <w:pPr>
        <w:spacing w:after="140" w:before="280"/>
      </w:pPr>
      <w:r>
        <w:rPr>
          <w:rFonts w:ascii="Playfair Display" w:cs="Playfair Display" w:eastAsia="Playfair Display" w:hAnsi="Playfair Display"/>
          <w:b/>
          <w:bCs/>
          <w:color w:val="0A1628"/>
          <w:sz w:val="24"/>
          <w:szCs w:val="24"/>
        </w:rPr>
        <w:t xml:space="preserve">The Pattern</w:t>
      </w:r>
    </w:p>
    <w:p>
      <w:pPr>
        <w:spacing w:after="160" w:line="300"/>
        <w:jc w:val="left"/>
      </w:pPr>
      <w:r>
        <w:rPr>
          <w:rFonts w:ascii="Cormorant Garamond" w:cs="Cormorant Garamond" w:eastAsia="Cormorant Garamond" w:hAnsi="Cormorant Garamond"/>
          <w:b w:val="false"/>
          <w:bCs w:val="false"/>
          <w:i w:val="false"/>
          <w:iCs w:val="false"/>
          <w:color w:val="1A1A2E"/>
          <w:sz w:val="22"/>
          <w:szCs w:val="22"/>
        </w:rPr>
        <w:t xml:space="preserve">Prior to the merger, Synovus maintained 60 CRA assessment areas across Georgia, Alabama, Florida, South Carolina, and Tennessee — one of the most granular CRA footprints of any regional bank in the Southeast. This granularity reflected Synovus’s origin as a multi-bank holding company (formerly operating 35 separate bank charters) with deep community relationships in markets ranging from metropolitan Atlanta to rural South Georgia.</w:t>
      </w:r>
    </w:p>
    <w:p>
      <w:pPr>
        <w:spacing w:after="160" w:line="300"/>
        <w:jc w:val="left"/>
      </w:pPr>
      <w:r>
        <w:rPr>
          <w:rFonts w:ascii="Cormorant Garamond" w:cs="Cormorant Garamond" w:eastAsia="Cormorant Garamond" w:hAnsi="Cormorant Garamond"/>
          <w:b w:val="false"/>
          <w:bCs w:val="false"/>
          <w:i w:val="false"/>
          <w:iCs w:val="false"/>
          <w:color w:val="1A1A2E"/>
          <w:sz w:val="22"/>
          <w:szCs w:val="22"/>
        </w:rPr>
        <w:t xml:space="preserve">Pinnacle’s CRA footprint was concentrated in primarily urban markets across Tennessee, the Carolinas, Virginia, and Alabama. Pinnacle’s 2023 CRA evaluation noted “excellent” performance in community development services and “innovative and flexible lending practices” — but this performance was evaluated against a fundamentally different market composition than what the combined entity now serves.</w:t>
      </w:r>
    </w:p>
    <w:p>
      <w:pPr>
        <w:spacing w:after="160" w:line="300"/>
        <w:jc w:val="left"/>
      </w:pPr>
      <w:r>
        <w:rPr>
          <w:rFonts w:ascii="Cormorant Garamond" w:cs="Cormorant Garamond" w:eastAsia="Cormorant Garamond" w:hAnsi="Cormorant Garamond"/>
          <w:b w:val="false"/>
          <w:bCs w:val="false"/>
          <w:i w:val="false"/>
          <w:iCs w:val="false"/>
          <w:color w:val="1A1A2E"/>
          <w:sz w:val="22"/>
          <w:szCs w:val="22"/>
        </w:rPr>
        <w:t xml:space="preserve">The combined entity inherits both footprints simultaneously. CRA examiners will evaluate the new Pinnacle Bank’s performance across the entire consolidated assessment area map. Markets where Synovus performed strongly but Pinnacle has no operational history — Columbus, Albany, Macon, Valdosta, Brunswick in Georgia; Panama City, Destin in Florida — now require CRA performance from an institution whose culture, lending practices, and community development relationships were built for different markets.</w:t>
      </w:r>
    </w:p>
    <w:p>
      <w:pPr>
        <w:spacing w:after="140" w:before="280"/>
      </w:pPr>
      <w:r>
        <w:rPr>
          <w:rFonts w:ascii="Playfair Display" w:cs="Playfair Display" w:eastAsia="Playfair Display" w:hAnsi="Playfair Display"/>
          <w:b/>
          <w:bCs/>
          <w:color w:val="0A1628"/>
          <w:sz w:val="24"/>
          <w:szCs w:val="24"/>
        </w:rPr>
        <w:t xml:space="preserve">The Cross-Domain Signal</w:t>
      </w:r>
    </w:p>
    <w:p>
      <w:pPr>
        <w:spacing w:after="160" w:line="300"/>
        <w:jc w:val="left"/>
      </w:pPr>
      <w:r>
        <w:rPr>
          <w:rFonts w:ascii="Cormorant Garamond" w:cs="Cormorant Garamond" w:eastAsia="Cormorant Garamond" w:hAnsi="Cormorant Garamond"/>
          <w:b w:val="false"/>
          <w:bCs w:val="false"/>
          <w:i w:val="false"/>
          <w:iCs w:val="false"/>
          <w:color w:val="1A1A2E"/>
          <w:sz w:val="22"/>
          <w:szCs w:val="22"/>
        </w:rPr>
        <w:t xml:space="preserve">This is not simply a compliance concern. It is a governance signal that connects three domains most integration teams treat separately:</w:t>
      </w:r>
    </w:p>
    <w:p>
      <w:pPr>
        <w:spacing w:after="160" w:line="300"/>
        <w:jc w:val="left"/>
      </w:pPr>
      <w:r>
        <w:rPr>
          <w:rFonts w:ascii="Cormorant Garamond" w:cs="Cormorant Garamond" w:eastAsia="Cormorant Garamond" w:hAnsi="Cormorant Garamond"/>
          <w:b/>
          <w:bCs/>
          <w:i w:val="false"/>
          <w:iCs w:val="false"/>
          <w:color w:val="1A1A2E"/>
          <w:sz w:val="22"/>
          <w:szCs w:val="22"/>
        </w:rPr>
        <w:t xml:space="preserve">Regulatory: </w:t>
      </w:r>
      <w:r>
        <w:rPr>
          <w:rFonts w:ascii="Cormorant Garamond" w:cs="Cormorant Garamond" w:eastAsia="Cormorant Garamond" w:hAnsi="Cormorant Garamond"/>
          <w:b w:val="false"/>
          <w:bCs w:val="false"/>
          <w:i w:val="false"/>
          <w:iCs w:val="false"/>
          <w:color w:val="1A1A2E"/>
          <w:sz w:val="22"/>
          <w:szCs w:val="22"/>
        </w:rPr>
        <w:t xml:space="preserve">CRA examiners evaluating a $117B institution apply more rigorous standards than those applied to either $55B or $60B predecessor. The combined entity is now subject to the Large Bank examination framework across all assessment areas — including markets it inherited but has not yet operationally integrated.</w:t>
      </w:r>
    </w:p>
    <w:p>
      <w:pPr>
        <w:spacing w:after="160" w:line="300"/>
        <w:jc w:val="left"/>
      </w:pPr>
      <w:r>
        <w:rPr>
          <w:rFonts w:ascii="Cormorant Garamond" w:cs="Cormorant Garamond" w:eastAsia="Cormorant Garamond" w:hAnsi="Cormorant Garamond"/>
          <w:b/>
          <w:bCs/>
          <w:i w:val="false"/>
          <w:iCs w:val="false"/>
          <w:color w:val="1A1A2E"/>
          <w:sz w:val="22"/>
          <w:szCs w:val="22"/>
        </w:rPr>
        <w:t xml:space="preserve">Operational: </w:t>
      </w:r>
      <w:r>
        <w:rPr>
          <w:rFonts w:ascii="Cormorant Garamond" w:cs="Cormorant Garamond" w:eastAsia="Cormorant Garamond" w:hAnsi="Cormorant Garamond"/>
          <w:b w:val="false"/>
          <w:bCs w:val="false"/>
          <w:i w:val="false"/>
          <w:iCs w:val="false"/>
          <w:color w:val="1A1A2E"/>
          <w:sz w:val="22"/>
          <w:szCs w:val="22"/>
        </w:rPr>
        <w:t xml:space="preserve">Community development lending, investment, and services require local market knowledge, established nonprofit partnerships, and relationship continuity. Synovus’s community development managers in smaller Georgia markets held institutional relationships spanning decades. If those individuals depart during integration, the relationships — and the CRA-qualifying activity they generate — depart with them.</w:t>
      </w:r>
    </w:p>
    <w:p>
      <w:pPr>
        <w:spacing w:after="160" w:line="300"/>
        <w:jc w:val="left"/>
      </w:pPr>
      <w:r>
        <w:rPr>
          <w:rFonts w:ascii="Cormorant Garamond" w:cs="Cormorant Garamond" w:eastAsia="Cormorant Garamond" w:hAnsi="Cormorant Garamond"/>
          <w:b/>
          <w:bCs/>
          <w:i w:val="false"/>
          <w:iCs w:val="false"/>
          <w:color w:val="1A1A2E"/>
          <w:sz w:val="22"/>
          <w:szCs w:val="22"/>
        </w:rPr>
        <w:t xml:space="preserve">Cultural: </w:t>
      </w:r>
      <w:r>
        <w:rPr>
          <w:rFonts w:ascii="Cormorant Garamond" w:cs="Cormorant Garamond" w:eastAsia="Cormorant Garamond" w:hAnsi="Cormorant Garamond"/>
          <w:b w:val="false"/>
          <w:bCs w:val="false"/>
          <w:i w:val="false"/>
          <w:iCs w:val="false"/>
          <w:color w:val="1A1A2E"/>
          <w:sz w:val="22"/>
          <w:szCs w:val="22"/>
        </w:rPr>
        <w:t xml:space="preserve">Pinnacle’s hiring model recruits experienced financial advisors and grants significant autonomy. Synovus’s model embedded community development into local market teams with quarterly scorecards and executive risk committee oversight. These are structurally different approaches to CRA. The combined entity must decide which governance model prevails — and the decision has direct implications for CRA examination outcomes in every assessment area.</w:t>
      </w:r>
    </w:p>
    <w:p>
      <w:pPr>
        <w:spacing w:after="140" w:before="280"/>
      </w:pPr>
      <w:r>
        <w:rPr>
          <w:rFonts w:ascii="Playfair Display" w:cs="Playfair Display" w:eastAsia="Playfair Display" w:hAnsi="Playfair Display"/>
          <w:b/>
          <w:bCs/>
          <w:color w:val="0A1628"/>
          <w:sz w:val="24"/>
          <w:szCs w:val="24"/>
        </w:rPr>
        <w:t xml:space="preserve">Path Forward</w:t>
      </w:r>
    </w:p>
    <w:p>
      <w:pPr>
        <w:spacing w:after="160" w:line="300"/>
        <w:jc w:val="left"/>
      </w:pPr>
      <w:r>
        <w:rPr>
          <w:rFonts w:ascii="Cormorant Garamond" w:cs="Cormorant Garamond" w:eastAsia="Cormorant Garamond" w:hAnsi="Cormorant Garamond"/>
          <w:b w:val="false"/>
          <w:bCs w:val="false"/>
          <w:i w:val="false"/>
          <w:iCs w:val="false"/>
          <w:color w:val="1A1A2E"/>
          <w:sz w:val="22"/>
          <w:szCs w:val="22"/>
        </w:rPr>
        <w:t xml:space="preserve">The conventional approach is to consolidate assessment areas during system conversion in 2027 and allow the combined CRA team to rationalize the map. This approach creates an 18-month exposure window in which the institution’s CRA performance in legacy Synovus markets depends on relationship continuity that integration activity actively threatens.</w:t>
      </w:r>
    </w:p>
    <w:p>
      <w:pPr>
        <w:spacing w:after="160" w:line="300"/>
        <w:jc w:val="left"/>
      </w:pPr>
      <w:r>
        <w:rPr>
          <w:rFonts w:ascii="Cormorant Garamond" w:cs="Cormorant Garamond" w:eastAsia="Cormorant Garamond" w:hAnsi="Cormorant Garamond"/>
          <w:b w:val="false"/>
          <w:bCs w:val="false"/>
          <w:i w:val="false"/>
          <w:iCs w:val="false"/>
          <w:color w:val="1A1A2E"/>
          <w:sz w:val="22"/>
          <w:szCs w:val="22"/>
        </w:rPr>
        <w:t xml:space="preserve">An alternative approach treats CRA assessment area governance as an integration priority rather than a post-conversion cleanup item. This would involve mapping community development relationships by individual relationship holder across all legacy Synovus assessment areas, identifying markets where relationship holder departure would materially affect CRA performance, and establishing continuity protocols — governance mechanisms ensuring community development commitments persist regardless of personnel changes during integration.</w:t>
      </w:r>
    </w:p>
    <w:p>
      <w:pPr>
        <w:spacing w:after="160" w:line="300"/>
        <w:jc w:val="left"/>
      </w:pPr>
      <w:r>
        <w:rPr>
          <w:rFonts w:ascii="Cormorant Garamond" w:cs="Cormorant Garamond" w:eastAsia="Cormorant Garamond" w:hAnsi="Cormorant Garamond"/>
          <w:b w:val="false"/>
          <w:bCs w:val="false"/>
          <w:i w:val="false"/>
          <w:iCs w:val="false"/>
          <w:color w:val="1A1A2E"/>
          <w:sz w:val="22"/>
          <w:szCs w:val="22"/>
        </w:rPr>
        <w:t xml:space="preserve">The difference between these approaches is the difference between reactive compliance and governed stewardship. The first discovers CRA gaps during the next examination cycle. The second prevents them through institutional design.</w:t>
      </w:r>
    </w:p>
    <w:p>
      <w:pPr>
        <w:sectPr>
          <w:pgSz w:w="12240" w:h="15840" w:orient="portrait"/>
          <w:pgMar w:top="1440" w:right="1440" w:bottom="1440" w:left="1440" w:header="708" w:footer="708" w:gutter="0"/>
          <w:pgNumType/>
          <w:docGrid w:linePitch="360"/>
        </w:sectPr>
      </w:pPr>
    </w:p>
    <w:p>
      <w:pPr>
        <w:spacing w:after="200" w:before="360"/>
      </w:pPr>
      <w:r>
        <w:rPr>
          <w:rFonts w:ascii="Playfair Display" w:cs="Playfair Display" w:eastAsia="Playfair Display" w:hAnsi="Playfair Display"/>
          <w:b/>
          <w:bCs/>
          <w:color w:val="0A1628"/>
          <w:sz w:val="30"/>
          <w:szCs w:val="30"/>
        </w:rPr>
        <w:t xml:space="preserve">Relationship Banker Retention</w:t>
      </w:r>
    </w:p>
    <w:p>
      <w:pPr>
        <w:spacing w:after="160" w:line="300"/>
        <w:jc w:val="left"/>
      </w:pPr>
      <w:r>
        <w:rPr>
          <w:rFonts w:ascii="Cormorant Garamond" w:cs="Cormorant Garamond" w:eastAsia="Cormorant Garamond" w:hAnsi="Cormorant Garamond"/>
          <w:b/>
          <w:bCs/>
          <w:i w:val="false"/>
          <w:iCs w:val="false"/>
          <w:color w:val="1A1A2E"/>
          <w:sz w:val="22"/>
          <w:szCs w:val="22"/>
        </w:rPr>
        <w:t xml:space="preserve">Signal Level: </w:t>
      </w:r>
      <w:r>
        <w:rPr>
          <w:rFonts w:ascii="Cormorant Garamond" w:cs="Cormorant Garamond" w:eastAsia="Cormorant Garamond" w:hAnsi="Cormorant Garamond"/>
          <w:b/>
          <w:bCs/>
          <w:i w:val="false"/>
          <w:iCs w:val="false"/>
          <w:color w:val="92400E"/>
          <w:sz w:val="22"/>
          <w:szCs w:val="22"/>
        </w:rPr>
        <w:t xml:space="preserve">ELEVATED</w:t>
      </w:r>
    </w:p>
    <w:p>
      <w:pPr>
        <w:spacing w:after="60"/>
      </w:pPr>
      <w:r>
        <w:rPr>
          <w:sz w:val="2"/>
          <w:szCs w:val="2"/>
        </w:rPr>
        <w:t xml:space="preserve"/>
      </w:r>
    </w:p>
    <w:p>
      <w:pPr>
        <w:spacing w:after="140" w:before="280"/>
      </w:pPr>
      <w:r>
        <w:rPr>
          <w:rFonts w:ascii="Playfair Display" w:cs="Playfair Display" w:eastAsia="Playfair Display" w:hAnsi="Playfair Display"/>
          <w:b/>
          <w:bCs/>
          <w:color w:val="0A1628"/>
          <w:sz w:val="24"/>
          <w:szCs w:val="24"/>
        </w:rPr>
        <w:t xml:space="preserve">The Pattern</w:t>
      </w:r>
    </w:p>
    <w:p>
      <w:pPr>
        <w:spacing w:after="160" w:line="300"/>
        <w:jc w:val="left"/>
      </w:pPr>
      <w:r>
        <w:rPr>
          <w:rFonts w:ascii="Cormorant Garamond" w:cs="Cormorant Garamond" w:eastAsia="Cormorant Garamond" w:hAnsi="Cormorant Garamond"/>
          <w:b w:val="false"/>
          <w:bCs w:val="false"/>
          <w:i w:val="false"/>
          <w:iCs w:val="false"/>
          <w:color w:val="1A1A2E"/>
          <w:sz w:val="22"/>
          <w:szCs w:val="22"/>
        </w:rPr>
        <w:t xml:space="preserve">Both Pinnacle and Synovus built their market positions on relationship-driven banking. Pinnacle’s model explicitly recruits experienced financial advisors averaging 20+ years of industry experience and grants them entrepreneurial autonomy. Synovus won 45 Coalition Greenwich Best Bank Awards in 2025 alongside Pinnacle — a recognition that depends on client-reported service quality delivered by individual bankers.</w:t>
      </w:r>
    </w:p>
    <w:p>
      <w:pPr>
        <w:spacing w:after="160" w:line="300"/>
        <w:jc w:val="left"/>
      </w:pPr>
      <w:r>
        <w:rPr>
          <w:rFonts w:ascii="Cormorant Garamond" w:cs="Cormorant Garamond" w:eastAsia="Cormorant Garamond" w:hAnsi="Cormorant Garamond"/>
          <w:b w:val="false"/>
          <w:bCs w:val="false"/>
          <w:i w:val="false"/>
          <w:iCs w:val="false"/>
          <w:color w:val="1A1A2E"/>
          <w:sz w:val="22"/>
          <w:szCs w:val="22"/>
        </w:rPr>
        <w:t xml:space="preserve">Bank mergers in the Southeast carry specific precedent. The BB&amp;T/SunTrust merger that created Truist in 2019 produced well-documented relationship banker attrition, client disruption, and cultural friction. Investors have characterized the Pinnacle-Synovus transaction against this backdrop — analysts noted “scar tissue” from Truist’s experience. Pinnacle’s leadership has explicitly acknowledged this risk, with CEO Kevin Blair stating the integration team has “made decisions and taken actions to avoid pitfalls.”</w:t>
      </w:r>
    </w:p>
    <w:p>
      <w:pPr>
        <w:spacing w:after="160" w:line="300"/>
        <w:jc w:val="left"/>
      </w:pPr>
      <w:r>
        <w:rPr>
          <w:rFonts w:ascii="Cormorant Garamond" w:cs="Cormorant Garamond" w:eastAsia="Cormorant Garamond" w:hAnsi="Cormorant Garamond"/>
          <w:b w:val="false"/>
          <w:bCs w:val="false"/>
          <w:i w:val="false"/>
          <w:iCs w:val="false"/>
          <w:color w:val="1A1A2E"/>
          <w:sz w:val="22"/>
          <w:szCs w:val="22"/>
        </w:rPr>
        <w:t xml:space="preserve">The 12-14 month conversion timeline — longer than typical by Blair’s own acknowledgment — was designed to provide additional preparation time. However, extended timelines also extend the uncertainty window during which competing institutions actively recruit top advisors from both legacy banks.</w:t>
      </w:r>
    </w:p>
    <w:p>
      <w:pPr>
        <w:spacing w:after="140" w:before="280"/>
      </w:pPr>
      <w:r>
        <w:rPr>
          <w:rFonts w:ascii="Playfair Display" w:cs="Playfair Display" w:eastAsia="Playfair Display" w:hAnsi="Playfair Display"/>
          <w:b/>
          <w:bCs/>
          <w:color w:val="0A1628"/>
          <w:sz w:val="24"/>
          <w:szCs w:val="24"/>
        </w:rPr>
        <w:t xml:space="preserve">The Cross-Domain Signal</w:t>
      </w:r>
    </w:p>
    <w:p>
      <w:pPr>
        <w:spacing w:after="160" w:line="300"/>
        <w:jc w:val="left"/>
      </w:pPr>
      <w:r>
        <w:rPr>
          <w:rFonts w:ascii="Cormorant Garamond" w:cs="Cormorant Garamond" w:eastAsia="Cormorant Garamond" w:hAnsi="Cormorant Garamond"/>
          <w:b w:val="false"/>
          <w:bCs w:val="false"/>
          <w:i w:val="false"/>
          <w:iCs w:val="false"/>
          <w:color w:val="1A1A2E"/>
          <w:sz w:val="22"/>
          <w:szCs w:val="22"/>
        </w:rPr>
        <w:t xml:space="preserve">Relationship banker retention connects directly to CRA performance, client retention, and community development continuity. A departing relationship banker in Columbus, Georgia doesn’t just take clients — they take the community development relationships, the nonprofit partnerships, the local market knowledge, and the institutional memory that CRA performance in that assessment area depends on. The talent signal and the CRA signal are not independent risks. They compound.</w:t>
      </w:r>
    </w:p>
    <w:p>
      <w:pPr>
        <w:spacing w:after="160" w:line="300"/>
        <w:jc w:val="left"/>
      </w:pPr>
      <w:r>
        <w:rPr>
          <w:rFonts w:ascii="Cormorant Garamond" w:cs="Cormorant Garamond" w:eastAsia="Cormorant Garamond" w:hAnsi="Cormorant Garamond"/>
          <w:b w:val="false"/>
          <w:bCs w:val="false"/>
          <w:i w:val="false"/>
          <w:iCs w:val="false"/>
          <w:color w:val="1A1A2E"/>
          <w:sz w:val="22"/>
          <w:szCs w:val="22"/>
        </w:rPr>
        <w:t xml:space="preserve">In overlapping markets — Georgia, Tennessee, Alabama, South Carolina — both legacy banks employed experienced advisors serving similar client profiles. Integration creates internal competition for retained positions. Advisors who perceive they are on the losing side of that competition begin conversations with competitors before the outcome is announced. The institution loses talent not because it made poor retention decisions, but because the uncertainty itself drives departure.</w:t>
      </w:r>
    </w:p>
    <w:p>
      <w:pPr>
        <w:spacing w:after="140" w:before="280"/>
      </w:pPr>
      <w:r>
        <w:rPr>
          <w:rFonts w:ascii="Playfair Display" w:cs="Playfair Display" w:eastAsia="Playfair Display" w:hAnsi="Playfair Display"/>
          <w:b/>
          <w:bCs/>
          <w:color w:val="0A1628"/>
          <w:sz w:val="24"/>
          <w:szCs w:val="24"/>
        </w:rPr>
        <w:t xml:space="preserve">Path Forward</w:t>
      </w:r>
    </w:p>
    <w:p>
      <w:pPr>
        <w:spacing w:after="160" w:line="300"/>
        <w:jc w:val="left"/>
      </w:pPr>
      <w:r>
        <w:rPr>
          <w:rFonts w:ascii="Cormorant Garamond" w:cs="Cormorant Garamond" w:eastAsia="Cormorant Garamond" w:hAnsi="Cormorant Garamond"/>
          <w:b w:val="false"/>
          <w:bCs w:val="false"/>
          <w:i w:val="false"/>
          <w:iCs w:val="false"/>
          <w:color w:val="1A1A2E"/>
          <w:sz w:val="22"/>
          <w:szCs w:val="22"/>
        </w:rPr>
        <w:t xml:space="preserve">Relationship-driven institutions require governance infrastructure that makes relationship continuity institutional rather than individual. When an advisor’s community development relationships, client history, and market knowledge exist only in that advisor’s personal network, the institution’s CRA performance and client retention are hostage to individual employment decisions.</w:t>
      </w:r>
    </w:p>
    <w:p>
      <w:pPr>
        <w:spacing w:after="160" w:line="300"/>
        <w:jc w:val="left"/>
      </w:pPr>
      <w:r>
        <w:rPr>
          <w:rFonts w:ascii="Cormorant Garamond" w:cs="Cormorant Garamond" w:eastAsia="Cormorant Garamond" w:hAnsi="Cormorant Garamond"/>
          <w:b w:val="false"/>
          <w:bCs w:val="false"/>
          <w:i w:val="false"/>
          <w:iCs w:val="false"/>
          <w:color w:val="1A1A2E"/>
          <w:sz w:val="22"/>
          <w:szCs w:val="22"/>
        </w:rPr>
        <w:t xml:space="preserve">Institutions that govern relationships institutionally — through structured client data, documented community development partnerships, and systematic knowledge transfer — maintain performance continuity regardless of individual departures. This is not a technology problem. It is a governance design problem. The question is whether the combined entity’s integration blueprint includes governance infrastructure that makes relationships institutional, or whether it assumes relationships will persist because the people currently holding them continue to show up.</w:t>
      </w:r>
    </w:p>
    <w:p>
      <w:pPr>
        <w:pBdr>
          <w:bottom w:val="single" w:color="C9A962" w:sz="2" w:space="1"/>
        </w:pBdr>
        <w:spacing w:after="200" w:before="200"/>
      </w:pPr>
      <w:r>
        <w:rPr>
          <w:sz w:val="2"/>
          <w:szCs w:val="2"/>
        </w:rPr>
        <w:t xml:space="preserve"/>
      </w:r>
    </w:p>
    <w:p>
      <w:pPr>
        <w:spacing w:after="200" w:before="360"/>
      </w:pPr>
      <w:r>
        <w:rPr>
          <w:rFonts w:ascii="Playfair Display" w:cs="Playfair Display" w:eastAsia="Playfair Display" w:hAnsi="Playfair Display"/>
          <w:b/>
          <w:bCs/>
          <w:color w:val="0A1628"/>
          <w:sz w:val="30"/>
          <w:szCs w:val="30"/>
        </w:rPr>
        <w:t xml:space="preserve">Enhanced Regulatory Threshold</w:t>
      </w:r>
    </w:p>
    <w:p>
      <w:pPr>
        <w:spacing w:after="160" w:line="300"/>
        <w:jc w:val="left"/>
      </w:pPr>
      <w:r>
        <w:rPr>
          <w:rFonts w:ascii="Cormorant Garamond" w:cs="Cormorant Garamond" w:eastAsia="Cormorant Garamond" w:hAnsi="Cormorant Garamond"/>
          <w:b/>
          <w:bCs/>
          <w:i w:val="false"/>
          <w:iCs w:val="false"/>
          <w:color w:val="1A1A2E"/>
          <w:sz w:val="22"/>
          <w:szCs w:val="22"/>
        </w:rPr>
        <w:t xml:space="preserve">Signal Level: </w:t>
      </w:r>
      <w:r>
        <w:rPr>
          <w:rFonts w:ascii="Cormorant Garamond" w:cs="Cormorant Garamond" w:eastAsia="Cormorant Garamond" w:hAnsi="Cormorant Garamond"/>
          <w:b/>
          <w:bCs/>
          <w:i w:val="false"/>
          <w:iCs w:val="false"/>
          <w:color w:val="B45309"/>
          <w:sz w:val="22"/>
          <w:szCs w:val="22"/>
        </w:rPr>
        <w:t xml:space="preserve">WATCH</w:t>
      </w:r>
    </w:p>
    <w:p>
      <w:pPr>
        <w:spacing w:after="60"/>
      </w:pPr>
      <w:r>
        <w:rPr>
          <w:sz w:val="2"/>
          <w:szCs w:val="2"/>
        </w:rPr>
        <w:t xml:space="preserve"/>
      </w:r>
    </w:p>
    <w:p>
      <w:pPr>
        <w:spacing w:after="160" w:line="300"/>
        <w:jc w:val="left"/>
      </w:pPr>
      <w:r>
        <w:rPr>
          <w:rFonts w:ascii="Cormorant Garamond" w:cs="Cormorant Garamond" w:eastAsia="Cormorant Garamond" w:hAnsi="Cormorant Garamond"/>
          <w:b w:val="false"/>
          <w:bCs w:val="false"/>
          <w:i w:val="false"/>
          <w:iCs w:val="false"/>
          <w:color w:val="1A1A2E"/>
          <w:sz w:val="22"/>
          <w:szCs w:val="22"/>
        </w:rPr>
        <w:t xml:space="preserve">At $117.2 billion in combined assets, the new Pinnacle Financial Partners exceeds the $100 billion threshold that triggers Category IV designation under the Federal Reserve’s tailored prudential standards framework. Neither legacy institution independently operated above this threshold.</w:t>
      </w:r>
    </w:p>
    <w:p>
      <w:pPr>
        <w:spacing w:after="160" w:line="300"/>
        <w:jc w:val="left"/>
      </w:pPr>
      <w:r>
        <w:rPr>
          <w:rFonts w:ascii="Cormorant Garamond" w:cs="Cormorant Garamond" w:eastAsia="Cormorant Garamond" w:hAnsi="Cormorant Garamond"/>
          <w:b w:val="false"/>
          <w:bCs w:val="false"/>
          <w:i w:val="false"/>
          <w:iCs w:val="false"/>
          <w:color w:val="1A1A2E"/>
          <w:sz w:val="22"/>
          <w:szCs w:val="22"/>
        </w:rPr>
        <w:t xml:space="preserve">Category IV requirements include company-run stress testing at least annually, standardized liquidity risk management requirements, enhanced risk governance including a dedicated risk committee of the board, and single-counterparty credit limits. These requirements are additive to the integration workload and represent new institutional capabilities that must be built, not inherited from either predecessor.</w:t>
      </w:r>
    </w:p>
    <w:p>
      <w:pPr>
        <w:spacing w:after="160" w:line="300"/>
        <w:jc w:val="left"/>
      </w:pPr>
      <w:r>
        <w:rPr>
          <w:rFonts w:ascii="Cormorant Garamond" w:cs="Cormorant Garamond" w:eastAsia="Cormorant Garamond" w:hAnsi="Cormorant Garamond"/>
          <w:b w:val="false"/>
          <w:bCs w:val="false"/>
          <w:i w:val="false"/>
          <w:iCs w:val="false"/>
          <w:color w:val="1A1A2E"/>
          <w:sz w:val="22"/>
          <w:szCs w:val="22"/>
        </w:rPr>
        <w:t xml:space="preserve">The practical implication is that the combined entity must simultaneously execute a complex system integration, manage dual-brand operations, retain top talent, maintain CRA performance across an expanded footprint, and build new regulatory compliance capabilities — all within the same 12-14 month timeline. Each of these workstreams competes for the same leadership attention and operational bandwidth.</w:t>
      </w:r>
    </w:p>
    <w:p>
      <w:pPr>
        <w:spacing w:after="160" w:line="300"/>
        <w:jc w:val="left"/>
      </w:pPr>
      <w:r>
        <w:rPr>
          <w:rFonts w:ascii="Cormorant Garamond" w:cs="Cormorant Garamond" w:eastAsia="Cormorant Garamond" w:hAnsi="Cormorant Garamond"/>
          <w:b w:val="false"/>
          <w:bCs w:val="false"/>
          <w:i w:val="false"/>
          <w:iCs w:val="false"/>
          <w:color w:val="1A1A2E"/>
          <w:sz w:val="22"/>
          <w:szCs w:val="22"/>
        </w:rPr>
        <w:t xml:space="preserve">The 21% operating earnings accretion projected for 2027 and the 2.6-year tangible book value earn-back assume successful execution across all of these dimensions simultaneously. The market’s initial negative reaction to the merger announcement reflected investor skepticism about precisely this concentration of execution risk.</w:t>
      </w:r>
    </w:p>
    <w:p>
      <w:pPr>
        <w:sectPr>
          <w:pgSz w:w="12240" w:h="15840" w:orient="portrait"/>
          <w:pgMar w:top="1440" w:right="1440" w:bottom="1440" w:left="1440" w:header="708" w:footer="708" w:gutter="0"/>
          <w:pgNumType/>
          <w:docGrid w:linePitch="360"/>
        </w:sectPr>
      </w:pPr>
    </w:p>
    <w:p>
      <w:pPr>
        <w:spacing w:after="200" w:before="360"/>
      </w:pPr>
      <w:r>
        <w:rPr>
          <w:rFonts w:ascii="Playfair Display" w:cs="Playfair Display" w:eastAsia="Playfair Display" w:hAnsi="Playfair Display"/>
          <w:b/>
          <w:bCs/>
          <w:color w:val="0A1628"/>
          <w:sz w:val="30"/>
          <w:szCs w:val="30"/>
        </w:rPr>
        <w:t xml:space="preserve">Community Development Continuity</w:t>
      </w:r>
    </w:p>
    <w:p>
      <w:pPr>
        <w:spacing w:after="160" w:line="300"/>
        <w:jc w:val="left"/>
      </w:pPr>
      <w:r>
        <w:rPr>
          <w:rFonts w:ascii="Cormorant Garamond" w:cs="Cormorant Garamond" w:eastAsia="Cormorant Garamond" w:hAnsi="Cormorant Garamond"/>
          <w:b/>
          <w:bCs/>
          <w:i w:val="false"/>
          <w:iCs w:val="false"/>
          <w:color w:val="1A1A2E"/>
          <w:sz w:val="22"/>
          <w:szCs w:val="22"/>
        </w:rPr>
        <w:t xml:space="preserve">Signal Level: </w:t>
      </w:r>
      <w:r>
        <w:rPr>
          <w:rFonts w:ascii="Cormorant Garamond" w:cs="Cormorant Garamond" w:eastAsia="Cormorant Garamond" w:hAnsi="Cormorant Garamond"/>
          <w:b/>
          <w:bCs/>
          <w:i w:val="false"/>
          <w:iCs w:val="false"/>
          <w:color w:val="B45309"/>
          <w:sz w:val="22"/>
          <w:szCs w:val="22"/>
        </w:rPr>
        <w:t xml:space="preserve">WATCH</w:t>
      </w:r>
    </w:p>
    <w:p>
      <w:pPr>
        <w:spacing w:after="60"/>
      </w:pPr>
      <w:r>
        <w:rPr>
          <w:sz w:val="2"/>
          <w:szCs w:val="2"/>
        </w:rPr>
        <w:t xml:space="preserve"/>
      </w:r>
    </w:p>
    <w:p>
      <w:pPr>
        <w:spacing w:after="160" w:line="300"/>
        <w:jc w:val="left"/>
      </w:pPr>
      <w:r>
        <w:rPr>
          <w:rFonts w:ascii="Cormorant Garamond" w:cs="Cormorant Garamond" w:eastAsia="Cormorant Garamond" w:hAnsi="Cormorant Garamond"/>
          <w:b w:val="false"/>
          <w:bCs w:val="false"/>
          <w:i w:val="false"/>
          <w:iCs w:val="false"/>
          <w:color w:val="1A1A2E"/>
          <w:sz w:val="22"/>
          <w:szCs w:val="22"/>
        </w:rPr>
        <w:t xml:space="preserve">Synovus’s community development footprint was substantial. In 2024 alone, the institution committed $450 million to affordable mortgage programs, originated $253 million in community development loans, funded $210 million in project loans, and invested $223 million in tax credit equity. The bank’s LIHTC activity generated nearly 5,500 affordable housing units. Community development strategy was governed through a dedicated Community Development Department with local-market managers, quarterly scorecards, and reporting lines to the Executive Risk Committee and Board Risk Committee.</w:t>
      </w:r>
    </w:p>
    <w:p>
      <w:pPr>
        <w:spacing w:after="160" w:line="300"/>
        <w:jc w:val="left"/>
      </w:pPr>
      <w:r>
        <w:rPr>
          <w:rFonts w:ascii="Cormorant Garamond" w:cs="Cormorant Garamond" w:eastAsia="Cormorant Garamond" w:hAnsi="Cormorant Garamond"/>
          <w:b w:val="false"/>
          <w:bCs w:val="false"/>
          <w:i w:val="false"/>
          <w:iCs w:val="false"/>
          <w:color w:val="1A1A2E"/>
          <w:sz w:val="22"/>
          <w:szCs w:val="22"/>
        </w:rPr>
        <w:t xml:space="preserve">Pinnacle’s community development profile was concentrated in its urban markets, with strong performance in Tennessee, the Carolinas, and Alabama. The institution invested over $43 million in EQ2 investments benefiting CDFIs and maintained SBA lending programs supporting small businesses.</w:t>
      </w:r>
    </w:p>
    <w:p>
      <w:pPr>
        <w:spacing w:after="160" w:line="300"/>
        <w:jc w:val="left"/>
      </w:pPr>
      <w:r>
        <w:rPr>
          <w:rFonts w:ascii="Cormorant Garamond" w:cs="Cormorant Garamond" w:eastAsia="Cormorant Garamond" w:hAnsi="Cormorant Garamond"/>
          <w:b w:val="false"/>
          <w:bCs w:val="false"/>
          <w:i w:val="false"/>
          <w:iCs w:val="false"/>
          <w:color w:val="1A1A2E"/>
          <w:sz w:val="22"/>
          <w:szCs w:val="22"/>
        </w:rPr>
        <w:t xml:space="preserve">The combined entity has publicly committed to maintaining “significant employment and philanthropic commitments in Columbus, Nashville, Atlanta and across the Southeast.” The operational question is whether commitment translates to governed continuity. Integration cost savings — a core financial justification for any merger — create structural pressure to consolidate community development teams, reduce overlapping nonprofit partnerships, and rationalize investment activity. Without explicit governance protecting community development as an institutional priority rather than a discretionary expense, integration economics will naturally erode the activity levels that both legacy institutions maintained independently.</w:t>
      </w:r>
    </w:p>
    <w:p>
      <w:pPr>
        <w:pBdr>
          <w:bottom w:val="single" w:color="C9A962" w:sz="2" w:space="1"/>
        </w:pBdr>
        <w:spacing w:after="200" w:before="200"/>
      </w:pPr>
      <w:r>
        <w:rPr>
          <w:sz w:val="2"/>
          <w:szCs w:val="2"/>
        </w:rPr>
        <w:t xml:space="preserve"/>
      </w:r>
    </w:p>
    <w:p>
      <w:pPr>
        <w:spacing w:after="60"/>
      </w:pPr>
      <w:r>
        <w:rPr>
          <w:rFonts w:ascii="Inter" w:cs="Inter" w:eastAsia="Inter" w:hAnsi="Inter"/>
          <w:b/>
          <w:bCs/>
          <w:color w:val="C9A962"/>
          <w:sz w:val="15"/>
          <w:szCs w:val="15"/>
        </w:rPr>
        <w:t xml:space="preserve">MERIDIAN SIGNAL</w:t>
      </w:r>
    </w:p>
    <w:p>
      <w:pPr>
        <w:spacing w:after="200" w:before="360"/>
      </w:pPr>
      <w:r>
        <w:rPr>
          <w:rFonts w:ascii="Playfair Display" w:cs="Playfair Display" w:eastAsia="Playfair Display" w:hAnsi="Playfair Display"/>
          <w:b/>
          <w:bCs/>
          <w:color w:val="0A1628"/>
          <w:sz w:val="30"/>
          <w:szCs w:val="30"/>
        </w:rPr>
        <w:t xml:space="preserve">The Institutional Observation</w:t>
      </w:r>
    </w:p>
    <w:p>
      <w:pPr>
        <w:spacing w:after="60"/>
      </w:pPr>
      <w:r>
        <w:rPr>
          <w:sz w:val="2"/>
          <w:szCs w:val="2"/>
        </w:rPr>
        <w:t xml:space="preserve"/>
      </w:r>
    </w:p>
    <w:p>
      <w:pPr>
        <w:spacing w:after="160" w:line="300"/>
        <w:jc w:val="left"/>
      </w:pPr>
      <w:r>
        <w:rPr>
          <w:rFonts w:ascii="Cormorant Garamond" w:cs="Cormorant Garamond" w:eastAsia="Cormorant Garamond" w:hAnsi="Cormorant Garamond"/>
          <w:b w:val="false"/>
          <w:bCs w:val="false"/>
          <w:i w:val="false"/>
          <w:iCs w:val="false"/>
          <w:color w:val="1A1A2E"/>
          <w:sz w:val="22"/>
          <w:szCs w:val="22"/>
        </w:rPr>
        <w:t xml:space="preserve">The patterns described in this brief are not independent risks. They are dimensions of a single governance challenge that emerges from the interaction of regulatory, operational, cultural, and community dynamics during institutional transformation.</w:t>
      </w:r>
    </w:p>
    <w:p>
      <w:pPr>
        <w:spacing w:after="160" w:line="300"/>
        <w:jc w:val="left"/>
      </w:pPr>
      <w:r>
        <w:rPr>
          <w:rFonts w:ascii="Cormorant Garamond" w:cs="Cormorant Garamond" w:eastAsia="Cormorant Garamond" w:hAnsi="Cormorant Garamond"/>
          <w:b w:val="false"/>
          <w:bCs w:val="false"/>
          <w:i w:val="false"/>
          <w:iCs w:val="false"/>
          <w:color w:val="1A1A2E"/>
          <w:sz w:val="22"/>
          <w:szCs w:val="22"/>
        </w:rPr>
        <w:t xml:space="preserve">CRA assessment area consolidation, relationship banker retention, enhanced regulatory thresholds, and community development continuity are conventionally managed by separate functional teams operating within separate reporting structures. The CRA team manages compliance. The HR team manages retention. The risk team manages regulatory requirements. The community development team manages investment activity. Each team optimizes within its domain.</w:t>
      </w:r>
    </w:p>
    <w:p>
      <w:pPr>
        <w:spacing w:after="160" w:line="300"/>
        <w:jc w:val="left"/>
      </w:pPr>
      <w:r>
        <w:rPr>
          <w:rFonts w:ascii="Cormorant Garamond" w:cs="Cormorant Garamond" w:eastAsia="Cormorant Garamond" w:hAnsi="Cormorant Garamond"/>
          <w:b w:val="false"/>
          <w:bCs w:val="false"/>
          <w:i w:val="false"/>
          <w:iCs w:val="false"/>
          <w:color w:val="1A1A2E"/>
          <w:sz w:val="22"/>
          <w:szCs w:val="22"/>
        </w:rPr>
        <w:t xml:space="preserve">What no single team observes is the cross-domain pattern: the relationship banker whose departure simultaneously affects CRA performance, client retention, community development continuity, and the institution’s ability to demonstrate the local market knowledge that regulators evaluate under enhanced examination standards. The talent departure is one event. Its impact spans four domains. And the governance infrastructure needed to detect, prevent, and respond to that cross-domain impact does not exist in conventional institutional design.</w:t>
      </w:r>
    </w:p>
    <w:p>
      <w:pPr>
        <w:spacing w:after="160" w:line="300"/>
        <w:jc w:val="left"/>
      </w:pPr>
      <w:r>
        <w:rPr>
          <w:rFonts w:ascii="Cormorant Garamond" w:cs="Cormorant Garamond" w:eastAsia="Cormorant Garamond" w:hAnsi="Cormorant Garamond"/>
          <w:b w:val="false"/>
          <w:bCs w:val="false"/>
          <w:i/>
          <w:iCs/>
          <w:color w:val="1A1A2E"/>
          <w:sz w:val="22"/>
          <w:szCs w:val="22"/>
        </w:rPr>
        <w:t xml:space="preserve">The institution that governs these dimensions as an integrated system — rather than managing them as parallel workstreams — maintains coherence during transformation. The institution that treats them separately discovers the connections during its next examination cycle, when the findings arrive as regulatory observations rather than institutional intelligence.</w:t>
      </w:r>
    </w:p>
    <w:p>
      <w:pPr>
        <w:spacing w:after="100"/>
      </w:pPr>
      <w:r>
        <w:rPr>
          <w:sz w:val="2"/>
          <w:szCs w:val="2"/>
        </w:rPr>
        <w:t xml:space="preserve"/>
      </w:r>
    </w:p>
    <w:p>
      <w:pPr>
        <w:spacing w:after="160" w:line="300"/>
        <w:jc w:val="left"/>
      </w:pPr>
      <w:r>
        <w:rPr>
          <w:rFonts w:ascii="Cormorant Garamond" w:cs="Cormorant Garamond" w:eastAsia="Cormorant Garamond" w:hAnsi="Cormorant Garamond"/>
          <w:b w:val="false"/>
          <w:bCs w:val="false"/>
          <w:i w:val="false"/>
          <w:iCs w:val="false"/>
          <w:color w:val="1A1A2E"/>
          <w:sz w:val="22"/>
          <w:szCs w:val="22"/>
        </w:rPr>
        <w:t xml:space="preserve">The question for the combined Pinnacle Financial Partners is not whether the integration will succeed operationally. The leadership team has demonstrated awareness of the execution risks and has taken deliberate steps to address them. The question is whether the institution’s governance architecture is designed to detect cross-domain patterns during the transformation — or whether it will discover those patterns after they have already affected performance.</w:t>
      </w:r>
    </w:p>
    <w:p>
      <w:pPr>
        <w:spacing w:after="160" w:line="300"/>
        <w:jc w:val="left"/>
      </w:pPr>
      <w:r>
        <w:rPr>
          <w:rFonts w:ascii="Cormorant Garamond" w:cs="Cormorant Garamond" w:eastAsia="Cormorant Garamond" w:hAnsi="Cormorant Garamond"/>
          <w:b w:val="false"/>
          <w:bCs w:val="false"/>
          <w:i w:val="false"/>
          <w:iCs w:val="false"/>
          <w:color w:val="1A1A2E"/>
          <w:sz w:val="22"/>
          <w:szCs w:val="22"/>
        </w:rPr>
        <w:t xml:space="preserve">Sixty days is early. The signals described here are anticipatory, not diagnostic. They represent trajectories that governance can redirect if observed in time. That is the purpose of institutional intelligence: to illuminate what is approaching so the institution can position itself before arrival.</w:t>
      </w:r>
    </w:p>
    <w:p>
      <w:pPr>
        <w:pBdr>
          <w:bottom w:val="single" w:color="C9A962" w:sz="2" w:space="1"/>
        </w:pBdr>
        <w:spacing w:after="200" w:before="200"/>
      </w:pPr>
      <w:r>
        <w:rPr>
          <w:sz w:val="2"/>
          <w:szCs w:val="2"/>
        </w:rPr>
        <w:t xml:space="preserve"/>
      </w:r>
    </w:p>
    <w:p>
      <w:pPr>
        <w:spacing w:after="200"/>
      </w:pPr>
      <w:r>
        <w:rPr>
          <w:sz w:val="2"/>
          <w:szCs w:val="2"/>
        </w:rPr>
        <w:t xml:space="preserve"/>
      </w:r>
    </w:p>
    <w:p>
      <w:pPr>
        <w:pBdr>
          <w:top w:val="single" w:color="C9A962" w:sz="2" w:space="8"/>
          <w:bottom w:val="single" w:color="C9A962" w:sz="2" w:space="8"/>
        </w:pBdr>
        <w:jc w:val="center"/>
      </w:pPr>
      <w:r>
        <w:rPr>
          <w:rFonts w:ascii="Inter" w:cs="Inter" w:eastAsia="Inter" w:hAnsi="Inter"/>
          <w:color w:val="C9A962"/>
          <w:sz w:val="16"/>
          <w:szCs w:val="16"/>
        </w:rPr>
        <w:t xml:space="preserve">Meridian Continental • Q1 2026</w:t>
      </w:r>
    </w:p>
    <w:p>
      <w:pPr>
        <w:spacing w:after="100"/>
      </w:pPr>
      <w:r>
        <w:rPr>
          <w:sz w:val="2"/>
          <w:szCs w:val="2"/>
        </w:rPr>
        <w:t xml:space="preserve"/>
      </w:r>
    </w:p>
    <w:p>
      <w:pPr>
        <w:spacing w:after="40"/>
        <w:jc w:val="center"/>
      </w:pPr>
      <w:r>
        <w:rPr>
          <w:rFonts w:ascii="Inter" w:cs="Inter" w:eastAsia="Inter" w:hAnsi="Inter"/>
          <w:color w:val="4A4A5A"/>
          <w:sz w:val="16"/>
          <w:szCs w:val="16"/>
        </w:rPr>
        <w:t xml:space="preserve">Meridia Holdings LLC</w:t>
      </w:r>
    </w:p>
    <w:p>
      <w:pPr>
        <w:spacing w:after="40"/>
        <w:jc w:val="center"/>
      </w:pPr>
      <w:r>
        <w:rPr>
          <w:rFonts w:ascii="Cormorant Garamond" w:cs="Cormorant Garamond" w:eastAsia="Cormorant Garamond" w:hAnsi="Cormorant Garamond"/>
          <w:i/>
          <w:iCs/>
          <w:color w:val="4A4A5A"/>
          <w:sz w:val="20"/>
          <w:szCs w:val="20"/>
        </w:rPr>
        <w:t xml:space="preserve">Governance as a Service</w:t>
      </w:r>
    </w:p>
    <w:p>
      <w:pPr>
        <w:spacing w:after="40"/>
        <w:jc w:val="center"/>
      </w:pPr>
      <w:r>
        <w:rPr>
          <w:rFonts w:ascii="Inter" w:cs="Inter" w:eastAsia="Inter" w:hAnsi="Inter"/>
          <w:color w:val="4A4A5A"/>
          <w:sz w:val="14"/>
          <w:szCs w:val="14"/>
        </w:rPr>
        <w:t xml:space="preserve">This document contains institutional analysis derived from publicly available information.</w:t>
      </w:r>
    </w:p>
    <w:p>
      <w:pPr>
        <w:jc w:val="center"/>
      </w:pPr>
      <w:r>
        <w:rPr>
          <w:rFonts w:ascii="Inter" w:cs="Inter" w:eastAsia="Inter" w:hAnsi="Inter"/>
          <w:color w:val="4A4A5A"/>
          <w:sz w:val="14"/>
          <w:szCs w:val="14"/>
        </w:rPr>
        <w:t xml:space="preserve">It does not constitute investment advice, regulatory guidance, or an offer of services.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cs="Cormorant Garamond" w:eastAsia="Cormorant Garamond" w:hAnsi="Cormorant 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Playfair Display" w:cs="Playfair Display" w:eastAsia="Playfair Display" w:hAnsi="Playfair Display"/>
      <w:b/>
      <w:bCs/>
      <w:color w:val="0A1628"/>
      <w:sz w:val="30"/>
      <w:szCs w:val="30"/>
    </w:rPr>
  </w:style>
  <w:style w:type="paragraph" w:styleId="Heading2">
    <w:name w:val="Heading 2"/>
    <w:basedOn w:val="Normal"/>
    <w:next w:val="Normal"/>
    <w:qFormat/>
    <w:pPr>
      <w:spacing w:after="140" w:before="280"/>
      <w:outlineLvl w:val="1"/>
    </w:pPr>
    <w:rPr>
      <w:rFonts w:ascii="Playfair Display" w:cs="Playfair Display" w:eastAsia="Playfair Display" w:hAnsi="Playfair Display"/>
      <w:b/>
      <w:bCs/>
      <w:color w:val="0A16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2026-03-05T22:08:03.363Z</dcterms:created>
  <dcterms:modified xsi:type="dcterms:W3CDTF">2026-03-05T22:08:03.364Z</dcterms:modified>
</cp:coreProperties>
</file>

<file path=docProps/custom.xml><?xml version="1.0" encoding="utf-8"?>
<Properties xmlns="http://schemas.openxmlformats.org/officeDocument/2006/custom-properties" xmlns:vt="http://schemas.openxmlformats.org/officeDocument/2006/docPropsVTypes"/>
</file>