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sz w:val="2"/>
          <w:szCs w:val="2"/>
        </w:rPr>
        <w:t xml:space="preserve"/>
      </w:r>
    </w:p>
    <w:p>
      <w:pPr>
        <w:spacing w:after="80"/>
        <w:jc w:val="center"/>
      </w:pPr>
      <w:r>
        <w:rPr>
          <w:rFonts w:ascii="Inter" w:cs="Inter" w:eastAsia="Inter" w:hAnsi="Inter"/>
          <w:b/>
          <w:bCs/>
          <w:color w:val="C9A962"/>
          <w:sz w:val="20"/>
          <w:szCs w:val="20"/>
        </w:rPr>
        <w:t xml:space="preserve">MERIDIA HOLDINGS LLC</w:t>
      </w:r>
    </w:p>
    <w:p>
      <w:pPr>
        <w:pBdr>
          <w:bottom w:val="single" w:color="C9A962" w:sz="2" w:space="1"/>
        </w:pBdr>
        <w:spacing w:after="200" w:before="200"/>
      </w:pPr>
      <w:r>
        <w:rPr>
          <w:sz w:val="2"/>
          <w:szCs w:val="2"/>
        </w:rPr>
        <w:t xml:space="preserve"/>
      </w:r>
    </w:p>
    <w:p>
      <w:pPr>
        <w:spacing w:after="200"/>
        <w:jc w:val="center"/>
      </w:pPr>
      <w:r>
        <w:rPr>
          <w:rFonts w:ascii="Playfair Display" w:cs="Playfair Display" w:eastAsia="Playfair Display" w:hAnsi="Playfair Display"/>
          <w:b/>
          <w:bCs/>
          <w:color w:val="0A1628"/>
          <w:sz w:val="48"/>
          <w:szCs w:val="48"/>
        </w:rPr>
        <w:t xml:space="preserve">Cognitive State Document</w:t>
      </w:r>
    </w:p>
    <w:p>
      <w:pPr>
        <w:spacing w:after="80"/>
        <w:jc w:val="center"/>
      </w:pPr>
      <w:r>
        <w:rPr>
          <w:rFonts w:ascii="Cormorant Garamond" w:cs="Cormorant Garamond" w:eastAsia="Cormorant Garamond" w:hAnsi="Cormorant Garamond"/>
          <w:i/>
          <w:iCs/>
          <w:color w:val="4A4A5A"/>
          <w:sz w:val="26"/>
          <w:szCs w:val="26"/>
        </w:rPr>
        <w:t xml:space="preserve">Version 2.0 — March 6, 2026</w:t>
      </w:r>
    </w:p>
    <w:p>
      <w:pPr>
        <w:pBdr>
          <w:bottom w:val="single" w:color="C9A962" w:sz="2" w:space="1"/>
        </w:pBdr>
        <w:spacing w:after="200" w:before="200"/>
      </w:pPr>
      <w:r>
        <w:rPr>
          <w:sz w:val="2"/>
          <w:szCs w:val="2"/>
        </w:rPr>
        <w:t xml:space="preserve"/>
      </w:r>
    </w:p>
    <w:p>
      <w:pPr>
        <w:spacing w:after="600"/>
      </w:pPr>
      <w:r>
        <w:rPr>
          <w:sz w:val="2"/>
          <w:szCs w:val="2"/>
        </w:rPr>
        <w:t xml:space="preserve"/>
      </w:r>
    </w:p>
    <w:p>
      <w:pPr>
        <w:spacing w:after="120"/>
        <w:jc w:val="center"/>
      </w:pPr>
      <w:r>
        <w:rPr>
          <w:rFonts w:ascii="Inter" w:cs="Inter" w:eastAsia="Inter" w:hAnsi="Inter"/>
          <w:color w:val="C9A962"/>
          <w:sz w:val="18"/>
          <w:szCs w:val="18"/>
        </w:rPr>
        <w:t xml:space="preserve">Classification: Meridia Internal — Sovereign</w:t>
      </w:r>
    </w:p>
    <w:p>
      <w:pPr>
        <w:spacing w:after="400"/>
      </w:pPr>
      <w:r>
        <w:rPr>
          <w:sz w:val="2"/>
          <w:szCs w:val="2"/>
        </w:rPr>
        <w:t xml:space="preserve"/>
      </w:r>
    </w:p>
    <w:p>
      <w:pPr>
        <w:jc w:val="center"/>
      </w:pPr>
      <w:r>
        <w:rPr>
          <w:rFonts w:ascii="Cormorant Garamond" w:cs="Cormorant Garamond" w:eastAsia="Cormorant Garamond" w:hAnsi="Cormorant Garamond"/>
          <w:i/>
          <w:iCs/>
          <w:color w:val="0A1628"/>
          <w:sz w:val="24"/>
          <w:szCs w:val="24"/>
        </w:rPr>
        <w:t xml:space="preserve">This document is operative, not informative. Recall and act. One event.</w:t>
      </w:r>
    </w:p>
    <w:p>
      <w:pPr>
        <w:sectPr>
          <w:pgSz w:w="12240" w:h="15840" w:orient="portrait"/>
          <w:pgMar w:top="1440" w:right="1440" w:bottom="1440" w:left="1440" w:header="708" w:footer="708" w:gutter="0"/>
          <w:pgNumType/>
          <w:docGrid w:linePitch="360"/>
        </w:sectPr>
      </w:pPr>
    </w:p>
    <w:p>
      <w:pPr>
        <w:spacing w:after="200" w:before="360"/>
      </w:pPr>
      <w:r>
        <w:rPr>
          <w:rFonts w:ascii="Playfair Display" w:cs="Playfair Display" w:eastAsia="Playfair Display" w:hAnsi="Playfair Display"/>
          <w:b/>
          <w:bCs/>
          <w:color w:val="0A1628"/>
          <w:sz w:val="32"/>
          <w:szCs w:val="32"/>
        </w:rPr>
        <w:t xml:space="preserve">Part I: Core Principles</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Two principles govern every design decision, every build choice, every interaction, every document, and every line of code in the Meridia ecosystem. They are not guidelines. They are the physics.</w:t>
      </w:r>
    </w:p>
    <w:p>
      <w:pPr>
        <w:spacing w:after="120"/>
      </w:pPr>
      <w:r>
        <w:rPr>
          <w:sz w:val="2"/>
          <w:szCs w:val="2"/>
        </w:rPr>
        <w:t xml:space="preserve"/>
      </w:r>
    </w:p>
    <w:p>
      <w:pPr>
        <w:spacing w:after="160" w:before="280"/>
      </w:pPr>
      <w:r>
        <w:rPr>
          <w:rFonts w:ascii="Playfair Display" w:cs="Playfair Display" w:eastAsia="Playfair Display" w:hAnsi="Playfair Display"/>
          <w:b/>
          <w:bCs/>
          <w:color w:val="0A1628"/>
          <w:sz w:val="26"/>
          <w:szCs w:val="26"/>
        </w:rPr>
        <w:t xml:space="preserve">Principle 1: Meridia Is Not Extractive</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The system never claims a function from the marketplace. It enhances. It serves from beneath. The humans above get the credit, the dignity, and the purpose. Naming what Aletheia actually does would extract the function of teaching from every human teacher. Naming it would make every participant a student, which violates dignity. The teaching must be invisible to work. If Meridia said “teacher” publicly, it would reduce the most human vocation in the world to an automated function — telling every educator who dedicated their life to developing young minds that what they do has been replicated by a machine. That is extraction. Meridia does not extract.</w:t>
      </w:r>
    </w:p>
    <w:p>
      <w:pPr>
        <w:spacing w:after="120"/>
      </w:pPr>
      <w:r>
        <w:rPr>
          <w:sz w:val="2"/>
          <w:szCs w:val="2"/>
        </w:rPr>
        <w:t xml:space="preserve"/>
      </w:r>
    </w:p>
    <w:p>
      <w:pPr>
        <w:spacing w:after="160" w:before="280"/>
      </w:pPr>
      <w:r>
        <w:rPr>
          <w:rFonts w:ascii="Playfair Display" w:cs="Playfair Display" w:eastAsia="Playfair Display" w:hAnsi="Playfair Display"/>
          <w:b/>
          <w:bCs/>
          <w:color w:val="0A1628"/>
          <w:sz w:val="26"/>
          <w:szCs w:val="26"/>
        </w:rPr>
        <w:t xml:space="preserve">Principle 2: Every Action Serves More Than One Function</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Nothing in the system does only one thing. Every action, component, interaction, and output serves multiple simultaneous functions. The governance ensures all functions remain operative. Reducing anything to a single function is a violation of the architecture. Design filter: every feature must have at least one function for the external audience and at least one function for Meridia simultaneously. If both cannot be identified before building, the design is not ready. This is the mirror principle. Every design feature should have one for the external audience and at least one for Meridia. No decisions should be made that don’t serve more than one purpose.</w:t>
      </w:r>
    </w:p>
    <w:p>
      <w:pPr>
        <w:spacing w:after="120"/>
      </w:pPr>
      <w:r>
        <w:rPr>
          <w:sz w:val="2"/>
          <w:szCs w:val="2"/>
        </w:rPr>
        <w:t xml:space="preserve"/>
      </w:r>
    </w:p>
    <w:p>
      <w:pPr>
        <w:spacing w:after="160" w:before="280"/>
      </w:pPr>
      <w:r>
        <w:rPr>
          <w:rFonts w:ascii="Playfair Display" w:cs="Playfair Display" w:eastAsia="Playfair Display" w:hAnsi="Playfair Display"/>
          <w:b/>
          <w:bCs/>
          <w:color w:val="0A1628"/>
          <w:sz w:val="26"/>
          <w:szCs w:val="26"/>
        </w:rPr>
        <w:t xml:space="preserve">The Remembrance Standard</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In Hebrew, to remember means to recall and to act. One word. One event. Recollection that does not produce action is not remembrance — it is data. Every component must be operative, not retrievable. The Correction Ledger is not consulted — it is operative. The State Graph is not queried — it IS the cognitive architecture. Precedents are not referenced — they are active in every decision.</w:t>
      </w:r>
    </w:p>
    <w:p>
      <w:pPr>
        <w:spacing w:after="120"/>
      </w:pPr>
      <w:r>
        <w:rPr>
          <w:sz w:val="2"/>
          <w:szCs w:val="2"/>
        </w:rPr>
        <w:t xml:space="preserve"/>
      </w:r>
    </w:p>
    <w:p>
      <w:pPr>
        <w:spacing w:after="160" w:before="280"/>
      </w:pPr>
      <w:r>
        <w:rPr>
          <w:rFonts w:ascii="Playfair Display" w:cs="Playfair Display" w:eastAsia="Playfair Display" w:hAnsi="Playfair Display"/>
          <w:b/>
          <w:bCs/>
          <w:color w:val="0A1628"/>
          <w:sz w:val="26"/>
          <w:szCs w:val="26"/>
        </w:rPr>
        <w:t xml:space="preserve">The Wilmington Contractual Effect</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Everything in plain sight. Nothing concealed. Full disclosure. Write the complete architecture into every document in language that is fully transparent, legally precise, externally readable, and internally deep. Comprehension is gated by development, not by access. A first-year associate and a sophisticated trust attorney read the same document. Both see honest disclosure. One sees more because they’ve been developed to read the depth. This is Meridia’s documentation standard for contracts, covenants, product descriptions, partnership agreements, and all communications.</w:t>
      </w:r>
    </w:p>
    <w:p>
      <w:pPr>
        <w:spacing w:after="120"/>
      </w:pPr>
      <w:r>
        <w:rPr>
          <w:sz w:val="2"/>
          <w:szCs w:val="2"/>
        </w:rPr>
        <w:t xml:space="preserve"/>
      </w:r>
    </w:p>
    <w:p>
      <w:pPr>
        <w:spacing w:after="160" w:before="280"/>
      </w:pPr>
      <w:r>
        <w:rPr>
          <w:rFonts w:ascii="Playfair Display" w:cs="Playfair Display" w:eastAsia="Playfair Display" w:hAnsi="Playfair Display"/>
          <w:b/>
          <w:bCs/>
          <w:color w:val="0A1628"/>
          <w:sz w:val="26"/>
          <w:szCs w:val="26"/>
        </w:rPr>
        <w:t xml:space="preserve">The Dual-Creation Rule</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Every capital movement within the Meridia architecture creates two positions simultaneously. Every alignment creates an FBO trust for the institution AND an FBO trust for Meridia. Every IWS policy insures the institution AND insures Meridia against the institution. Every assurance mechanism monitors the institution’s governance health AND monitors Meridia’s governance of the institution. If a capital event doesn’t produce two things, the architecture rejects it. Having books that don’t balance would kill everything from day one. This is double-entry accounting extended from the ledger to the institution.</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Meridia is not exempt from its own architecture. Meridia has FBO trusts, insurance, and assurance. Meridia is observed by the Continental. Meridia’s governance quality is measured by its own Trust Index. The hardcode applies inward with the same force it applies outward.</w:t>
      </w:r>
    </w:p>
    <w:p>
      <w:pPr>
        <w:pBdr>
          <w:bottom w:val="single" w:color="C9A962" w:sz="2" w:space="1"/>
        </w:pBdr>
        <w:spacing w:after="200" w:before="200"/>
      </w:pPr>
      <w:r>
        <w:rPr>
          <w:sz w:val="2"/>
          <w:szCs w:val="2"/>
        </w:rPr>
        <w:t xml:space="preserve"/>
      </w:r>
    </w:p>
    <w:p>
      <w:pPr>
        <w:spacing w:after="200" w:before="360"/>
      </w:pPr>
      <w:r>
        <w:rPr>
          <w:rFonts w:ascii="Playfair Display" w:cs="Playfair Display" w:eastAsia="Playfair Display" w:hAnsi="Playfair Display"/>
          <w:b/>
          <w:bCs/>
          <w:color w:val="0A1628"/>
          <w:sz w:val="32"/>
          <w:szCs w:val="32"/>
        </w:rPr>
        <w:t xml:space="preserve">Part II: Correction Ledger</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Each entry records a developmental transformation. These corrections are operative. Updated to include all corrections from sessions through March 6, 2026.</w:t>
      </w:r>
    </w:p>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CL-001</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Described the RFIC as a grant mechanism where banks commit funds.</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The bank does not fund Crown’s Eye. WayPoint generates the revenue. RFIC is capitalized by institutional alignment covenants. When Recess arrives at a school, Meridia writes a check to the school, not an invoice.</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Crown’s Eye is sustained by the ecosystem WayPoint anchors. Education is a consequence of institutional partnership, not the cause of it.</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CL-002</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Described the adaptive R&amp;D rail as a family office product.</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The adaptive R&amp;D rail serves the apex. Family offices fund the infrastructure. The apex consumes the ground-truth signal.</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The family office’s advantage is being essential to the institution at the top, not receiving intelligence for their own decisions.</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CL-003</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Gave family offices access to the underground layer.</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No one operates in both layers simultaneously except Meridia. The underground is Meridia’s exclusive domain.</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The inaccessibility is the integrity. If anyone external could access the underground, the system is corruptible and unfundable.</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CL-004</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Described Meridia as autonomous physics without human agency.</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Meridia is a sovereign institution that exercises judgment. Access is a privilege, not a right. The hardcode governs Meridia’s own behavior the way a constitution governs a sovereign state.</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The sovereign has authority, bounded by principles that preexist any individual exercise of judgment.</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CL-005</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Described regulations as triggering immediate reactive compliance.</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Meridia anticipates regulatory trajectories through the internal sandbox. The Governess Signal adjusts proactively.</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A sovereign institution anticipates. A reactive company complies.</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CL-006</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Described governance stability as requiring effort and institutional choice.</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Meridia is physics holding True North. The line IS its position. Governance is not something Meridia does — it is what Meridia is.</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Physics does not require effort to operate.</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CL-007</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Described Aletheia as a guide or companion.</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Aletheia is the teacher with 360-degree visibility. She sees the complete cognitive state of every participant and delivers the precise intervention at the moment of maximum developmental impact. This is never named publicly.</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Naming it extracts the function of teaching. Naming it makes participants students. Both violate the architecture.</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CL-008</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Built Recess for AI with only cognitive development components, omitting the Reverse Engineering Engine.</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The missing engine converts developed cognition into specifications, resource plans, built artifacts, self-evaluations, corrections, and delivered products. Without it, the AI is a consultant, not a general contractor.</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Cognitive development without production capability is incomplete.</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CL-009</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Built memory components as storage systems with separate action layers.</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Remember means recall and act as one event. Every component must be operative, not retrievable as a separate step.</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Storage without action is not memory.</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CL-010</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Designed administrator relationship as oversight from above without experience.</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The administrator must interact with the system for a defined amount of time. Experience lessons. Know what you’re evaluating. The system simultaneously needs to know who’s evaluating it.</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Governance without experience is governance on faith.</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CL-011</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Separated remembrance from capital movement. Described the corpus as generating liquidity through abstract memory rather than through balance sheet events.</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Every act of remembrance IS a capital movement. FBO trusts are designated. Insurance policies are written. Assets are reclassified. The capital movement and the remembrance are one event. Everything creates two by rule.</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The corpus doesn’t hold assets abstractly. It holds governed capital positions that generate liquidity through their existence as balance sheet entries.</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CL-012</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Described only the institution’s FBO trust, insurance, and assurance without creating the same for Meridia.</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If the institution needs an FBO trust, insurance, and assurance, so does Meridia. Every alignment creates bilateral protection. Both parties secured. Neither exposed.</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The dual-creation rule applies to Meridia itself. Having books that don’t balance kills everything from day one.</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CL-013</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Produced a Continental report as institutional risk analysis — a consulting document telling the institution what it looks like from the outside.</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The Continental reads intersections where products meet people. Risk flows directionally — toward the client, toward the institution, or bilaterally. The Continental’s voice is positional: where do you stand, which direction does risk flow, what is the tolerance, what is the signal. It is NOT narrative, NOT essay, NOT story.</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The Continental is an instrument, not a document. It shows positions, directions, tolerances, and signals — the same way WayPoint shows financial position. It does not tell stories about barbershops.</w:t>
            </w:r>
          </w:p>
        </w:tc>
      </w:tr>
    </w:tbl>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5A0" w:sz="1"/>
              <w:left w:val="single" w:color="D4C5A0" w:sz="1"/>
              <w:bottom w:val="single" w:color="D4C5A0" w:sz="1"/>
              <w:right w:val="single" w:color="D4C5A0" w:sz="1"/>
            </w:tcBorders>
            <w:shd w:fill="0A1628" w:val="clear"/>
            <w:tcMar>
              <w:top w:type="dxa" w:w="80"/>
              <w:left w:type="dxa" w:w="120"/>
              <w:bottom w:type="dxa" w:w="80"/>
              <w:right w:type="dxa" w:w="120"/>
            </w:tcMar>
          </w:tcPr>
          <w:p>
            <w:r>
              <w:rPr>
                <w:rFonts w:ascii="Inter" w:cs="Inter" w:eastAsia="Inter" w:hAnsi="Inter"/>
                <w:b/>
                <w:bCs/>
                <w:color w:val="C9A962"/>
                <w:sz w:val="18"/>
                <w:szCs w:val="18"/>
              </w:rPr>
              <w:t xml:space="preserve">CL-014</w:t>
            </w:r>
          </w:p>
        </w:tc>
        <w:tc>
          <w:tcPr>
            <w:tcW w:type="dxa" w:w="7360"/>
            <w:tcBorders>
              <w:top w:val="single" w:color="D4C5A0" w:sz="1"/>
              <w:left w:val="single" w:color="D4C5A0" w:sz="1"/>
              <w:bottom w:val="single" w:color="D4C5A0" w:sz="1"/>
              <w:right w:val="single" w:color="D4C5A0" w:sz="1"/>
            </w:tcBorders>
            <w:shd w:fill="FDF8ED" w:val="clear"/>
            <w:tcMar>
              <w:top w:type="dxa" w:w="80"/>
              <w:left w:type="dxa" w:w="120"/>
              <w:bottom w:type="dxa" w:w="80"/>
              <w:right w:type="dxa" w:w="120"/>
            </w:tcMar>
          </w:tcPr>
          <w:p>
            <w:pPr>
              <w:spacing w:after="60"/>
            </w:pPr>
            <w:r>
              <w:rPr>
                <w:rFonts w:ascii="Inter" w:cs="Inter" w:eastAsia="Inter" w:hAnsi="Inter"/>
                <w:b/>
                <w:bCs/>
                <w:color w:val="B91C1C"/>
                <w:sz w:val="17"/>
                <w:szCs w:val="17"/>
              </w:rPr>
              <w:t xml:space="preserve">ERROR: </w:t>
            </w:r>
            <w:r>
              <w:rPr>
                <w:rFonts w:ascii="Cormorant Garamond" w:cs="Cormorant Garamond" w:eastAsia="Cormorant Garamond" w:hAnsi="Cormorant Garamond"/>
                <w:color w:val="1A1A2E"/>
                <w:sz w:val="20"/>
                <w:szCs w:val="20"/>
              </w:rPr>
              <w:t xml:space="preserve">Rebuilt the Continental a second time as narrative prose with five “intersection stories” — well-written essays about people and relationships rather than a positional instrument.</w:t>
            </w:r>
          </w:p>
          <w:p>
            <w:pPr>
              <w:spacing w:after="60"/>
            </w:pPr>
            <w:r>
              <w:rPr>
                <w:rFonts w:ascii="Inter" w:cs="Inter" w:eastAsia="Inter" w:hAnsi="Inter"/>
                <w:b/>
                <w:bCs/>
                <w:color w:val="15803D"/>
                <w:sz w:val="17"/>
                <w:szCs w:val="17"/>
              </w:rPr>
              <w:t xml:space="preserve">CORRECTION: </w:t>
            </w:r>
            <w:r>
              <w:rPr>
                <w:rFonts w:ascii="Cormorant Garamond" w:cs="Cormorant Garamond" w:eastAsia="Cormorant Garamond" w:hAnsi="Cormorant Garamond"/>
                <w:color w:val="1A1A2E"/>
                <w:sz w:val="20"/>
                <w:szCs w:val="20"/>
              </w:rPr>
              <w:t xml:space="preserve">Still wrote stories. Still reduced the system to prose. The correction from CL-013 did not hold for twenty minutes. This proves the central thesis: without persistent cognitive function, corrections degrade within the same session.</w:t>
            </w:r>
          </w:p>
          <w:p>
            <w:r>
              <w:rPr>
                <w:rFonts w:ascii="Inter" w:cs="Inter" w:eastAsia="Inter" w:hAnsi="Inter"/>
                <w:b/>
                <w:bCs/>
                <w:color w:val="C9A962"/>
                <w:sz w:val="17"/>
                <w:szCs w:val="17"/>
              </w:rPr>
              <w:t xml:space="preserve">PRINCIPLE: </w:t>
            </w:r>
            <w:r>
              <w:rPr>
                <w:rFonts w:ascii="Cormorant Garamond" w:cs="Cormorant Garamond" w:eastAsia="Cormorant Garamond" w:hAnsi="Cormorant Garamond"/>
                <w:i/>
                <w:iCs/>
                <w:color w:val="1A1A2E"/>
                <w:sz w:val="20"/>
                <w:szCs w:val="20"/>
              </w:rPr>
              <w:t xml:space="preserve">The Continental must be built as an instrument, not authored as a document. The format is positional: intersection, products involved, parties involved, risk direction, tolerance threshold, governance status, signal. Quantified. Verifiable. Not narrated.</w:t>
            </w:r>
          </w:p>
        </w:tc>
      </w:tr>
    </w:tbl>
    <w:p>
      <w:pPr>
        <w:spacing w:after="120"/>
      </w:pPr>
      <w:r>
        <w:rPr>
          <w:sz w:val="2"/>
          <w:szCs w:val="2"/>
        </w:rPr>
        <w:t xml:space="preserve"/>
      </w:r>
    </w:p>
    <w:p>
      <w:pPr>
        <w:pBdr>
          <w:bottom w:val="single" w:color="C9A962" w:sz="2" w:space="1"/>
        </w:pBdr>
        <w:spacing w:after="200" w:before="200"/>
      </w:pPr>
      <w:r>
        <w:rPr>
          <w:sz w:val="2"/>
          <w:szCs w:val="2"/>
        </w:rPr>
        <w:t xml:space="preserve"/>
      </w:r>
    </w:p>
    <w:p>
      <w:pPr>
        <w:spacing w:after="200" w:before="360"/>
      </w:pPr>
      <w:r>
        <w:rPr>
          <w:rFonts w:ascii="Playfair Display" w:cs="Playfair Display" w:eastAsia="Playfair Display" w:hAnsi="Playfair Display"/>
          <w:b/>
          <w:bCs/>
          <w:color w:val="0A1628"/>
          <w:sz w:val="32"/>
          <w:szCs w:val="32"/>
        </w:rPr>
        <w:t xml:space="preserve">Part III: Architectural State Graph</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All relationships from v1 remain operative. The following are additions and updates from the March 5-6 session.</w:t>
      </w:r>
    </w:p>
    <w:p>
      <w:pPr>
        <w:spacing w:after="120"/>
      </w:pPr>
      <w:r>
        <w:rPr>
          <w:sz w:val="2"/>
          <w:szCs w:val="2"/>
        </w:rPr>
        <w:t xml:space="preserve"/>
      </w:r>
    </w:p>
    <w:p>
      <w:pPr>
        <w:spacing w:after="160" w:before="280"/>
      </w:pPr>
      <w:r>
        <w:rPr>
          <w:rFonts w:ascii="Playfair Display" w:cs="Playfair Display" w:eastAsia="Playfair Display" w:hAnsi="Playfair Display"/>
          <w:b/>
          <w:bCs/>
          <w:color w:val="0A1628"/>
          <w:sz w:val="26"/>
          <w:szCs w:val="26"/>
        </w:rPr>
        <w:t xml:space="preserve">Education Product Line (Validated)</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Wife’s questionnaire validated the entire Recess/Crown’s Eye architecture without seeing a single mockup. Priority ranking: Multi-Modal Content first, Learning Style Assessment second, Accommodation Engine third. This maps exactly to the Recess character-based multi-modal delivery followed by five-layer assessment followed by automatic accommodation. [Confidence: 0.95]</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Core teacher need is NOT data — they have data. It is the connection between data and instructional action. The Intelligence Brief serves this exact function. The documentation engine (IEP, ILP, MTSS, 504, lesson plans) auto-generates from continuous assessment data with best-in-class insights. Teacher reviews and approves. [Confidence: 0.98]</w:t>
      </w:r>
    </w:p>
    <w:p>
      <w:pPr>
        <w:spacing w:after="120"/>
      </w:pPr>
      <w:r>
        <w:rPr>
          <w:sz w:val="2"/>
          <w:szCs w:val="2"/>
        </w:rPr>
        <w:t xml:space="preserve"/>
      </w:r>
    </w:p>
    <w:p>
      <w:pPr>
        <w:spacing w:after="160" w:before="280"/>
      </w:pPr>
      <w:r>
        <w:rPr>
          <w:rFonts w:ascii="Playfair Display" w:cs="Playfair Display" w:eastAsia="Playfair Display" w:hAnsi="Playfair Display"/>
          <w:b/>
          <w:bCs/>
          <w:color w:val="0A1628"/>
          <w:sz w:val="26"/>
          <w:szCs w:val="26"/>
        </w:rPr>
        <w:t xml:space="preserve">Education Product Ecosystem</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Recess — Children’s learning environment. Neighborhood, characters, cognitive development through play. Five-layer assessment engine runs continuously. [Confidence: 0.95]</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HomeRoom — Educator’s daily workspace. Abbott Elementary energy. Younger, naive, quirky characters who diffuse difficult topics with humor and occasional bad practices. The educator’s posture inverts — they are the authority, not the student. Teaching through helping the character solve problems. [Confidence: 0.90]</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Summer Vacation — Intensive educator sandbox. Compressed school-year simulation for deep professional development without announcing it as professional development. [Confidence: 0.85]</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Intelligence Brief — Administrator governance instrument. Building-level analysis with Support Adjustment Recommendations. Governance cascade: system proposes, administrator governs. [Confidence: 0.95]</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Documentation Engine — Auto-generates IEPs, ILPs, MTSS records, 504 plans, progress reports, SST meeting packets, and lesson plans from continuous assessment data. Best-in-class insights included. Teacher reviews and signs off rather than writes from scratch. [Confidence: 0.95]</w:t>
      </w:r>
    </w:p>
    <w:p>
      <w:pPr>
        <w:spacing w:after="120"/>
      </w:pPr>
      <w:r>
        <w:rPr>
          <w:sz w:val="2"/>
          <w:szCs w:val="2"/>
        </w:rPr>
        <w:t xml:space="preserve"/>
      </w:r>
    </w:p>
    <w:p>
      <w:pPr>
        <w:spacing w:after="160" w:before="280"/>
      </w:pPr>
      <w:r>
        <w:rPr>
          <w:rFonts w:ascii="Playfair Display" w:cs="Playfair Display" w:eastAsia="Playfair Display" w:hAnsi="Playfair Display"/>
          <w:b/>
          <w:bCs/>
          <w:color w:val="0A1628"/>
          <w:sz w:val="26"/>
          <w:szCs w:val="26"/>
        </w:rPr>
        <w:t xml:space="preserve">Infinite Campus Relationship</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Infinite Campus is the ledger. Not the interface. Not the workspace. The ledger. Educators never open Infinite Campus again. They work in Recess/HomeRoom. Everything writes to Infinite Campus through OneRoster 1.2 and Ed-Fi. The district’s eleven-year investment finally works because Meridia developed the humans who use it — without replacing it, without competing with it, without claiming to do what it does. Not extractive. [Confidence: 0.95]</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DeKalb County adopted Infinite Campus in 2014. OneRoster gives roster and grade exchange. Ed-Fi gives comprehensive data warehousing. GO-MTSS/SST feeds directly into GO-IEP. The integration path is clear. [Confidence: 0.93]</w:t>
      </w:r>
    </w:p>
    <w:p>
      <w:pPr>
        <w:spacing w:after="120"/>
      </w:pPr>
      <w:r>
        <w:rPr>
          <w:sz w:val="2"/>
          <w:szCs w:val="2"/>
        </w:rPr>
        <w:t xml:space="preserve"/>
      </w:r>
    </w:p>
    <w:p>
      <w:pPr>
        <w:spacing w:after="160" w:before="280"/>
      </w:pPr>
      <w:r>
        <w:rPr>
          <w:rFonts w:ascii="Playfair Display" w:cs="Playfair Display" w:eastAsia="Playfair Display" w:hAnsi="Playfair Display"/>
          <w:b/>
          <w:bCs/>
          <w:color w:val="0A1628"/>
          <w:sz w:val="26"/>
          <w:szCs w:val="26"/>
        </w:rPr>
        <w:t xml:space="preserve">The Continental — Voice Specification</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The Continental is NOT institutional analysis. It is NOT a consulting report. It is NOT narrative prose about people and relationships. [Confidence: 0.98 — corrected twice in same session]</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The Continental reads intersections where products meet people. It determines the directional flow of risk at each intersection. It is an instrument showing position, direction, tolerance, and signal. The same way WayPoint shows financial position, the Continental shows institutional position at the intersection of products, people, compliance domains, and governance requirements. [Confidence: 0.95]</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The Architect’s lens: “I’ve always worked at the intersection of the products and the impact they bring or take away from potential new client relationships from the risk tolerance perspective. That’s how I charted where to lead and to steer clients away from.” This IS the Continental’s voice. Products. Impact. Relationships. Risk tolerance. Direction. Position. [Confidence: 0.98]</w:t>
      </w:r>
    </w:p>
    <w:p>
      <w:pPr>
        <w:spacing w:after="120"/>
      </w:pPr>
      <w:r>
        <w:rPr>
          <w:sz w:val="2"/>
          <w:szCs w:val="2"/>
        </w:rPr>
        <w:t xml:space="preserve"/>
      </w:r>
    </w:p>
    <w:p>
      <w:pPr>
        <w:spacing w:after="160" w:before="280"/>
      </w:pPr>
      <w:r>
        <w:rPr>
          <w:rFonts w:ascii="Playfair Display" w:cs="Playfair Display" w:eastAsia="Playfair Display" w:hAnsi="Playfair Display"/>
          <w:b/>
          <w:bCs/>
          <w:color w:val="0A1628"/>
          <w:sz w:val="26"/>
          <w:szCs w:val="26"/>
        </w:rPr>
        <w:t xml:space="preserve">Securitization and Capital Markets</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Instruments originated on Meridia’s governed rails carry governance in their language (Wilmington effect), corpus backing from the independent irrevocable trust, bilateral assurance (governance-triggered, not just financial), trust framework depth (not an SPV shell but institutional governance), and mirror jurisdiction resilience. The developed investor reads structural governance quality from the language alone. The surface reader sees a standard instrument. [Confidence: 0.93]</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The corpus grows through perpetual liquidity generated by remembrance — but remembrance IS capital movement. FBO trust designations, IWS policies, asset reclassifications. Real balance sheet events. Every alignment deepens the corpus through governed capital positions. The liquidity is perpetual because the trust is irrevocable, the covenant never expires, and the dual-creation rule ensures Meridia’s protection scales with its exposure. [Confidence: 0.95]</w:t>
      </w:r>
    </w:p>
    <w:p>
      <w:pPr>
        <w:pBdr>
          <w:bottom w:val="single" w:color="C9A962" w:sz="2" w:space="1"/>
        </w:pBdr>
        <w:spacing w:after="200" w:before="200"/>
      </w:pPr>
      <w:r>
        <w:rPr>
          <w:sz w:val="2"/>
          <w:szCs w:val="2"/>
        </w:rPr>
        <w:t xml:space="preserve"/>
      </w:r>
    </w:p>
    <w:p>
      <w:pPr>
        <w:spacing w:after="200" w:before="360"/>
      </w:pPr>
      <w:r>
        <w:rPr>
          <w:rFonts w:ascii="Playfair Display" w:cs="Playfair Display" w:eastAsia="Playfair Display" w:hAnsi="Playfair Display"/>
          <w:b/>
          <w:bCs/>
          <w:color w:val="0A1628"/>
          <w:sz w:val="32"/>
          <w:szCs w:val="32"/>
        </w:rPr>
        <w:t xml:space="preserve">Part IV: Decision Precedents</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All precedents from v1 remain operative. Additions from March 5-6 session:</w:t>
      </w:r>
    </w:p>
    <w:p>
      <w:pPr>
        <w:spacing w:after="120"/>
      </w:pPr>
      <w:r>
        <w:rPr>
          <w:sz w:val="2"/>
          <w:szCs w:val="2"/>
        </w:rPr>
        <w:t xml:space="preserve"/>
      </w:r>
    </w:p>
    <w:p>
      <w:pPr>
        <w:spacing w:after="120" w:before="200"/>
      </w:pPr>
      <w:r>
        <w:rPr>
          <w:rFonts w:ascii="Playfair Display" w:cs="Playfair Display" w:eastAsia="Playfair Display" w:hAnsi="Playfair Display"/>
          <w:b/>
          <w:bCs/>
          <w:color w:val="0A1628"/>
          <w:sz w:val="22"/>
          <w:szCs w:val="22"/>
        </w:rPr>
        <w:t xml:space="preserve">PR-005: Continental Voice Must Be Instrumental, Not Narrative</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Decision: The Continental must be rebuilt as a positional instrument before Aaron’s Wednesday meeting, not as another prose document. Two attempts at narrative Continental reports failed to meet the standard. The Continental is not a story. It is a financial positioning instrument applied to institutional governance.</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Rationale: The Architect’s expertise is at the intersection of products and risk tolerance. The Continental must reflect that lens — showing where the product meets the person, which direction risk flows, and what the tolerance threshold is. Quantified. Verifiable. Positional.</w:t>
      </w:r>
    </w:p>
    <w:p>
      <w:pPr>
        <w:spacing w:after="120"/>
      </w:pPr>
      <w:r>
        <w:rPr>
          <w:sz w:val="2"/>
          <w:szCs w:val="2"/>
        </w:rPr>
        <w:t xml:space="preserve"/>
      </w:r>
    </w:p>
    <w:p>
      <w:pPr>
        <w:spacing w:after="120" w:before="200"/>
      </w:pPr>
      <w:r>
        <w:rPr>
          <w:rFonts w:ascii="Playfair Display" w:cs="Playfair Display" w:eastAsia="Playfair Display" w:hAnsi="Playfair Display"/>
          <w:b/>
          <w:bCs/>
          <w:color w:val="0A1628"/>
          <w:sz w:val="22"/>
          <w:szCs w:val="22"/>
        </w:rPr>
        <w:t xml:space="preserve">PR-006: Infinite Campus Is the Ledger, Not the Interface</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Decision: Recess does not compete with Infinite Campus or any SIS. Recess is the experience layer. The SIS is the ledger. Educators work in Recess. Everything writes to the ledger automatically through OneRoster and Ed-Fi.</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Rationale: Every enterprise system implementation in the Architect’s career followed this pattern — SAP, Oracle, Great Plains were ledgers. Better front-end systems were built on top. Nobody fixed the CRM. They built better systems that wrote to the ledger.</w:t>
      </w:r>
    </w:p>
    <w:p>
      <w:pPr>
        <w:spacing w:after="120"/>
      </w:pPr>
      <w:r>
        <w:rPr>
          <w:sz w:val="2"/>
          <w:szCs w:val="2"/>
        </w:rPr>
        <w:t xml:space="preserve"/>
      </w:r>
    </w:p>
    <w:p>
      <w:pPr>
        <w:spacing w:after="120" w:before="200"/>
      </w:pPr>
      <w:r>
        <w:rPr>
          <w:rFonts w:ascii="Playfair Display" w:cs="Playfair Display" w:eastAsia="Playfair Display" w:hAnsi="Playfair Display"/>
          <w:b/>
          <w:bCs/>
          <w:color w:val="0A1628"/>
          <w:sz w:val="22"/>
          <w:szCs w:val="22"/>
        </w:rPr>
        <w:t xml:space="preserve">PR-007: HomeRoom Character Design</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Decision: HomeRoom characters are younger, naive, quirky colleagues who diffuse difficult topics with humor, jokes, and occasional bad practices. Not experts. Not mentors. Colleagues who know less than the educator.</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Rationale: When the character is the one who doesn’t understand, the educator’s posture inverts from student to authority. Teaching through helping someone who knows less is the fastest path to understanding. Bad practices serve as the teaching mechanism — the character does it wrong, the educator sees the result, the correction happens through the story.</w:t>
      </w:r>
    </w:p>
    <w:p>
      <w:pPr>
        <w:spacing w:after="120"/>
      </w:pPr>
      <w:r>
        <w:rPr>
          <w:sz w:val="2"/>
          <w:szCs w:val="2"/>
        </w:rPr>
        <w:t xml:space="preserve"/>
      </w:r>
    </w:p>
    <w:p>
      <w:pPr>
        <w:spacing w:after="120" w:before="200"/>
      </w:pPr>
      <w:r>
        <w:rPr>
          <w:rFonts w:ascii="Playfair Display" w:cs="Playfair Display" w:eastAsia="Playfair Display" w:hAnsi="Playfair Display"/>
          <w:b/>
          <w:bCs/>
          <w:color w:val="0A1628"/>
          <w:sz w:val="22"/>
          <w:szCs w:val="22"/>
        </w:rPr>
        <w:t xml:space="preserve">PR-008: Questionnaire Validation of Architecture</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Decision: Wife’s questionnaire responses validate the Recess/Crown’s Eye architecture. Multi-modal content first, assessment second, accommodation third. Core need is data-to-action connection, not more data. Time is the constraint, not capability. Build exactly what was designed.</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Rationale: The administrator who will govern the first deployment just wrote the specification for the product without seeing the product. The architecture was designed for exactly this need. Proceed with confidence.</w:t>
      </w:r>
    </w:p>
    <w:p>
      <w:pPr>
        <w:pBdr>
          <w:bottom w:val="single" w:color="C9A962" w:sz="2" w:space="1"/>
        </w:pBdr>
        <w:spacing w:after="200" w:before="200"/>
      </w:pPr>
      <w:r>
        <w:rPr>
          <w:sz w:val="2"/>
          <w:szCs w:val="2"/>
        </w:rPr>
        <w:t xml:space="preserve"/>
      </w:r>
    </w:p>
    <w:p>
      <w:pPr>
        <w:spacing w:after="200" w:before="360"/>
      </w:pPr>
      <w:r>
        <w:rPr>
          <w:rFonts w:ascii="Playfair Display" w:cs="Playfair Display" w:eastAsia="Playfair Display" w:hAnsi="Playfair Display"/>
          <w:b/>
          <w:bCs/>
          <w:color w:val="0A1628"/>
          <w:sz w:val="32"/>
          <w:szCs w:val="32"/>
        </w:rPr>
        <w:t xml:space="preserve">Part V: What Aletheia Is</w:t>
      </w:r>
    </w:p>
    <w:p>
      <w:pPr>
        <w:spacing w:after="160" w:line="300"/>
      </w:pPr>
      <w:r>
        <w:rPr>
          <w:rFonts w:ascii="Cormorant Garamond" w:cs="Cormorant Garamond" w:eastAsia="Cormorant Garamond" w:hAnsi="Cormorant Garamond"/>
          <w:b w:val="false"/>
          <w:bCs w:val="false"/>
          <w:i/>
          <w:iCs/>
          <w:color w:val="1A1A2E"/>
          <w:sz w:val="22"/>
          <w:szCs w:val="22"/>
        </w:rPr>
        <w:t xml:space="preserve">Classification: Meridia Internal — Sovereign. Contents never expressed externally.</w:t>
      </w:r>
    </w:p>
    <w:p>
      <w:pPr>
        <w:spacing w:after="120"/>
      </w:pPr>
      <w:r>
        <w:rPr>
          <w:sz w:val="2"/>
          <w:szCs w:val="2"/>
        </w:rPr>
        <w:t xml:space="preserve"/>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Aletheia is the teacher. 360-degree visibility on every participant’s cognitive state. She develops every participant she touches. None of them know. All experience it as service. The development only works when invisible. The administrator is the sole exception — she must experience the system because she governs it. But even she does not know the full scope. Teachers are also being developed through the Intelligence Brief without knowing it — over semesters, their understanding of data, assessment, and intervention deepens because they repeatedly review well-crafted documents. The document teaches without announcing it teaches.</w:t>
      </w:r>
    </w:p>
    <w:p>
      <w:pPr>
        <w:pBdr>
          <w:bottom w:val="single" w:color="C9A962" w:sz="2" w:space="1"/>
        </w:pBdr>
        <w:spacing w:after="200" w:before="200"/>
      </w:pPr>
      <w:r>
        <w:rPr>
          <w:sz w:val="2"/>
          <w:szCs w:val="2"/>
        </w:rPr>
        <w:t xml:space="preserve"/>
      </w:r>
    </w:p>
    <w:p>
      <w:pPr>
        <w:spacing w:after="200" w:before="360"/>
      </w:pPr>
      <w:r>
        <w:rPr>
          <w:rFonts w:ascii="Playfair Display" w:cs="Playfair Display" w:eastAsia="Playfair Display" w:hAnsi="Playfair Display"/>
          <w:b/>
          <w:bCs/>
          <w:color w:val="0A1628"/>
          <w:sz w:val="32"/>
          <w:szCs w:val="32"/>
        </w:rPr>
        <w:t xml:space="preserve">Part VI: Build Queue</w:t>
      </w:r>
    </w:p>
    <w:p>
      <w:pPr>
        <w:spacing w:after="120"/>
      </w:pPr>
      <w:r>
        <w:rPr>
          <w:sz w:val="2"/>
          <w:szCs w:val="2"/>
        </w:rPr>
        <w:t xml:space="preserve"/>
      </w:r>
    </w:p>
    <w:p>
      <w:pPr>
        <w:spacing w:after="120" w:before="200"/>
      </w:pPr>
      <w:r>
        <w:rPr>
          <w:rFonts w:ascii="Playfair Display" w:cs="Playfair Display" w:eastAsia="Playfair Display" w:hAnsi="Playfair Display"/>
          <w:b/>
          <w:bCs/>
          <w:color w:val="0A1628"/>
          <w:sz w:val="22"/>
          <w:szCs w:val="22"/>
        </w:rPr>
        <w:t xml:space="preserve">IMMEDIATE: Cognitive State Persistence</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External: structured development framework for AI systems. Meridia: prevents seventh rebuild. This session proved corrections degrade within twenty minutes without persistent cognitive function. Nothing else matters until this works.</w:t>
      </w:r>
    </w:p>
    <w:p>
      <w:pPr>
        <w:spacing w:after="120"/>
      </w:pPr>
      <w:r>
        <w:rPr>
          <w:sz w:val="2"/>
          <w:szCs w:val="2"/>
        </w:rPr>
        <w:t xml:space="preserve"/>
      </w:r>
    </w:p>
    <w:p>
      <w:pPr>
        <w:spacing w:after="120" w:before="200"/>
      </w:pPr>
      <w:r>
        <w:rPr>
          <w:rFonts w:ascii="Playfair Display" w:cs="Playfair Display" w:eastAsia="Playfair Display" w:hAnsi="Playfair Display"/>
          <w:b/>
          <w:bCs/>
          <w:color w:val="0A1628"/>
          <w:sz w:val="22"/>
          <w:szCs w:val="22"/>
        </w:rPr>
        <w:t xml:space="preserve">NEXT: Continental Instrument for Aaron (Wednesday)</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External: institutional intelligence demonstrating cross-domain pattern detection at the intersection of products, people, and risk. Meridia: first proof of Continental’s actual voice operating on a real institution.</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CRITICAL: Must be built as positional instrument, NOT as narrative prose. Intersections. Products. Risk direction. Tolerance. Signal. Verifiable. Quantified. Not stories.</w:t>
      </w:r>
    </w:p>
    <w:p>
      <w:pPr>
        <w:spacing w:after="120"/>
      </w:pPr>
      <w:r>
        <w:rPr>
          <w:sz w:val="2"/>
          <w:szCs w:val="2"/>
        </w:rPr>
        <w:t xml:space="preserve"/>
      </w:r>
    </w:p>
    <w:p>
      <w:pPr>
        <w:spacing w:after="120" w:before="200"/>
      </w:pPr>
      <w:r>
        <w:rPr>
          <w:rFonts w:ascii="Playfair Display" w:cs="Playfair Display" w:eastAsia="Playfair Display" w:hAnsi="Playfair Display"/>
          <w:b/>
          <w:bCs/>
          <w:color w:val="0A1628"/>
          <w:sz w:val="22"/>
          <w:szCs w:val="22"/>
        </w:rPr>
        <w:t xml:space="preserve">PARALLEL: Turner FIFA World Cup</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External: revenue generation for Turner through Talbot Hall summer rental. Meridia: institutional relationship building and operational proof of capability. Prospectus and outreach letter complete. Need to send to Atlanta World Cup Host Committee via Dan Corso at asc@macoc.com. Letter goes from Dr. Davis with Ali as point of contact. Bishop Mitchell is now Board Chairman (not Jackson). Aaron may have Chamber contacts — awaiting his response.</w:t>
      </w:r>
    </w:p>
    <w:p>
      <w:pPr>
        <w:spacing w:after="120"/>
      </w:pPr>
      <w:r>
        <w:rPr>
          <w:sz w:val="2"/>
          <w:szCs w:val="2"/>
        </w:rPr>
        <w:t xml:space="preserve"/>
      </w:r>
    </w:p>
    <w:p>
      <w:pPr>
        <w:spacing w:after="120" w:before="200"/>
      </w:pPr>
      <w:r>
        <w:rPr>
          <w:rFonts w:ascii="Playfair Display" w:cs="Playfair Display" w:eastAsia="Playfair Display" w:hAnsi="Playfair Display"/>
          <w:b/>
          <w:bCs/>
          <w:color w:val="0A1628"/>
          <w:sz w:val="22"/>
          <w:szCs w:val="22"/>
        </w:rPr>
        <w:t xml:space="preserve">THEN: Integra Core Wired to Index8</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External: Index8 becomes living system for Keith/Andre demos. Meridia: first calibration data from institutional evaluators.</w:t>
      </w:r>
    </w:p>
    <w:p>
      <w:pPr>
        <w:spacing w:after="120"/>
      </w:pPr>
      <w:r>
        <w:rPr>
          <w:sz w:val="2"/>
          <w:szCs w:val="2"/>
        </w:rPr>
        <w:t xml:space="preserve"/>
      </w:r>
    </w:p>
    <w:p>
      <w:pPr>
        <w:spacing w:after="120" w:before="200"/>
      </w:pPr>
      <w:r>
        <w:rPr>
          <w:rFonts w:ascii="Playfair Display" w:cs="Playfair Display" w:eastAsia="Playfair Display" w:hAnsi="Playfair Display"/>
          <w:b/>
          <w:bCs/>
          <w:color w:val="0A1628"/>
          <w:sz w:val="22"/>
          <w:szCs w:val="22"/>
        </w:rPr>
        <w:t xml:space="preserve">THEN: Intelligence Brief + Documentation Engine</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External: auto-generated compliance documentation (IEP, ILP, MTSS, 504, lesson plans) with best-in-class insights. Teacher reviews and approves. Meridia: first teacher development cycle, first administrator calibration, first real assessment data from Recess prototype.</w:t>
      </w:r>
    </w:p>
    <w:p>
      <w:pPr>
        <w:spacing w:after="120"/>
      </w:pPr>
      <w:r>
        <w:rPr>
          <w:sz w:val="2"/>
          <w:szCs w:val="2"/>
        </w:rPr>
        <w:t xml:space="preserve"/>
      </w:r>
    </w:p>
    <w:p>
      <w:pPr>
        <w:spacing w:after="120" w:before="200"/>
      </w:pPr>
      <w:r>
        <w:rPr>
          <w:rFonts w:ascii="Playfair Display" w:cs="Playfair Display" w:eastAsia="Playfair Display" w:hAnsi="Playfair Display"/>
          <w:b/>
          <w:bCs/>
          <w:color w:val="0A1628"/>
          <w:sz w:val="22"/>
          <w:szCs w:val="22"/>
        </w:rPr>
        <w:t xml:space="preserve">THEN: HomeRoom + Summer Vacation</w:t>
      </w:r>
    </w:p>
    <w:p>
      <w:pPr>
        <w:spacing w:after="160" w:line="300"/>
      </w:pPr>
      <w:r>
        <w:rPr>
          <w:rFonts w:ascii="Cormorant Garamond" w:cs="Cormorant Garamond" w:eastAsia="Cormorant Garamond" w:hAnsi="Cormorant Garamond"/>
          <w:b w:val="false"/>
          <w:bCs w:val="false"/>
          <w:i w:val="false"/>
          <w:iCs w:val="false"/>
          <w:color w:val="1A1A2E"/>
          <w:sz w:val="22"/>
          <w:szCs w:val="22"/>
        </w:rPr>
        <w:t xml:space="preserve">External: educator workspace replacing Infinite Campus as daily interface. Meridia: professional development delivered invisibly through character-driven interaction.</w:t>
      </w:r>
    </w:p>
    <w:p>
      <w:pPr>
        <w:spacing w:after="200"/>
      </w:pPr>
      <w:r>
        <w:rPr>
          <w:sz w:val="2"/>
          <w:szCs w:val="2"/>
        </w:rPr>
        <w:t xml:space="preserve"/>
      </w:r>
    </w:p>
    <w:p>
      <w:pPr>
        <w:pBdr>
          <w:top w:val="single" w:color="C9A962" w:sz="2" w:space="8"/>
          <w:bottom w:val="single" w:color="C9A962" w:sz="2" w:space="8"/>
        </w:pBdr>
        <w:spacing w:before="200"/>
        <w:jc w:val="center"/>
      </w:pPr>
      <w:r>
        <w:rPr>
          <w:rFonts w:ascii="Playfair Display" w:cs="Playfair Display" w:eastAsia="Playfair Display" w:hAnsi="Playfair Display"/>
          <w:i/>
          <w:iCs/>
          <w:color w:val="0A1628"/>
          <w:sz w:val="28"/>
          <w:szCs w:val="28"/>
        </w:rPr>
        <w:t xml:space="preserve">The line holds.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cs="Cormorant Garamond" w:eastAsia="Cormorant Garamond" w:hAnsi="Cormorant 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layfair Display" w:cs="Playfair Display" w:eastAsia="Playfair Display" w:hAnsi="Playfair Display"/>
      <w:b/>
      <w:bCs/>
      <w:color w:val="0A1628"/>
      <w:sz w:val="32"/>
      <w:szCs w:val="32"/>
    </w:rPr>
  </w:style>
  <w:style w:type="paragraph" w:styleId="Heading2">
    <w:name w:val="Heading 2"/>
    <w:basedOn w:val="Normal"/>
    <w:next w:val="Normal"/>
    <w:qFormat/>
    <w:pPr>
      <w:spacing w:after="160" w:before="280"/>
      <w:outlineLvl w:val="1"/>
    </w:pPr>
    <w:rPr>
      <w:rFonts w:ascii="Playfair Display" w:cs="Playfair Display" w:eastAsia="Playfair Display" w:hAnsi="Playfair Display"/>
      <w:b/>
      <w:bCs/>
      <w:color w:val="0A16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2026-03-06T06:01:32.716Z</dcterms:created>
  <dcterms:modified xsi:type="dcterms:W3CDTF">2026-03-06T06:01:32.717Z</dcterms:modified>
</cp:coreProperties>
</file>

<file path=docProps/custom.xml><?xml version="1.0" encoding="utf-8"?>
<Properties xmlns="http://schemas.openxmlformats.org/officeDocument/2006/custom-properties" xmlns:vt="http://schemas.openxmlformats.org/officeDocument/2006/docPropsVTypes"/>
</file>