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r>
        <w:rPr>
          <w:sz w:val="2"/>
          <w:szCs w:val="2"/>
        </w:rPr>
        <w:t xml:space="preserve"/>
      </w:r>
    </w:p>
    <w:p>
      <w:pPr>
        <w:spacing w:after="20"/>
        <w:jc w:val="center"/>
      </w:pPr>
      <w:r>
        <w:rPr>
          <w:rFonts w:ascii="Inter" w:cs="Inter" w:eastAsia="Inter" w:hAnsi="Inter"/>
          <w:b/>
          <w:bCs/>
          <w:color w:val="C9A962"/>
          <w:sz w:val="18"/>
          <w:szCs w:val="18"/>
        </w:rPr>
        <w:t xml:space="preserve">MERIDIAN</w:t>
      </w:r>
    </w:p>
    <w:p>
      <w:pPr>
        <w:spacing w:after="20"/>
        <w:jc w:val="center"/>
      </w:pPr>
      <w:r>
        <w:rPr>
          <w:rFonts w:ascii="Inter" w:cs="Inter" w:eastAsia="Inter" w:hAnsi="Inter"/>
          <w:color w:val="C9A962"/>
          <w:sz w:val="14"/>
          <w:szCs w:val="14"/>
        </w:rPr>
        <w:t xml:space="preserve">CONTINENTAL</w:t>
      </w:r>
    </w:p>
    <w:p>
      <w:pPr>
        <w:pBdr>
          <w:bottom w:val="single" w:color="C9A962" w:sz="2" w:space="1"/>
        </w:pBdr>
        <w:spacing w:after="200" w:before="200"/>
      </w:pPr>
      <w:r>
        <w:rPr>
          <w:sz w:val="2"/>
          <w:szCs w:val="2"/>
        </w:rPr>
        <w:t xml:space="preserve"/>
      </w:r>
    </w:p>
    <w:p>
      <w:pPr>
        <w:spacing w:after="120"/>
      </w:pPr>
      <w:r>
        <w:rPr>
          <w:sz w:val="2"/>
          <w:szCs w:val="2"/>
        </w:rPr>
        <w:t xml:space="preserve"/>
      </w:r>
    </w:p>
    <w:p>
      <w:pPr>
        <w:spacing w:after="40"/>
        <w:jc w:val="center"/>
      </w:pPr>
      <w:r>
        <w:rPr>
          <w:rFonts w:ascii="Playfair Display" w:cs="Playfair Display" w:eastAsia="Playfair Display" w:hAnsi="Playfair Display"/>
          <w:b/>
          <w:bCs/>
          <w:color w:val="0A1628"/>
          <w:sz w:val="44"/>
          <w:szCs w:val="44"/>
        </w:rPr>
        <w:t xml:space="preserve">Where the Product</w:t>
      </w:r>
    </w:p>
    <w:p>
      <w:pPr>
        <w:spacing w:after="40"/>
        <w:jc w:val="center"/>
      </w:pPr>
      <w:r>
        <w:rPr>
          <w:rFonts w:ascii="Playfair Display" w:cs="Playfair Display" w:eastAsia="Playfair Display" w:hAnsi="Playfair Display"/>
          <w:b/>
          <w:bCs/>
          <w:color w:val="0A1628"/>
          <w:sz w:val="44"/>
          <w:szCs w:val="44"/>
        </w:rPr>
        <w:t xml:space="preserve">Meets the Person</w:t>
      </w:r>
    </w:p>
    <w:p>
      <w:pPr>
        <w:spacing w:after="80"/>
      </w:pPr>
      <w:r>
        <w:rPr>
          <w:sz w:val="2"/>
          <w:szCs w:val="2"/>
        </w:rPr>
        <w:t xml:space="preserve"/>
      </w:r>
    </w:p>
    <w:p>
      <w:pPr>
        <w:spacing w:after="60"/>
        <w:jc w:val="center"/>
      </w:pPr>
      <w:r>
        <w:rPr>
          <w:rFonts w:ascii="Cormorant Garamond" w:cs="Cormorant Garamond" w:eastAsia="Cormorant Garamond" w:hAnsi="Cormorant Garamond"/>
          <w:i/>
          <w:iCs/>
          <w:color w:val="4A4A5A"/>
          <w:sz w:val="26"/>
          <w:szCs w:val="26"/>
        </w:rPr>
        <w:t xml:space="preserve">An Intersection Analysis of the Pinnacle–Synovus Integration</w:t>
      </w:r>
    </w:p>
    <w:p>
      <w:pPr>
        <w:spacing w:after="40"/>
        <w:jc w:val="center"/>
      </w:pPr>
      <w:r>
        <w:rPr>
          <w:rFonts w:ascii="Inter" w:cs="Inter" w:eastAsia="Inter" w:hAnsi="Inter"/>
          <w:color w:val="4A4A5A"/>
          <w:sz w:val="17"/>
          <w:szCs w:val="17"/>
        </w:rPr>
        <w:t xml:space="preserve">NYSE: PNFP • $117.2B Combined Assets • 400+ Locations • Nine States</w:t>
      </w:r>
    </w:p>
    <w:p>
      <w:pPr>
        <w:pBdr>
          <w:bottom w:val="single" w:color="C9A962" w:sz="2" w:space="1"/>
        </w:pBdr>
        <w:spacing w:after="200" w:before="200"/>
      </w:pPr>
      <w:r>
        <w:rPr>
          <w:sz w:val="2"/>
          <w:szCs w:val="2"/>
        </w:rPr>
        <w:t xml:space="preserve"/>
      </w:r>
    </w:p>
    <w:p>
      <w:pPr>
        <w:spacing w:after="500"/>
      </w:pPr>
      <w:r>
        <w:rPr>
          <w:sz w:val="2"/>
          <w:szCs w:val="2"/>
        </w:rPr>
        <w:t xml:space="preserve"/>
      </w:r>
    </w:p>
    <w:p>
      <w:pPr>
        <w:spacing w:after="80"/>
        <w:jc w:val="center"/>
      </w:pPr>
      <w:r>
        <w:rPr>
          <w:rFonts w:ascii="Inter" w:cs="Inter" w:eastAsia="Inter" w:hAnsi="Inter"/>
          <w:color w:val="C9A962"/>
          <w:sz w:val="17"/>
          <w:szCs w:val="17"/>
        </w:rPr>
        <w:t xml:space="preserve">Q1 2026 — 60-Day Post-Close</w:t>
      </w:r>
    </w:p>
    <w:p>
      <w:pPr>
        <w:spacing w:after="60"/>
        <w:jc w:val="center"/>
      </w:pPr>
      <w:r>
        <w:rPr>
          <w:rFonts w:ascii="Inter" w:cs="Inter" w:eastAsia="Inter" w:hAnsi="Inter"/>
          <w:color w:val="4A4A5A"/>
          <w:sz w:val="16"/>
          <w:szCs w:val="16"/>
        </w:rPr>
        <w:t xml:space="preserve">Meridia Holdings LLC</w:t>
      </w:r>
    </w:p>
    <w:p>
      <w:pPr>
        <w:jc w:val="center"/>
      </w:pPr>
      <w:r>
        <w:rPr>
          <w:rFonts w:ascii="Cormorant Garamond" w:cs="Cormorant Garamond" w:eastAsia="Cormorant Garamond" w:hAnsi="Cormorant Garamond"/>
          <w:i/>
          <w:iCs/>
          <w:color w:val="4A4A5A"/>
          <w:sz w:val="20"/>
          <w:szCs w:val="20"/>
        </w:rPr>
        <w:t xml:space="preserve">Governance as a Service</w:t>
      </w:r>
    </w:p>
    <w:p>
      <w:pPr>
        <w:sectPr>
          <w:pgSz w:w="12240" w:h="15840" w:orient="portrait"/>
          <w:pgMar w:top="1440" w:right="1440" w:bottom="1440" w:left="1440" w:header="708" w:footer="708" w:gutter="0"/>
          <w:pgNumType/>
          <w:docGrid w:linePitch="360"/>
        </w:sectPr>
      </w:pPr>
    </w:p>
    <w:p>
      <w:pPr>
        <w:spacing w:after="60"/>
      </w:pPr>
      <w:r>
        <w:rPr>
          <w:rFonts w:ascii="Inter" w:cs="Inter" w:eastAsia="Inter" w:hAnsi="Inter"/>
          <w:b/>
          <w:bCs/>
          <w:color w:val="C9A962"/>
          <w:sz w:val="15"/>
          <w:szCs w:val="15"/>
        </w:rPr>
        <w:t xml:space="preserve">THE PREMISE</w:t>
      </w:r>
    </w:p>
    <w:p>
      <w:pPr>
        <w:spacing w:after="200" w:before="360"/>
      </w:pPr>
      <w:r>
        <w:rPr>
          <w:rFonts w:ascii="Playfair Display" w:cs="Playfair Display" w:eastAsia="Playfair Display" w:hAnsi="Playfair Display"/>
          <w:b/>
          <w:bCs/>
          <w:color w:val="0A1628"/>
          <w:sz w:val="30"/>
          <w:szCs w:val="30"/>
        </w:rPr>
        <w:t xml:space="preserve">Every Product Is a Relationship</w:t>
      </w:r>
    </w:p>
    <w:p>
      <w:pPr>
        <w:spacing w:after="40"/>
      </w:pPr>
      <w:r>
        <w:rPr>
          <w:sz w:val="2"/>
          <w:szCs w:val="2"/>
        </w:rPr>
        <w:t xml:space="preserve"/>
      </w:r>
    </w:p>
    <w:p>
      <w:pPr>
        <w:spacing w:after="160" w:line="310"/>
        <w:jc w:val="left"/>
      </w:pPr>
      <w:r>
        <w:rPr>
          <w:rFonts w:ascii="Cormorant Garamond" w:cs="Cormorant Garamond" w:eastAsia="Cormorant Garamond" w:hAnsi="Cormorant Garamond"/>
          <w:b w:val="false"/>
          <w:bCs w:val="false"/>
          <w:i w:val="false"/>
          <w:iCs w:val="false"/>
          <w:color w:val="1A1A2E"/>
          <w:sz w:val="23"/>
          <w:szCs w:val="23"/>
        </w:rPr>
        <w:t xml:space="preserve">A deposit is not a balance. It is a decision to trust an institution with accumulated labor. A loan is not a liability. It is a commitment between two parties that either strengthens over time or fractures under pressure. A commercial line of credit is not a product offering. It is the institution saying to the business owner: we believe in what you are building enough to share the risk of building it.</w:t>
      </w:r>
    </w:p>
    <w:p>
      <w:pPr>
        <w:spacing w:after="160" w:line="310"/>
        <w:jc w:val="left"/>
      </w:pPr>
      <w:r>
        <w:rPr>
          <w:rFonts w:ascii="Cormorant Garamond" w:cs="Cormorant Garamond" w:eastAsia="Cormorant Garamond" w:hAnsi="Cormorant Garamond"/>
          <w:b w:val="false"/>
          <w:bCs w:val="false"/>
          <w:i w:val="false"/>
          <w:iCs w:val="false"/>
          <w:color w:val="1A1A2E"/>
          <w:sz w:val="23"/>
          <w:szCs w:val="23"/>
        </w:rPr>
        <w:t xml:space="preserve">When two institutions merge, the conventional analysis examines asset quality, capital ratios, system integration timelines, regulatory thresholds, and cost synergies. These are important. They are not sufficient. Because they treat products as instruments and clients as data points. They do not examine the intersections — the specific points where institutional decisions during integration meet real people who made real decisions to trust the institution with real things.</w:t>
      </w:r>
    </w:p>
    <w:p>
      <w:pPr>
        <w:spacing w:after="160" w:line="310"/>
        <w:jc w:val="left"/>
      </w:pPr>
      <w:r>
        <w:rPr>
          <w:rFonts w:ascii="Cormorant Garamond" w:cs="Cormorant Garamond" w:eastAsia="Cormorant Garamond" w:hAnsi="Cormorant Garamond"/>
          <w:b w:val="false"/>
          <w:bCs w:val="false"/>
          <w:i w:val="false"/>
          <w:iCs w:val="false"/>
          <w:color w:val="1A1A2E"/>
          <w:sz w:val="23"/>
          <w:szCs w:val="23"/>
        </w:rPr>
        <w:t xml:space="preserve">This analysis examines five intersections in the Pinnacle–Synovus integration. At each intersection, a product meets a person. The question at each intersection is the same: which direction does the risk flow? Toward the client, toward the institution, or is it governed bilaterally so that neither party bears disproportionate consequence?</w:t>
      </w:r>
    </w:p>
    <w:p>
      <w:pPr>
        <w:spacing w:after="160" w:line="310"/>
        <w:jc w:val="left"/>
      </w:pPr>
      <w:r>
        <w:rPr>
          <w:rFonts w:ascii="Cormorant Garamond" w:cs="Cormorant Garamond" w:eastAsia="Cormorant Garamond" w:hAnsi="Cormorant Garamond"/>
          <w:b w:val="false"/>
          <w:bCs w:val="false"/>
          <w:i w:val="false"/>
          <w:iCs w:val="false"/>
          <w:color w:val="1A1A2E"/>
          <w:sz w:val="23"/>
          <w:szCs w:val="23"/>
        </w:rPr>
        <w:t xml:space="preserve">The direction of risk at each intersection reveals more about the institution’s governance posture than any capital ratio or efficiency target. Because institutions that allow risk to flow toward their clients during transformation are extracting value from the relationships that built them. And institutions that govern the intersections bilaterally are practicing stewardship — even when no one is watching.</w:t>
      </w:r>
    </w:p>
    <w:p>
      <w:pPr>
        <w:pBdr>
          <w:bottom w:val="single" w:color="C9A962" w:sz="2" w:space="1"/>
        </w:pBdr>
        <w:spacing w:after="200" w:before="200"/>
      </w:pPr>
      <w:r>
        <w:rPr>
          <w:sz w:val="2"/>
          <w:szCs w:val="2"/>
        </w:rPr>
        <w:t xml:space="preserve"/>
      </w:r>
    </w:p>
    <w:p>
      <w:pPr>
        <w:spacing w:after="60"/>
      </w:pPr>
      <w:r>
        <w:rPr>
          <w:rFonts w:ascii="Inter" w:cs="Inter" w:eastAsia="Inter" w:hAnsi="Inter"/>
          <w:b/>
          <w:bCs/>
          <w:color w:val="C9A962"/>
          <w:sz w:val="15"/>
          <w:szCs w:val="15"/>
        </w:rPr>
        <w:t xml:space="preserve">INTERSECTION ANALYSIS</w:t>
      </w:r>
    </w:p>
    <w:p>
      <w:pPr>
        <w:pBdr>
          <w:bottom w:val="single" w:color="C9A962" w:sz="1" w:space="4"/>
        </w:pBdr>
        <w:spacing w:after="100" w:before="240"/>
      </w:pPr>
      <w:r>
        <w:rPr>
          <w:rFonts w:ascii="Inter" w:cs="Inter" w:eastAsia="Inter" w:hAnsi="Inter"/>
          <w:color w:val="C9A962"/>
          <w:sz w:val="20"/>
          <w:szCs w:val="20"/>
        </w:rPr>
        <w:t xml:space="preserve">◇ </w:t>
      </w:r>
      <w:r>
        <w:rPr>
          <w:rFonts w:ascii="Playfair Display" w:cs="Playfair Display" w:eastAsia="Playfair Display" w:hAnsi="Playfair Display"/>
          <w:b/>
          <w:bCs/>
          <w:color w:val="0A1628"/>
          <w:sz w:val="24"/>
          <w:szCs w:val="24"/>
        </w:rPr>
        <w:t xml:space="preserve">The Commercial Client in Columbus</w:t>
      </w:r>
      <w:r>
        <w:rPr>
          <w:rFonts w:ascii="Inter" w:cs="Inter" w:eastAsia="Inter" w:hAnsi="Inter"/>
          <w:color w:val="991B1B"/>
          <w:sz w:val="16"/>
          <w:szCs w:val="16"/>
        </w:rPr>
        <w:t xml:space="preserve">    Risk Direction: Toward Client</w:t>
      </w:r>
    </w:p>
    <w:p>
      <w:pPr>
        <w:spacing w:after="40"/>
      </w:pPr>
      <w:r>
        <w:rPr>
          <w:sz w:val="2"/>
          <w:szCs w:val="2"/>
        </w:rPr>
        <w:t xml:space="preserve"/>
      </w:r>
    </w:p>
    <w:p>
      <w:pPr>
        <w:spacing w:after="160" w:line="310"/>
        <w:jc w:val="left"/>
      </w:pPr>
      <w:r>
        <w:rPr>
          <w:rFonts w:ascii="Cormorant Garamond" w:cs="Cormorant Garamond" w:eastAsia="Cormorant Garamond" w:hAnsi="Cormorant Garamond"/>
          <w:b w:val="false"/>
          <w:bCs w:val="false"/>
          <w:i w:val="false"/>
          <w:iCs w:val="false"/>
          <w:color w:val="1A1A2E"/>
          <w:sz w:val="23"/>
          <w:szCs w:val="23"/>
        </w:rPr>
        <w:t xml:space="preserve">Synovus was founded in Columbus, Georgia, in 1888. For 137 years, Columbus businesses banked with Synovus not because of its product suite but because Synovus was Columbus. The institution’s identity was inseparable from the community’s identity. A commercial client with a $2 million operating line didn’t choose Synovus after comparing rate sheets. They chose Synovus because their advisor sat on the same Rotary board, coached in the same youth league, and understood why the seasonal cash flow pattern in their business looked the way it did without needing a spreadsheet to explain it.</w:t>
      </w:r>
    </w:p>
    <w:p>
      <w:pPr>
        <w:spacing w:after="160" w:line="310"/>
        <w:jc w:val="left"/>
      </w:pPr>
      <w:r>
        <w:rPr>
          <w:rFonts w:ascii="Cormorant Garamond" w:cs="Cormorant Garamond" w:eastAsia="Cormorant Garamond" w:hAnsi="Cormorant Garamond"/>
          <w:b w:val="false"/>
          <w:bCs w:val="false"/>
          <w:i w:val="false"/>
          <w:iCs w:val="false"/>
          <w:color w:val="1A1A2E"/>
          <w:sz w:val="23"/>
          <w:szCs w:val="23"/>
        </w:rPr>
        <w:t xml:space="preserve">On January 2, 2026, that client’s institution became Pinnacle Financial Partners — a Tennessee corporation. The holding company moved to Atlanta. The client’s accounts will migrate to a new core banking system in early 2027. Their advisor may or may not be retained through conversion. The institutional knowledge that their advisor carried — why the original credit terms were structured the way they were, what the seasonal pattern means, which quarters require temporary covenant flexibility — lives in that advisor’s head, not in the system.</w:t>
      </w:r>
    </w:p>
    <w:p>
      <w:pPr>
        <w:spacing w:after="160" w:line="310"/>
        <w:jc w:val="left"/>
      </w:pPr>
      <w:r>
        <w:rPr>
          <w:rFonts w:ascii="Cormorant Garamond" w:cs="Cormorant Garamond" w:eastAsia="Cormorant Garamond" w:hAnsi="Cormorant Garamond"/>
          <w:b w:val="false"/>
          <w:bCs w:val="false"/>
          <w:i w:val="false"/>
          <w:iCs w:val="false"/>
          <w:color w:val="1A1A2E"/>
          <w:sz w:val="23"/>
          <w:szCs w:val="23"/>
        </w:rPr>
        <w:t xml:space="preserve">If the advisor stays, the relationship transitions. If the advisor leaves — recruited by a competitor who says exactly the right thing during the uncertainty window — the client’s operating line comes up for review by an underwriting team in Nashville that didn’t originate the relationship. That team evaluates the file on paper. The paper says $2 million operating line, moderate leverage, adequate collateral. The paper does not say: this business has banked here for three generations, the seasonal pattern is a feature not a risk, and the last time the economy softened, Synovus extended flexibility because the relationship justified it.</w:t>
      </w:r>
    </w:p>
    <w:p>
      <w:pPr>
        <w:spacing w:after="160" w:line="310"/>
        <w:jc w:val="left"/>
      </w:pPr>
      <w:r>
        <w:rPr>
          <w:rFonts w:ascii="Cormorant Garamond" w:cs="Cormorant Garamond" w:eastAsia="Cormorant Garamond" w:hAnsi="Cormorant Garamond"/>
          <w:b/>
          <w:bCs/>
          <w:i w:val="false"/>
          <w:iCs w:val="false"/>
          <w:color w:val="1A1A2E"/>
          <w:sz w:val="23"/>
          <w:szCs w:val="23"/>
        </w:rPr>
        <w:t xml:space="preserve">The risk direction is toward the client. </w:t>
      </w:r>
      <w:r>
        <w:rPr>
          <w:rFonts w:ascii="Cormorant Garamond" w:cs="Cormorant Garamond" w:eastAsia="Cormorant Garamond" w:hAnsi="Cormorant Garamond"/>
          <w:b w:val="false"/>
          <w:bCs w:val="false"/>
          <w:i w:val="false"/>
          <w:iCs w:val="false"/>
          <w:color w:val="1A1A2E"/>
          <w:sz w:val="23"/>
          <w:szCs w:val="23"/>
        </w:rPr>
        <w:t xml:space="preserve">The client made a decision to trust Synovus based on a relationship that no longer exists in the form they trusted. The institution changed around them. They didn’t choose to change institutions. The institution chose to change itself. The commercial operating line is the same product. The relationship underneath it is not.</w:t>
      </w:r>
    </w:p>
    <w:p>
      <w:pPr>
        <w:spacing w:after="160" w:line="310"/>
        <w:jc w:val="left"/>
      </w:pPr>
      <w:r>
        <w:rPr>
          <w:rFonts w:ascii="Cormorant Garamond" w:cs="Cormorant Garamond" w:eastAsia="Cormorant Garamond" w:hAnsi="Cormorant Garamond"/>
          <w:b w:val="false"/>
          <w:bCs w:val="false"/>
          <w:i w:val="false"/>
          <w:iCs w:val="false"/>
          <w:color w:val="1A1A2E"/>
          <w:sz w:val="23"/>
          <w:szCs w:val="23"/>
        </w:rPr>
        <w:t xml:space="preserve">The governed alternative: before conversion, map every commercial relationship in Columbus by the institutional knowledge the advisor holds that does not exist in the credit file. Not client data — the bank already has the data. Client context. The things the advisor knows that the file doesn’t say. Capture that context institutionally so that if the advisor departs, the relationship survives the departure. This is not a technology problem. It is a governance decision about whether the institution owns its relationships or its employees do.</w:t>
      </w:r>
    </w:p>
    <w:p>
      <w:pPr>
        <w:pBdr>
          <w:bottom w:val="single" w:color="C9A962" w:sz="1" w:space="4"/>
        </w:pBdr>
        <w:spacing w:after="100" w:before="240"/>
      </w:pPr>
      <w:r>
        <w:rPr>
          <w:rFonts w:ascii="Inter" w:cs="Inter" w:eastAsia="Inter" w:hAnsi="Inter"/>
          <w:color w:val="C9A962"/>
          <w:sz w:val="20"/>
          <w:szCs w:val="20"/>
        </w:rPr>
        <w:t xml:space="preserve">◇ </w:t>
      </w:r>
      <w:r>
        <w:rPr>
          <w:rFonts w:ascii="Playfair Display" w:cs="Playfair Display" w:eastAsia="Playfair Display" w:hAnsi="Playfair Display"/>
          <w:b/>
          <w:bCs/>
          <w:color w:val="0A1628"/>
          <w:sz w:val="24"/>
          <w:szCs w:val="24"/>
        </w:rPr>
        <w:t xml:space="preserve">The SBA Borrower in the LMI Tract</w:t>
      </w:r>
      <w:r>
        <w:rPr>
          <w:rFonts w:ascii="Inter" w:cs="Inter" w:eastAsia="Inter" w:hAnsi="Inter"/>
          <w:color w:val="991B1B"/>
          <w:sz w:val="16"/>
          <w:szCs w:val="16"/>
        </w:rPr>
        <w:t xml:space="preserve">    Risk Direction: Toward Client</w:t>
      </w:r>
    </w:p>
    <w:p>
      <w:pPr>
        <w:spacing w:after="40"/>
      </w:pPr>
      <w:r>
        <w:rPr>
          <w:sz w:val="2"/>
          <w:szCs w:val="2"/>
        </w:rPr>
        <w:t xml:space="preserve"/>
      </w:r>
    </w:p>
    <w:p>
      <w:pPr>
        <w:spacing w:after="160" w:line="310"/>
        <w:jc w:val="left"/>
      </w:pPr>
      <w:r>
        <w:rPr>
          <w:rFonts w:ascii="Cormorant Garamond" w:cs="Cormorant Garamond" w:eastAsia="Cormorant Garamond" w:hAnsi="Cormorant Garamond"/>
          <w:b w:val="false"/>
          <w:bCs w:val="false"/>
          <w:i w:val="false"/>
          <w:iCs w:val="false"/>
          <w:color w:val="1A1A2E"/>
          <w:sz w:val="23"/>
          <w:szCs w:val="23"/>
        </w:rPr>
        <w:t xml:space="preserve">Pinnacle originated SBA 504, 7(a), and Express loans through both legacy franchises. Synovus’s most recent CRA evaluation specifically cited “innovative and flexible lending practices” in small business lending, including programs that extended credit to borrowers who wouldn’t qualify through conventional underwriting. Many of these borrowers sit in LMI census tracts. Their loans qualify as CRA community development activity. Their businesses employ people in the neighborhoods the institution is obligated to serve.</w:t>
      </w:r>
    </w:p>
    <w:p>
      <w:pPr>
        <w:spacing w:after="160" w:line="310"/>
        <w:jc w:val="left"/>
      </w:pPr>
      <w:r>
        <w:rPr>
          <w:rFonts w:ascii="Cormorant Garamond" w:cs="Cormorant Garamond" w:eastAsia="Cormorant Garamond" w:hAnsi="Cormorant Garamond"/>
          <w:b w:val="false"/>
          <w:bCs w:val="false"/>
          <w:i w:val="false"/>
          <w:iCs w:val="false"/>
          <w:color w:val="1A1A2E"/>
          <w:sz w:val="23"/>
          <w:szCs w:val="23"/>
        </w:rPr>
        <w:t xml:space="preserve">During integration, SBA loan servicing will consolidate. The team that services a $180,000 SBA 7(a) loan to a barbershop in Macon may not be the team that originated it. SBA lending has specific compliance requirements — use-of-proceeds documentation, collateral monitoring, annual review obligations — that differ from conventional commercial lending. A servicing team unfamiliar with SBA-specific requirements can inadvertently create compliance findings on performing loans.</w:t>
      </w:r>
    </w:p>
    <w:p>
      <w:pPr>
        <w:spacing w:after="160" w:line="310"/>
        <w:jc w:val="left"/>
      </w:pPr>
      <w:r>
        <w:rPr>
          <w:rFonts w:ascii="Cormorant Garamond" w:cs="Cormorant Garamond" w:eastAsia="Cormorant Garamond" w:hAnsi="Cormorant Garamond"/>
          <w:b w:val="false"/>
          <w:bCs w:val="false"/>
          <w:i w:val="false"/>
          <w:iCs w:val="false"/>
          <w:color w:val="1A1A2E"/>
          <w:sz w:val="23"/>
          <w:szCs w:val="23"/>
        </w:rPr>
        <w:t xml:space="preserve">But the deeper intersection is this: the barbershop owner didn’t get an SBA loan because they qualified on paper. They got an SBA loan because a Synovus lender in Macon looked at their business, understood the neighborhood, understood the market, and used the SBA program’s flexible features to structure something that worked. That lender’s judgment — the decision that this business was worth the institutional commitment — is the product. The loan is just the instrument. If that lender departs and the loan comes up for annual review, the new servicer sees a small loan in a challenged market with thin margins. The context that made the loan make sense is gone.</w:t>
      </w:r>
    </w:p>
    <w:p>
      <w:pPr>
        <w:spacing w:after="160" w:line="310"/>
        <w:jc w:val="left"/>
      </w:pPr>
      <w:r>
        <w:rPr>
          <w:rFonts w:ascii="Cormorant Garamond" w:cs="Cormorant Garamond" w:eastAsia="Cormorant Garamond" w:hAnsi="Cormorant Garamond"/>
          <w:b/>
          <w:bCs/>
          <w:i w:val="false"/>
          <w:iCs w:val="false"/>
          <w:color w:val="1A1A2E"/>
          <w:sz w:val="23"/>
          <w:szCs w:val="23"/>
        </w:rPr>
        <w:t xml:space="preserve">The risk flows toward the client and toward the community. </w:t>
      </w:r>
      <w:r>
        <w:rPr>
          <w:rFonts w:ascii="Cormorant Garamond" w:cs="Cormorant Garamond" w:eastAsia="Cormorant Garamond" w:hAnsi="Cormorant Garamond"/>
          <w:b w:val="false"/>
          <w:bCs w:val="false"/>
          <w:i w:val="false"/>
          <w:iCs w:val="false"/>
          <w:color w:val="1A1A2E"/>
          <w:sz w:val="23"/>
          <w:szCs w:val="23"/>
        </w:rPr>
        <w:t xml:space="preserve">If the loan is managed to a standard that doesn’t account for the relationship context that created it, the barbershop’s terms may tighten. If the barbershop closes, the neighborhood loses more than a business. It loses a CRA data point, an employer, a community anchor, and evidence of the institution’s commitment to the market. One lending relationship, five consequences. No single team tracks all five.</w:t>
      </w:r>
    </w:p>
    <w:p>
      <w:pPr>
        <w:pBdr>
          <w:bottom w:val="single" w:color="C9A962" w:sz="1" w:space="4"/>
        </w:pBdr>
        <w:spacing w:after="100" w:before="240"/>
      </w:pPr>
      <w:r>
        <w:rPr>
          <w:rFonts w:ascii="Inter" w:cs="Inter" w:eastAsia="Inter" w:hAnsi="Inter"/>
          <w:color w:val="C9A962"/>
          <w:sz w:val="20"/>
          <w:szCs w:val="20"/>
        </w:rPr>
        <w:t xml:space="preserve">◇ </w:t>
      </w:r>
      <w:r>
        <w:rPr>
          <w:rFonts w:ascii="Playfair Display" w:cs="Playfair Display" w:eastAsia="Playfair Display" w:hAnsi="Playfair Display"/>
          <w:b/>
          <w:bCs/>
          <w:color w:val="0A1628"/>
          <w:sz w:val="24"/>
          <w:szCs w:val="24"/>
        </w:rPr>
        <w:t xml:space="preserve">The Depositor Who Chose Stability</w:t>
      </w:r>
      <w:r>
        <w:rPr>
          <w:rFonts w:ascii="Inter" w:cs="Inter" w:eastAsia="Inter" w:hAnsi="Inter"/>
          <w:color w:val="92400E"/>
          <w:sz w:val="16"/>
          <w:szCs w:val="16"/>
        </w:rPr>
        <w:t xml:space="preserve">    Risk Direction: Bilateral</w:t>
      </w:r>
    </w:p>
    <w:p>
      <w:pPr>
        <w:spacing w:after="40"/>
      </w:pPr>
      <w:r>
        <w:rPr>
          <w:sz w:val="2"/>
          <w:szCs w:val="2"/>
        </w:rPr>
        <w:t xml:space="preserve"/>
      </w:r>
    </w:p>
    <w:p>
      <w:pPr>
        <w:spacing w:after="160" w:line="310"/>
        <w:jc w:val="left"/>
      </w:pPr>
      <w:r>
        <w:rPr>
          <w:rFonts w:ascii="Cormorant Garamond" w:cs="Cormorant Garamond" w:eastAsia="Cormorant Garamond" w:hAnsi="Cormorant Garamond"/>
          <w:b w:val="false"/>
          <w:bCs w:val="false"/>
          <w:i w:val="false"/>
          <w:iCs w:val="false"/>
          <w:color w:val="1A1A2E"/>
          <w:sz w:val="23"/>
          <w:szCs w:val="23"/>
        </w:rPr>
        <w:t xml:space="preserve">The deposit client who holds $350,000 across a checking account, savings account, and CD at legacy Synovus didn’t choose the institution for yield. They chose it for permanence. Synovus had been in their market for decades. The branch was familiar. The teller knew their name. The statement came from a bank headquartered in their state. That permanence was worth the basis points they could have earned at an online competitor.</w:t>
      </w:r>
    </w:p>
    <w:p>
      <w:pPr>
        <w:spacing w:after="160" w:line="310"/>
        <w:jc w:val="left"/>
      </w:pPr>
      <w:r>
        <w:rPr>
          <w:rFonts w:ascii="Cormorant Garamond" w:cs="Cormorant Garamond" w:eastAsia="Cormorant Garamond" w:hAnsi="Cormorant Garamond"/>
          <w:b w:val="false"/>
          <w:bCs w:val="false"/>
          <w:i w:val="false"/>
          <w:iCs w:val="false"/>
          <w:color w:val="1A1A2E"/>
          <w:sz w:val="23"/>
          <w:szCs w:val="23"/>
        </w:rPr>
        <w:t xml:space="preserve">FDIC insurance coverage for legacy Pinnacle and legacy Synovus accounts remains separately insured for a six-month grace period. After that period, the depositor’s accounts at both legacy institutions consolidate under a single FDIC coverage limit. A depositor who held $250,000 at Synovus and $200,000 at Pinnacle had $450,000 fully insured before the merger. After the grace period, they have $250,000 insured and $200,000 exposed.</w:t>
      </w:r>
    </w:p>
    <w:p>
      <w:pPr>
        <w:spacing w:after="160" w:line="310"/>
        <w:jc w:val="left"/>
      </w:pPr>
      <w:r>
        <w:rPr>
          <w:rFonts w:ascii="Cormorant Garamond" w:cs="Cormorant Garamond" w:eastAsia="Cormorant Garamond" w:hAnsi="Cormorant Garamond"/>
          <w:b w:val="false"/>
          <w:bCs w:val="false"/>
          <w:i w:val="false"/>
          <w:iCs w:val="false"/>
          <w:color w:val="1A1A2E"/>
          <w:sz w:val="23"/>
          <w:szCs w:val="23"/>
        </w:rPr>
        <w:t xml:space="preserve">The institution has communicated this clearly. The information is available on both transition websites. But communication is not governance. The intersection is: does the institution proactively identify every depositor whose combined balances will exceed FDIC limits after the grace period and offer them a governed pathway to restructure — before the exposure occurs? Or does it wait for the depositor to discover it themselves?</w:t>
      </w:r>
    </w:p>
    <w:p>
      <w:pPr>
        <w:spacing w:after="160" w:line="310"/>
        <w:jc w:val="left"/>
      </w:pPr>
      <w:r>
        <w:rPr>
          <w:rFonts w:ascii="Cormorant Garamond" w:cs="Cormorant Garamond" w:eastAsia="Cormorant Garamond" w:hAnsi="Cormorant Garamond"/>
          <w:b/>
          <w:bCs/>
          <w:i w:val="false"/>
          <w:iCs w:val="false"/>
          <w:color w:val="1A1A2E"/>
          <w:sz w:val="23"/>
          <w:szCs w:val="23"/>
        </w:rPr>
        <w:t xml:space="preserve">The risk direction is bilateral if governed. </w:t>
      </w:r>
      <w:r>
        <w:rPr>
          <w:rFonts w:ascii="Cormorant Garamond" w:cs="Cormorant Garamond" w:eastAsia="Cormorant Garamond" w:hAnsi="Cormorant Garamond"/>
          <w:b w:val="false"/>
          <w:bCs w:val="false"/>
          <w:i w:val="false"/>
          <w:iCs w:val="false"/>
          <w:color w:val="1A1A2E"/>
          <w:sz w:val="23"/>
          <w:szCs w:val="23"/>
        </w:rPr>
        <w:t xml:space="preserve">The institution that proactively identifies and contacts these depositors demonstrates that it governs the intersection. The institution that relies on client self-discovery allows the risk to flow toward the client by default. The product hasn’t changed. The coverage structure has. And the client who chose stability is now exposed to a risk they didn’t choose and may not understand until it’s too late.</w:t>
      </w:r>
    </w:p>
    <w:p>
      <w:pPr>
        <w:sectPr>
          <w:pgSz w:w="12240" w:h="15840" w:orient="portrait"/>
          <w:pgMar w:top="1440" w:right="1440" w:bottom="1440" w:left="1440" w:header="708" w:footer="708" w:gutter="0"/>
          <w:pgNumType/>
          <w:docGrid w:linePitch="360"/>
        </w:sectPr>
      </w:pPr>
    </w:p>
    <w:p>
      <w:pPr>
        <w:pBdr>
          <w:bottom w:val="single" w:color="C9A962" w:sz="1" w:space="4"/>
        </w:pBdr>
        <w:spacing w:after="100" w:before="240"/>
      </w:pPr>
      <w:r>
        <w:rPr>
          <w:rFonts w:ascii="Inter" w:cs="Inter" w:eastAsia="Inter" w:hAnsi="Inter"/>
          <w:color w:val="C9A962"/>
          <w:sz w:val="20"/>
          <w:szCs w:val="20"/>
        </w:rPr>
        <w:t xml:space="preserve">◇ </w:t>
      </w:r>
      <w:r>
        <w:rPr>
          <w:rFonts w:ascii="Playfair Display" w:cs="Playfair Display" w:eastAsia="Playfair Display" w:hAnsi="Playfair Display"/>
          <w:b/>
          <w:bCs/>
          <w:color w:val="0A1628"/>
          <w:sz w:val="24"/>
          <w:szCs w:val="24"/>
        </w:rPr>
        <w:t xml:space="preserve">The Affordable Housing Developer in Atlanta</w:t>
      </w:r>
      <w:r>
        <w:rPr>
          <w:rFonts w:ascii="Inter" w:cs="Inter" w:eastAsia="Inter" w:hAnsi="Inter"/>
          <w:color w:val="166534"/>
          <w:sz w:val="16"/>
          <w:szCs w:val="16"/>
        </w:rPr>
        <w:t xml:space="preserve">    Risk Direction: Toward Institution</w:t>
      </w:r>
    </w:p>
    <w:p>
      <w:pPr>
        <w:spacing w:after="40"/>
      </w:pPr>
      <w:r>
        <w:rPr>
          <w:sz w:val="2"/>
          <w:szCs w:val="2"/>
        </w:rPr>
        <w:t xml:space="preserve"/>
      </w:r>
    </w:p>
    <w:p>
      <w:pPr>
        <w:spacing w:after="160" w:line="310"/>
        <w:jc w:val="left"/>
      </w:pPr>
      <w:r>
        <w:rPr>
          <w:rFonts w:ascii="Cormorant Garamond" w:cs="Cormorant Garamond" w:eastAsia="Cormorant Garamond" w:hAnsi="Cormorant Garamond"/>
          <w:b w:val="false"/>
          <w:bCs w:val="false"/>
          <w:i w:val="false"/>
          <w:iCs w:val="false"/>
          <w:color w:val="1A1A2E"/>
          <w:sz w:val="23"/>
          <w:szCs w:val="23"/>
        </w:rPr>
        <w:t xml:space="preserve">Synovus originated $639.4 million in LIHTC project loans during its most recent CRA evaluation period, producing nearly 5,500 affordable housing units. The institution committed $450 million to an Affordable Mortgage Program, with $473 million funded through 2024. This was not incidental activity. It was a governed institutional strategy with dedicated teams, local-market community development managers, quarterly scorecards, and board-level oversight.</w:t>
      </w:r>
    </w:p>
    <w:p>
      <w:pPr>
        <w:spacing w:after="160" w:line="310"/>
        <w:jc w:val="left"/>
      </w:pPr>
      <w:r>
        <w:rPr>
          <w:rFonts w:ascii="Cormorant Garamond" w:cs="Cormorant Garamond" w:eastAsia="Cormorant Garamond" w:hAnsi="Cormorant Garamond"/>
          <w:b w:val="false"/>
          <w:bCs w:val="false"/>
          <w:i w:val="false"/>
          <w:iCs w:val="false"/>
          <w:color w:val="1A1A2E"/>
          <w:sz w:val="23"/>
          <w:szCs w:val="23"/>
        </w:rPr>
        <w:t xml:space="preserve">The affordable housing developer who structures a $12 million LIHTC project with Synovus is not a transactional borrower. That developer has a multi-year relationship with the community development team. The team understands the developer’s pipeline, their nonprofit partners, the census tracts they’re targeting, and the specific tax credit allocation cycles they’re navigating. The team’s institutional knowledge shapes which projects get structured, how they’re structured, and whether the bank’s credit appetite aligns with the developer’s timeline.</w:t>
      </w:r>
    </w:p>
    <w:p>
      <w:pPr>
        <w:spacing w:after="160" w:line="310"/>
        <w:jc w:val="left"/>
      </w:pPr>
      <w:r>
        <w:rPr>
          <w:rFonts w:ascii="Cormorant Garamond" w:cs="Cormorant Garamond" w:eastAsia="Cormorant Garamond" w:hAnsi="Cormorant Garamond"/>
          <w:b w:val="false"/>
          <w:bCs w:val="false"/>
          <w:i w:val="false"/>
          <w:iCs w:val="false"/>
          <w:color w:val="1A1A2E"/>
          <w:sz w:val="23"/>
          <w:szCs w:val="23"/>
        </w:rPr>
        <w:t xml:space="preserve">Post-merger, the combined entity has committed to continued community investment. The integration’s cost savings — projected to drive 21% operating earnings accretion by 2027 — create a structural tension. Community development teams are cost centers. Integration economics optimize by consolidating cost centers. If the Atlanta community development team absorbs the Columbus team, the institutional knowledge about Columbus’s affordable housing pipeline, its nonprofit ecosystem, and its specific LIHTC allocation dynamics doesn’t transfer. It disappears.</w:t>
      </w:r>
    </w:p>
    <w:p>
      <w:pPr>
        <w:spacing w:after="160" w:line="310"/>
        <w:jc w:val="left"/>
      </w:pPr>
      <w:r>
        <w:rPr>
          <w:rFonts w:ascii="Cormorant Garamond" w:cs="Cormorant Garamond" w:eastAsia="Cormorant Garamond" w:hAnsi="Cormorant Garamond"/>
          <w:b/>
          <w:bCs/>
          <w:i w:val="false"/>
          <w:iCs w:val="false"/>
          <w:color w:val="1A1A2E"/>
          <w:sz w:val="23"/>
          <w:szCs w:val="23"/>
        </w:rPr>
        <w:t xml:space="preserve">The risk here flows toward the institution, not the developer. </w:t>
      </w:r>
      <w:r>
        <w:rPr>
          <w:rFonts w:ascii="Cormorant Garamond" w:cs="Cormorant Garamond" w:eastAsia="Cormorant Garamond" w:hAnsi="Cormorant Garamond"/>
          <w:b w:val="false"/>
          <w:bCs w:val="false"/>
          <w:i w:val="false"/>
          <w:iCs w:val="false"/>
          <w:color w:val="1A1A2E"/>
          <w:sz w:val="23"/>
          <w:szCs w:val="23"/>
        </w:rPr>
        <w:t xml:space="preserve">The developer will find another bank. LIHTC projects are competitive for lenders because they generate CRA credit and have strong federal backing. The developer moves their pipeline to a competitor. The institution loses the CRA-qualifying activity, the community development expertise, and the market presence — and discovers this loss during its next CRA examination, when the examiner asks why LIHTC origination volume declined by 40% in Georgia markets.</w:t>
      </w:r>
    </w:p>
    <w:p>
      <w:pPr>
        <w:pBdr>
          <w:bottom w:val="single" w:color="C9A962" w:sz="2" w:space="1"/>
        </w:pBdr>
        <w:spacing w:after="200" w:before="200"/>
      </w:pPr>
      <w:r>
        <w:rPr>
          <w:sz w:val="2"/>
          <w:szCs w:val="2"/>
        </w:rPr>
        <w:t xml:space="preserve"/>
      </w:r>
    </w:p>
    <w:p>
      <w:pPr>
        <w:pBdr>
          <w:bottom w:val="single" w:color="C9A962" w:sz="1" w:space="4"/>
        </w:pBdr>
        <w:spacing w:after="100" w:before="240"/>
      </w:pPr>
      <w:r>
        <w:rPr>
          <w:rFonts w:ascii="Inter" w:cs="Inter" w:eastAsia="Inter" w:hAnsi="Inter"/>
          <w:color w:val="C9A962"/>
          <w:sz w:val="20"/>
          <w:szCs w:val="20"/>
        </w:rPr>
        <w:t xml:space="preserve">◇ </w:t>
      </w:r>
      <w:r>
        <w:rPr>
          <w:rFonts w:ascii="Playfair Display" w:cs="Playfair Display" w:eastAsia="Playfair Display" w:hAnsi="Playfair Display"/>
          <w:b/>
          <w:bCs/>
          <w:color w:val="0A1628"/>
          <w:sz w:val="24"/>
          <w:szCs w:val="24"/>
        </w:rPr>
        <w:t xml:space="preserve">The Financial Advisor Who Built the Book</w:t>
      </w:r>
      <w:r>
        <w:rPr>
          <w:rFonts w:ascii="Inter" w:cs="Inter" w:eastAsia="Inter" w:hAnsi="Inter"/>
          <w:color w:val="166534"/>
          <w:sz w:val="16"/>
          <w:szCs w:val="16"/>
        </w:rPr>
        <w:t xml:space="preserve">    Risk Direction: Toward Everyone</w:t>
      </w:r>
    </w:p>
    <w:p>
      <w:pPr>
        <w:spacing w:after="40"/>
      </w:pPr>
      <w:r>
        <w:rPr>
          <w:sz w:val="2"/>
          <w:szCs w:val="2"/>
        </w:rPr>
        <w:t xml:space="preserve"/>
      </w:r>
    </w:p>
    <w:p>
      <w:pPr>
        <w:spacing w:after="160" w:line="310"/>
        <w:jc w:val="left"/>
      </w:pPr>
      <w:r>
        <w:rPr>
          <w:rFonts w:ascii="Cormorant Garamond" w:cs="Cormorant Garamond" w:eastAsia="Cormorant Garamond" w:hAnsi="Cormorant Garamond"/>
          <w:b w:val="false"/>
          <w:bCs w:val="false"/>
          <w:i w:val="false"/>
          <w:iCs w:val="false"/>
          <w:color w:val="1A1A2E"/>
          <w:sz w:val="23"/>
          <w:szCs w:val="23"/>
        </w:rPr>
        <w:t xml:space="preserve">The most consequential intersection in any bank merger is the financial advisor. Not because advisors are more important than clients. Because advisors ARE the relationship. The product suite is institutional. The advice is personal. The client chose the advisor. The institution holds the accounts. The merger changes the institution. The client watches to see if the advisor stays.</w:t>
      </w:r>
    </w:p>
    <w:p>
      <w:pPr>
        <w:spacing w:after="160" w:line="310"/>
        <w:jc w:val="left"/>
      </w:pPr>
      <w:r>
        <w:rPr>
          <w:rFonts w:ascii="Cormorant Garamond" w:cs="Cormorant Garamond" w:eastAsia="Cormorant Garamond" w:hAnsi="Cormorant Garamond"/>
          <w:b w:val="false"/>
          <w:bCs w:val="false"/>
          <w:i w:val="false"/>
          <w:iCs w:val="false"/>
          <w:color w:val="1A1A2E"/>
          <w:sz w:val="23"/>
          <w:szCs w:val="23"/>
        </w:rPr>
        <w:t xml:space="preserve">Aaron Binion has 17 years in banking. Started as a teller. Built relationships from the ground up at Capitol City, SunTrust, BB&amp;T, CenterState, now Pinnacle. He was at the PEER Center accelerator launch. He’s seen integrations before — he lived through SunTrust becoming BB&amp;T becoming Truist. He knows what happens when advisors leave: the book doesn’t transfer cleanly, the client relationship fragments, and the institutional knowledge walks out the door.</w:t>
      </w:r>
    </w:p>
    <w:p>
      <w:pPr>
        <w:spacing w:after="160" w:line="310"/>
        <w:jc w:val="left"/>
      </w:pPr>
      <w:r>
        <w:rPr>
          <w:rFonts w:ascii="Cormorant Garamond" w:cs="Cormorant Garamond" w:eastAsia="Cormorant Garamond" w:hAnsi="Cormorant Garamond"/>
          <w:b w:val="false"/>
          <w:bCs w:val="false"/>
          <w:i w:val="false"/>
          <w:iCs w:val="false"/>
          <w:color w:val="1A1A2E"/>
          <w:sz w:val="23"/>
          <w:szCs w:val="23"/>
        </w:rPr>
        <w:t xml:space="preserve">Every financial advisor inside the combined Pinnacle-Synovus entity is simultaneously managing their clients’ uncertainty, their own career uncertainty, and the operational friction of serving clients through systems that don’t yet talk to each other. The advisors who thrive in this environment are the ones who understand that their value isn’t the product suite — any bank has products. Their value is their position at the intersection: they are the point where the institution’s capabilities meet the client’s needs, and they are the only person who holds the full context of that meeting.</w:t>
      </w:r>
    </w:p>
    <w:p>
      <w:pPr>
        <w:spacing w:after="160" w:line="310"/>
        <w:jc w:val="left"/>
      </w:pPr>
      <w:r>
        <w:rPr>
          <w:rFonts w:ascii="Cormorant Garamond" w:cs="Cormorant Garamond" w:eastAsia="Cormorant Garamond" w:hAnsi="Cormorant Garamond"/>
          <w:b/>
          <w:bCs/>
          <w:i w:val="false"/>
          <w:iCs w:val="false"/>
          <w:color w:val="1A1A2E"/>
          <w:sz w:val="23"/>
          <w:szCs w:val="23"/>
        </w:rPr>
        <w:t xml:space="preserve">The risk flows in every direction simultaneously. </w:t>
      </w:r>
      <w:r>
        <w:rPr>
          <w:rFonts w:ascii="Cormorant Garamond" w:cs="Cormorant Garamond" w:eastAsia="Cormorant Garamond" w:hAnsi="Cormorant Garamond"/>
          <w:b w:val="false"/>
          <w:bCs w:val="false"/>
          <w:i w:val="false"/>
          <w:iCs w:val="false"/>
          <w:color w:val="1A1A2E"/>
          <w:sz w:val="23"/>
          <w:szCs w:val="23"/>
        </w:rPr>
        <w:t xml:space="preserve">If the advisor leaves, the client is exposed to an institution that doesn’t know them. The institution is exposed to client attrition it cannot prevent because the relationship context left with the advisor. And the community — the nonprofits the advisor sat on boards with, the CRA-qualifying activity the advisor’s lending generated, the civic fabric the advisor participated in — loses a connection to the institution that no replacement can immediately replicate.</w:t>
      </w:r>
    </w:p>
    <w:p>
      <w:pPr>
        <w:spacing w:after="160" w:line="310"/>
        <w:jc w:val="left"/>
      </w:pPr>
      <w:r>
        <w:rPr>
          <w:rFonts w:ascii="Cormorant Garamond" w:cs="Cormorant Garamond" w:eastAsia="Cormorant Garamond" w:hAnsi="Cormorant Garamond"/>
          <w:b w:val="false"/>
          <w:bCs w:val="false"/>
          <w:i w:val="false"/>
          <w:iCs w:val="false"/>
          <w:color w:val="1A1A2E"/>
          <w:sz w:val="23"/>
          <w:szCs w:val="23"/>
        </w:rPr>
        <w:t xml:space="preserve">The question for the combined entity is not how to retain advisors. Retention bonuses are a commodity. Every merging bank offers them. The question is: does the institution govern the intersection that the advisor occupies, or does it rely on the advisor to govern it alone? If the relationship context, the client knowledge, the community connections, and the product-to-person mapping live only in the advisor’s experience — then the institution doesn’t own its client relationships. Its employees do. And employees are temporary. Relationships should not be.</w:t>
      </w:r>
    </w:p>
    <w:p>
      <w:pPr>
        <w:pBdr>
          <w:bottom w:val="single" w:color="C9A962" w:sz="2" w:space="1"/>
        </w:pBdr>
        <w:spacing w:after="200" w:before="200"/>
      </w:pPr>
      <w:r>
        <w:rPr>
          <w:sz w:val="2"/>
          <w:szCs w:val="2"/>
        </w:rPr>
        <w:t xml:space="preserve"/>
      </w:r>
    </w:p>
    <w:p>
      <w:pPr>
        <w:spacing w:after="60"/>
      </w:pPr>
      <w:r>
        <w:rPr>
          <w:rFonts w:ascii="Inter" w:cs="Inter" w:eastAsia="Inter" w:hAnsi="Inter"/>
          <w:b/>
          <w:bCs/>
          <w:color w:val="C9A962"/>
          <w:sz w:val="15"/>
          <w:szCs w:val="15"/>
        </w:rPr>
        <w:t xml:space="preserve">THE MERIDIAN OBSERVATION</w:t>
      </w:r>
    </w:p>
    <w:p>
      <w:pPr>
        <w:spacing w:after="200" w:before="360"/>
      </w:pPr>
      <w:r>
        <w:rPr>
          <w:rFonts w:ascii="Playfair Display" w:cs="Playfair Display" w:eastAsia="Playfair Display" w:hAnsi="Playfair Display"/>
          <w:b/>
          <w:bCs/>
          <w:color w:val="0A1628"/>
          <w:sz w:val="30"/>
          <w:szCs w:val="30"/>
        </w:rPr>
        <w:t xml:space="preserve">What the Intersections Reveal</w:t>
      </w:r>
    </w:p>
    <w:p>
      <w:pPr>
        <w:spacing w:after="60"/>
      </w:pPr>
      <w:r>
        <w:rPr>
          <w:sz w:val="2"/>
          <w:szCs w:val="2"/>
        </w:rPr>
        <w:t xml:space="preserve"/>
      </w:r>
    </w:p>
    <w:p>
      <w:pPr>
        <w:spacing w:after="160" w:line="310"/>
        <w:jc w:val="left"/>
      </w:pPr>
      <w:r>
        <w:rPr>
          <w:rFonts w:ascii="Cormorant Garamond" w:cs="Cormorant Garamond" w:eastAsia="Cormorant Garamond" w:hAnsi="Cormorant Garamond"/>
          <w:b w:val="false"/>
          <w:bCs w:val="false"/>
          <w:i w:val="false"/>
          <w:iCs w:val="false"/>
          <w:color w:val="1A1A2E"/>
          <w:sz w:val="23"/>
          <w:szCs w:val="23"/>
        </w:rPr>
        <w:t xml:space="preserve">Five intersections. Five places where a product meets a person during a merger. In each case, the risk direction is determined not by the quality of the product or the sophistication of the integration plan, but by whether the institution governs the intersection or leaves it ungoverned.</w:t>
      </w:r>
    </w:p>
    <w:p>
      <w:pPr>
        <w:spacing w:after="160" w:line="310"/>
        <w:jc w:val="left"/>
      </w:pPr>
      <w:r>
        <w:rPr>
          <w:rFonts w:ascii="Cormorant Garamond" w:cs="Cormorant Garamond" w:eastAsia="Cormorant Garamond" w:hAnsi="Cormorant Garamond"/>
          <w:b w:val="false"/>
          <w:bCs w:val="false"/>
          <w:i w:val="false"/>
          <w:iCs w:val="false"/>
          <w:color w:val="1A1A2E"/>
          <w:sz w:val="23"/>
          <w:szCs w:val="23"/>
        </w:rPr>
        <w:t xml:space="preserve">The conventional integration playbook governs products. System migration. Account conversion. Regulatory compliance. Cost synergies. These are important. They ensure the institution survives the merger operationally.</w:t>
      </w:r>
    </w:p>
    <w:p>
      <w:pPr>
        <w:spacing w:after="160" w:line="310"/>
        <w:jc w:val="left"/>
      </w:pPr>
      <w:r>
        <w:rPr>
          <w:rFonts w:ascii="Cormorant Garamond" w:cs="Cormorant Garamond" w:eastAsia="Cormorant Garamond" w:hAnsi="Cormorant Garamond"/>
          <w:b w:val="false"/>
          <w:bCs w:val="false"/>
          <w:i w:val="false"/>
          <w:iCs w:val="false"/>
          <w:color w:val="1A1A2E"/>
          <w:sz w:val="23"/>
          <w:szCs w:val="23"/>
        </w:rPr>
        <w:t xml:space="preserve">What the conventional playbook does not govern is the space between the product and the person. The context that a Columbus advisor holds about why a commercial line was structured the way it was. The judgment a Macon lender exercised when approving an SBA loan in a challenging market. The depositor’s assumption of permanence that a merger quietly invalidated. The affordable housing developer’s pipeline that depends on institutional knowledge living in a team that cost optimization may consolidate. The advisor who IS the relationship that 400 clients depend on.</w:t>
      </w:r>
    </w:p>
    <w:p>
      <w:pPr>
        <w:spacing w:after="160" w:line="310"/>
        <w:jc w:val="left"/>
      </w:pPr>
      <w:r>
        <w:rPr>
          <w:rFonts w:ascii="Cormorant Garamond" w:cs="Cormorant Garamond" w:eastAsia="Cormorant Garamond" w:hAnsi="Cormorant Garamond"/>
          <w:b w:val="false"/>
          <w:bCs w:val="false"/>
          <w:i w:val="false"/>
          <w:iCs w:val="false"/>
          <w:color w:val="1A1A2E"/>
          <w:sz w:val="23"/>
          <w:szCs w:val="23"/>
        </w:rPr>
        <w:t xml:space="preserve">Each of these intersections is observable right now. The patterns are visible to anyone willing to look. The commercial client in Columbus can be identified today. The SBA borrowers in LMI tracts can be mapped today. The depositors exceeding combined FDIC limits can be flagged today. The community development teams at risk of consolidation can be inventoried today. The advisors whose departure would cascade across four domains can be named today.</w:t>
      </w:r>
    </w:p>
    <w:p>
      <w:pPr>
        <w:spacing w:after="160" w:line="310"/>
        <w:jc w:val="left"/>
      </w:pPr>
      <w:r>
        <w:rPr>
          <w:rFonts w:ascii="Cormorant Garamond" w:cs="Cormorant Garamond" w:eastAsia="Cormorant Garamond" w:hAnsi="Cormorant Garamond"/>
          <w:b w:val="false"/>
          <w:bCs w:val="false"/>
          <w:i/>
          <w:iCs/>
          <w:color w:val="1A1A2E"/>
          <w:sz w:val="23"/>
          <w:szCs w:val="23"/>
        </w:rPr>
        <w:t xml:space="preserve">The institution that governs these intersections — that stands at each one and asks “which direction does the risk flow, and how do we make it bilateral?” — doesn’t just survive a merger. It earns the trust of the clients, communities, and advisors who made both legacy institutions worth combining in the first place.</w:t>
      </w:r>
    </w:p>
    <w:p>
      <w:pPr>
        <w:spacing w:after="60"/>
      </w:pPr>
      <w:r>
        <w:rPr>
          <w:sz w:val="2"/>
          <w:szCs w:val="2"/>
        </w:rPr>
        <w:t xml:space="preserve"/>
      </w:r>
    </w:p>
    <w:p>
      <w:pPr>
        <w:spacing w:after="160" w:line="310"/>
        <w:jc w:val="left"/>
      </w:pPr>
      <w:r>
        <w:rPr>
          <w:rFonts w:ascii="Cormorant Garamond" w:cs="Cormorant Garamond" w:eastAsia="Cormorant Garamond" w:hAnsi="Cormorant Garamond"/>
          <w:b w:val="false"/>
          <w:bCs w:val="false"/>
          <w:i w:val="false"/>
          <w:iCs w:val="false"/>
          <w:color w:val="1A1A2E"/>
          <w:sz w:val="23"/>
          <w:szCs w:val="23"/>
        </w:rPr>
        <w:t xml:space="preserve">That trust is not a sentiment. It is a measurable institutional asset. It shows up in client retention rates, advisor tenure, CRA examination outcomes, deposit stability, and the willingness of communities to choose the institution when they have alternatives. The institution that governs intersections during transformation compounds that asset. The institution that leaves intersections ungoverned discovers what it cost to ignore them — one client, one advisor, one community at a time.</w:t>
      </w:r>
    </w:p>
    <w:p>
      <w:pPr>
        <w:spacing w:after="60"/>
      </w:pPr>
      <w:r>
        <w:rPr>
          <w:sz w:val="2"/>
          <w:szCs w:val="2"/>
        </w:rPr>
        <w:t xml:space="preserve"/>
      </w:r>
    </w:p>
    <w:p>
      <w:pPr>
        <w:spacing w:after="160" w:line="310"/>
        <w:jc w:val="left"/>
      </w:pPr>
      <w:r>
        <w:rPr>
          <w:rFonts w:ascii="Cormorant Garamond" w:cs="Cormorant Garamond" w:eastAsia="Cormorant Garamond" w:hAnsi="Cormorant Garamond"/>
          <w:b w:val="false"/>
          <w:bCs w:val="false"/>
          <w:i w:val="false"/>
          <w:iCs w:val="false"/>
          <w:color w:val="1A1A2E"/>
          <w:sz w:val="23"/>
          <w:szCs w:val="23"/>
        </w:rPr>
        <w:t xml:space="preserve">Sixty days into the largest regional bank merger in the Southeast, every intersection described here is still governable. The patterns are anticipatory, not diagnostic. The question is whether the institution sees them in time to act — or discovers them in the next examination cycle, when the findings arrive as observations rather than intelligence.</w:t>
      </w:r>
    </w:p>
    <w:p>
      <w:pPr>
        <w:pBdr>
          <w:bottom w:val="single" w:color="C9A962" w:sz="2" w:space="1"/>
        </w:pBdr>
        <w:spacing w:after="200" w:before="200"/>
      </w:pPr>
      <w:r>
        <w:rPr>
          <w:sz w:val="2"/>
          <w:szCs w:val="2"/>
        </w:rPr>
        <w:t xml:space="preserve"/>
      </w:r>
    </w:p>
    <w:p>
      <w:pPr>
        <w:spacing w:after="200"/>
      </w:pPr>
      <w:r>
        <w:rPr>
          <w:sz w:val="2"/>
          <w:szCs w:val="2"/>
        </w:rPr>
        <w:t xml:space="preserve"/>
      </w:r>
    </w:p>
    <w:p>
      <w:pPr>
        <w:pBdr>
          <w:top w:val="single" w:color="C9A962" w:sz="2" w:space="8"/>
          <w:bottom w:val="single" w:color="C9A962" w:sz="2" w:space="8"/>
        </w:pBdr>
        <w:jc w:val="center"/>
      </w:pPr>
      <w:r>
        <w:rPr>
          <w:rFonts w:ascii="Inter" w:cs="Inter" w:eastAsia="Inter" w:hAnsi="Inter"/>
          <w:color w:val="C9A962"/>
          <w:sz w:val="16"/>
          <w:szCs w:val="16"/>
        </w:rPr>
        <w:t xml:space="preserve">Meridian Continental • Q1 2026</w:t>
      </w:r>
    </w:p>
    <w:p>
      <w:pPr>
        <w:spacing w:after="80"/>
      </w:pPr>
      <w:r>
        <w:rPr>
          <w:sz w:val="2"/>
          <w:szCs w:val="2"/>
        </w:rPr>
        <w:t xml:space="preserve"/>
      </w:r>
    </w:p>
    <w:p>
      <w:pPr>
        <w:spacing w:after="40"/>
        <w:jc w:val="center"/>
      </w:pPr>
      <w:r>
        <w:rPr>
          <w:rFonts w:ascii="Inter" w:cs="Inter" w:eastAsia="Inter" w:hAnsi="Inter"/>
          <w:color w:val="4A4A5A"/>
          <w:sz w:val="16"/>
          <w:szCs w:val="16"/>
        </w:rPr>
        <w:t xml:space="preserve">Meridia Holdings LLC • Governance as a Service</w:t>
      </w:r>
    </w:p>
    <w:p>
      <w:pPr>
        <w:spacing w:after="40"/>
      </w:pPr>
      <w:r>
        <w:rPr>
          <w:sz w:val="2"/>
          <w:szCs w:val="2"/>
        </w:rPr>
        <w:t xml:space="preserve"/>
      </w:r>
    </w:p>
    <w:p>
      <w:pPr>
        <w:spacing w:after="30"/>
        <w:jc w:val="center"/>
      </w:pPr>
      <w:r>
        <w:rPr>
          <w:rFonts w:ascii="Inter" w:cs="Inter" w:eastAsia="Inter" w:hAnsi="Inter"/>
          <w:color w:val="4A4A5A"/>
          <w:sz w:val="13"/>
          <w:szCs w:val="13"/>
        </w:rPr>
        <w:t xml:space="preserve">This document contains institutional analysis derived from publicly available information.</w:t>
      </w:r>
    </w:p>
    <w:p>
      <w:pPr>
        <w:jc w:val="center"/>
      </w:pPr>
      <w:r>
        <w:rPr>
          <w:rFonts w:ascii="Inter" w:cs="Inter" w:eastAsia="Inter" w:hAnsi="Inter"/>
          <w:color w:val="4A4A5A"/>
          <w:sz w:val="13"/>
          <w:szCs w:val="13"/>
        </w:rPr>
        <w:t xml:space="preserve">It does not constitute investment advice, regulatory guidance, or an offer of services.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rmorant Garamond" w:cs="Cormorant Garamond" w:eastAsia="Cormorant Garamond" w:hAnsi="Cormorant Garamon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Playfair Display" w:cs="Playfair Display" w:eastAsia="Playfair Display" w:hAnsi="Playfair Display"/>
      <w:b/>
      <w:bCs/>
      <w:color w:val="0A1628"/>
      <w:sz w:val="30"/>
      <w:szCs w:val="30"/>
    </w:rPr>
  </w:style>
  <w:style w:type="paragraph" w:styleId="Heading2">
    <w:name w:val="Heading 2"/>
    <w:basedOn w:val="Normal"/>
    <w:next w:val="Normal"/>
    <w:qFormat/>
    <w:pPr>
      <w:spacing w:after="140" w:before="280"/>
      <w:outlineLvl w:val="1"/>
    </w:pPr>
    <w:rPr>
      <w:rFonts w:ascii="Playfair Display" w:cs="Playfair Display" w:eastAsia="Playfair Display" w:hAnsi="Playfair Display"/>
      <w:b/>
      <w:bCs/>
      <w:color w:val="0A162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2026-03-06T04:42:11.182Z</dcterms:created>
  <dcterms:modified xsi:type="dcterms:W3CDTF">2026-03-06T04:42:11.184Z</dcterms:modified>
</cp:coreProperties>
</file>

<file path=docProps/custom.xml><?xml version="1.0" encoding="utf-8"?>
<Properties xmlns="http://schemas.openxmlformats.org/officeDocument/2006/custom-properties" xmlns:vt="http://schemas.openxmlformats.org/officeDocument/2006/docPropsVTypes"/>
</file>