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ormorant Garamond" w:cs="Cormorant Garamond" w:eastAsia="Cormorant Garamond" w:hAnsi="Cormorant Garamond"/>
          <w:b/>
          <w:bCs/>
          <w:color w:val="0A1628"/>
          <w:sz w:val="48"/>
          <w:szCs w:val="48"/>
        </w:rPr>
        <w:t xml:space="preserve">MERIDIEM</w:t>
      </w:r>
    </w:p>
    <w:p>
      <w:pPr>
        <w:spacing w:after="60"/>
        <w:jc w:val="center"/>
      </w:pPr>
      <w:r>
        <w:rPr>
          <w:rFonts w:ascii="Inter" w:cs="Inter" w:eastAsia="Inter" w:hAnsi="Inter"/>
          <w:color w:val="666666"/>
          <w:sz w:val="28"/>
          <w:szCs w:val="28"/>
        </w:rPr>
        <w:t xml:space="preserve">Data Source Research Report</w:t>
      </w:r>
    </w:p>
    <w:p>
      <w:pPr>
        <w:pBdr>
          <w:bottom w:val="single" w:color="C9A962" w:sz="3" w:space="12"/>
        </w:pBdr>
        <w:spacing w:after="60"/>
        <w:jc w:val="center"/>
      </w:pPr>
      <w:r>
        <w:rPr>
          <w:rFonts w:ascii="Inter" w:cs="Inter" w:eastAsia="Inter" w:hAnsi="Inter"/>
          <w:color w:val="C9A962"/>
          <w:sz w:val="22"/>
          <w:szCs w:val="22"/>
        </w:rPr>
        <w:t xml:space="preserve">Andre Waits Recommended Sources + Public Federal Data</w:t>
      </w:r>
    </w:p>
    <w:p>
      <w:pPr>
        <w:spacing w:after="400"/>
        <w:jc w:val="center"/>
      </w:pPr>
      <w:r>
        <w:rPr>
          <w:rFonts w:ascii="Inter" w:cs="Inter" w:eastAsia="Inter" w:hAnsi="Inter"/>
          <w:color w:val="666666"/>
          <w:sz w:val="18"/>
          <w:szCs w:val="18"/>
        </w:rPr>
        <w:t xml:space="preserve">Prepared March 16, 2026  |  CONFIDENTIAL</w:t>
      </w:r>
    </w:p>
    <w:p>
      <w:pPr>
        <w:pStyle w:val="Heading1"/>
        <w:spacing w:after="200" w:before="400"/>
      </w:pPr>
      <w:r>
        <w:rPr>
          <w:rFonts w:ascii="Cormorant Garamond" w:cs="Cormorant Garamond" w:eastAsia="Cormorant Garamond" w:hAnsi="Cormorant Garamond"/>
          <w:b/>
          <w:bCs/>
          <w:color w:val="0A1628"/>
          <w:sz w:val="30"/>
          <w:szCs w:val="30"/>
        </w:rPr>
        <w:t xml:space="preserve">Context</w:t>
      </w:r>
    </w:p>
    <w:p>
      <w:pPr>
        <w:spacing w:after="120"/>
      </w:pPr>
      <w:r>
        <w:rPr>
          <w:rFonts w:ascii="Inter" w:cs="Inter" w:eastAsia="Inter" w:hAnsi="Inter"/>
          <w:b w:val="false"/>
          <w:bCs w:val="false"/>
          <w:i w:val="false"/>
          <w:iCs w:val="false"/>
          <w:color w:val="333333"/>
          <w:sz w:val="20"/>
          <w:szCs w:val="20"/>
        </w:rPr>
        <w:t xml:space="preserve">On September 30, 2025, Andre Waits (VP Global Card Operations, JPMC) stated that the Meridiem governance framework needs case data and use cases to prove the solution works. During the meeting, he searched live and identified six data sources. This report evaluates each of Andre's recommendations alongside publicly available federal data sources that are free and immediately accessible.</w:t>
      </w:r>
    </w:p>
    <w:p>
      <w:pPr>
        <w:spacing w:after="120"/>
      </w:pPr>
      <w:r>
        <w:rPr>
          <w:rFonts w:ascii="Inter" w:cs="Inter" w:eastAsia="Inter" w:hAnsi="Inter"/>
          <w:b w:val="false"/>
          <w:bCs w:val="false"/>
          <w:i w:val="false"/>
          <w:iCs w:val="false"/>
          <w:color w:val="333333"/>
          <w:sz w:val="20"/>
          <w:szCs w:val="20"/>
        </w:rPr>
        <w:t xml:space="preserve">Andre's core directive: 'The framework needs to start small with the right initial use case before scaling. Finding the appropriate starting point is the current challenge.'</w:t>
      </w:r>
    </w:p>
    <w:p>
      <w:pPr>
        <w:spacing w:after="300"/>
      </w:pPr>
      <w:r>
        <w:rPr>
          <w:rFonts w:ascii="Inter" w:cs="Inter" w:eastAsia="Inter" w:hAnsi="Inter"/>
          <w:b w:val="false"/>
          <w:bCs w:val="false"/>
          <w:i w:val="false"/>
          <w:iCs w:val="false"/>
          <w:color w:val="333333"/>
          <w:sz w:val="20"/>
          <w:szCs w:val="20"/>
        </w:rPr>
        <w:t xml:space="preserve">Andre's role: He can provide requirements and specifications to programmers. He is not a programmer but can validate outputs against his 25 years of operational experience at JPMC.</w:t>
      </w:r>
    </w:p>
    <w:p>
      <w:pPr>
        <w:pStyle w:val="Heading1"/>
        <w:spacing w:after="200" w:before="400"/>
      </w:pPr>
      <w:r>
        <w:rPr>
          <w:rFonts w:ascii="Cormorant Garamond" w:cs="Cormorant Garamond" w:eastAsia="Cormorant Garamond" w:hAnsi="Cormorant Garamond"/>
          <w:b/>
          <w:bCs/>
          <w:color w:val="0A1628"/>
          <w:sz w:val="30"/>
          <w:szCs w:val="30"/>
        </w:rPr>
        <w:t xml:space="preserve">Section 1: Andre's Recommended Data Sources</w:t>
      </w:r>
    </w:p>
    <w:p>
      <w:pPr>
        <w:spacing w:after="200"/>
      </w:pPr>
      <w:r>
        <w:rPr>
          <w:rFonts w:ascii="Inter" w:cs="Inter" w:eastAsia="Inter" w:hAnsi="Inter"/>
          <w:b w:val="false"/>
          <w:bCs w:val="false"/>
          <w:i w:val="false"/>
          <w:iCs w:val="false"/>
          <w:color w:val="333333"/>
          <w:sz w:val="20"/>
          <w:szCs w:val="20"/>
        </w:rPr>
        <w:t xml:space="preserve">These six sources were identified by Andre during the September 30, 2025 meeting. He shared links in real time.</w:t>
      </w:r>
    </w:p>
    <w:p>
      <w:pPr>
        <w:pStyle w:val="Heading2"/>
        <w:spacing w:after="120" w:before="300"/>
      </w:pPr>
      <w:r>
        <w:rPr>
          <w:rFonts w:ascii="Cormorant Garamond" w:cs="Cormorant Garamond" w:eastAsia="Cormorant Garamond" w:hAnsi="Cormorant Garamond"/>
          <w:b/>
          <w:bCs/>
          <w:color w:val="0A1628"/>
          <w:sz w:val="24"/>
          <w:szCs w:val="24"/>
        </w:rPr>
        <w:t xml:space="preserve">1. Monda AI</w:t>
      </w:r>
    </w:p>
    <w:p>
      <w:pPr>
        <w:spacing w:after="120"/>
      </w:pPr>
      <w:r>
        <w:rPr>
          <w:rFonts w:ascii="Inter" w:cs="Inter" w:eastAsia="Inter" w:hAnsi="Inter"/>
          <w:b w:val="false"/>
          <w:bCs w:val="false"/>
          <w:i w:val="false"/>
          <w:iCs w:val="false"/>
          <w:color w:val="333333"/>
          <w:sz w:val="20"/>
          <w:szCs w:val="20"/>
        </w:rPr>
        <w:t xml:space="preserve">Website: monda.ai</w:t>
      </w:r>
    </w:p>
    <w:p>
      <w:pPr>
        <w:spacing w:after="120"/>
      </w:pPr>
      <w:r>
        <w:rPr>
          <w:rFonts w:ascii="Inter" w:cs="Inter" w:eastAsia="Inter" w:hAnsi="Inter"/>
          <w:b w:val="false"/>
          <w:bCs w:val="false"/>
          <w:i w:val="false"/>
          <w:iCs w:val="false"/>
          <w:color w:val="333333"/>
          <w:sz w:val="20"/>
          <w:szCs w:val="20"/>
        </w:rPr>
        <w:t xml:space="preserve">What it is: An all-in-one data monetization platform. Over 150 companies use Monda to create, sell, and deliver AI-ready data products. ISO 27001 certified.</w:t>
      </w:r>
    </w:p>
    <w:p>
      <w:pPr>
        <w:spacing w:after="120"/>
      </w:pPr>
      <w:r>
        <w:rPr>
          <w:rFonts w:ascii="Inter" w:cs="Inter" w:eastAsia="Inter" w:hAnsi="Inter"/>
          <w:b w:val="false"/>
          <w:bCs w:val="false"/>
          <w:i w:val="false"/>
          <w:iCs w:val="false"/>
          <w:color w:val="333333"/>
          <w:sz w:val="20"/>
          <w:szCs w:val="20"/>
        </w:rPr>
        <w:t xml:space="preserve">Relevance to Meridiem: Monda is a data marketplace and monetization platform, not a direct source of banking use case data. However, it connects buyers to sellers of financial data products. It could serve as a distribution channel for Meridiem's own data products (governance reports, CRA analytics) in the future.</w:t>
      </w:r>
    </w:p>
    <w:p>
      <w:pPr>
        <w:spacing w:after="120"/>
      </w:pPr>
      <w:r>
        <w:rPr>
          <w:rFonts w:ascii="Inter" w:cs="Inter" w:eastAsia="Inter" w:hAnsi="Inter"/>
          <w:b w:val="false"/>
          <w:bCs w:val="false"/>
          <w:i w:val="false"/>
          <w:iCs w:val="false"/>
          <w:color w:val="333333"/>
          <w:sz w:val="20"/>
          <w:szCs w:val="20"/>
        </w:rPr>
        <w:t xml:space="preserve">Banking-specific content: Monda publishes thought leadership on banking data monetization, payment data use cases, and AI/ML applications in financial services. They cover transaction data, spending patterns, and customer behavior analytics.</w:t>
      </w:r>
    </w:p>
    <w:p>
      <w:pPr>
        <w:spacing w:after="120"/>
      </w:pPr>
      <w:r>
        <w:rPr>
          <w:rFonts w:ascii="Inter" w:cs="Inter" w:eastAsia="Inter" w:hAnsi="Inter"/>
          <w:b w:val="false"/>
          <w:bCs w:val="false"/>
          <w:i w:val="false"/>
          <w:iCs w:val="false"/>
          <w:color w:val="333333"/>
          <w:sz w:val="20"/>
          <w:szCs w:val="20"/>
        </w:rPr>
        <w:t xml:space="preserve">Cost: Platform access varies. Data product pricing depends on the seller.</w:t>
      </w:r>
    </w:p>
    <w:p>
      <w:pPr>
        <w:spacing w:after="200"/>
      </w:pPr>
      <w:r>
        <w:rPr>
          <w:rFonts w:ascii="Inter" w:cs="Inter" w:eastAsia="Inter" w:hAnsi="Inter"/>
          <w:b w:val="false"/>
          <w:bCs w:val="false"/>
          <w:i w:val="false"/>
          <w:iCs w:val="false"/>
          <w:color w:val="333333"/>
          <w:sz w:val="20"/>
          <w:szCs w:val="20"/>
        </w:rPr>
        <w:t xml:space="preserve">Immediate use: LOW for testing. HIGH for understanding data monetization models and future distribution strategy.</w:t>
      </w:r>
    </w:p>
    <w:p>
      <w:pPr>
        <w:pStyle w:val="Heading2"/>
        <w:spacing w:after="120" w:before="300"/>
      </w:pPr>
      <w:r>
        <w:rPr>
          <w:rFonts w:ascii="Cormorant Garamond" w:cs="Cormorant Garamond" w:eastAsia="Cormorant Garamond" w:hAnsi="Cormorant Garamond"/>
          <w:b/>
          <w:bCs/>
          <w:color w:val="0A1628"/>
          <w:sz w:val="24"/>
          <w:szCs w:val="24"/>
        </w:rPr>
        <w:t xml:space="preserve">2. Data Lists</w:t>
      </w:r>
    </w:p>
    <w:p>
      <w:pPr>
        <w:spacing w:after="120"/>
      </w:pPr>
      <w:r>
        <w:rPr>
          <w:rFonts w:ascii="Inter" w:cs="Inter" w:eastAsia="Inter" w:hAnsi="Inter"/>
          <w:b w:val="false"/>
          <w:bCs w:val="false"/>
          <w:i w:val="false"/>
          <w:iCs w:val="false"/>
          <w:color w:val="333333"/>
          <w:sz w:val="20"/>
          <w:szCs w:val="20"/>
        </w:rPr>
        <w:t xml:space="preserve">Website: Likely datalists.com or a similar provider Andre found during live search.</w:t>
      </w:r>
    </w:p>
    <w:p>
      <w:pPr>
        <w:spacing w:after="120"/>
      </w:pPr>
      <w:r>
        <w:rPr>
          <w:rFonts w:ascii="Inter" w:cs="Inter" w:eastAsia="Inter" w:hAnsi="Inter"/>
          <w:b w:val="false"/>
          <w:bCs w:val="false"/>
          <w:i w:val="false"/>
          <w:iCs w:val="false"/>
          <w:color w:val="333333"/>
          <w:sz w:val="20"/>
          <w:szCs w:val="20"/>
        </w:rPr>
        <w:t xml:space="preserve">What it is: A data provider offering purchasable datasets including business data, consumer data, and potentially financial services data. The specific provider Andre found during the meeting may have offered banking-specific list data.</w:t>
      </w:r>
    </w:p>
    <w:p>
      <w:pPr>
        <w:spacing w:after="120"/>
      </w:pPr>
      <w:r>
        <w:rPr>
          <w:rFonts w:ascii="Inter" w:cs="Inter" w:eastAsia="Inter" w:hAnsi="Inter"/>
          <w:b w:val="false"/>
          <w:bCs w:val="false"/>
          <w:i w:val="false"/>
          <w:iCs w:val="false"/>
          <w:color w:val="333333"/>
          <w:sz w:val="20"/>
          <w:szCs w:val="20"/>
        </w:rPr>
        <w:t xml:space="preserve">Relevance to Meridiem: If this provider offers segmented consumer or business financial data (e.g., by geography, income level, banking status), it could be used to create test populations for the CRA heat map and Renaissance pathway modeling.</w:t>
      </w:r>
    </w:p>
    <w:p>
      <w:pPr>
        <w:spacing w:after="120"/>
      </w:pPr>
      <w:r>
        <w:rPr>
          <w:rFonts w:ascii="Inter" w:cs="Inter" w:eastAsia="Inter" w:hAnsi="Inter"/>
          <w:b w:val="false"/>
          <w:bCs w:val="false"/>
          <w:i w:val="false"/>
          <w:iCs w:val="false"/>
          <w:color w:val="333333"/>
          <w:sz w:val="20"/>
          <w:szCs w:val="20"/>
        </w:rPr>
        <w:t xml:space="preserve">Cost: Typically priced per record or per dataset. Consumer/business lists range from $0.03-$0.50 per record depending on enrichment.</w:t>
      </w:r>
    </w:p>
    <w:p>
      <w:pPr>
        <w:spacing w:after="200"/>
      </w:pPr>
      <w:r>
        <w:rPr>
          <w:rFonts w:ascii="Inter" w:cs="Inter" w:eastAsia="Inter" w:hAnsi="Inter"/>
          <w:b w:val="false"/>
          <w:bCs w:val="false"/>
          <w:i w:val="false"/>
          <w:iCs w:val="false"/>
          <w:color w:val="333333"/>
          <w:sz w:val="20"/>
          <w:szCs w:val="20"/>
        </w:rPr>
        <w:t xml:space="preserve">Immediate use: MEDIUM. Need to verify exact provider and available datasets.</w:t>
      </w:r>
    </w:p>
    <w:p>
      <w:pPr>
        <w:pStyle w:val="Heading2"/>
        <w:spacing w:after="120" w:before="300"/>
      </w:pPr>
      <w:r>
        <w:rPr>
          <w:rFonts w:ascii="Cormorant Garamond" w:cs="Cormorant Garamond" w:eastAsia="Cormorant Garamond" w:hAnsi="Cormorant Garamond"/>
          <w:b/>
          <w:bCs/>
          <w:color w:val="0A1628"/>
          <w:sz w:val="24"/>
          <w:szCs w:val="24"/>
        </w:rPr>
        <w:t xml:space="preserve">3. Exact Data</w:t>
      </w:r>
    </w:p>
    <w:p>
      <w:pPr>
        <w:spacing w:after="120"/>
      </w:pPr>
      <w:r>
        <w:rPr>
          <w:rFonts w:ascii="Inter" w:cs="Inter" w:eastAsia="Inter" w:hAnsi="Inter"/>
          <w:b w:val="false"/>
          <w:bCs w:val="false"/>
          <w:i w:val="false"/>
          <w:iCs w:val="false"/>
          <w:color w:val="333333"/>
          <w:sz w:val="20"/>
          <w:szCs w:val="20"/>
        </w:rPr>
        <w:t xml:space="preserve">Website: exactdata.com</w:t>
      </w:r>
    </w:p>
    <w:p>
      <w:pPr>
        <w:spacing w:after="120"/>
      </w:pPr>
      <w:r>
        <w:rPr>
          <w:rFonts w:ascii="Inter" w:cs="Inter" w:eastAsia="Inter" w:hAnsi="Inter"/>
          <w:b w:val="false"/>
          <w:bCs w:val="false"/>
          <w:i w:val="false"/>
          <w:iCs w:val="false"/>
          <w:color w:val="333333"/>
          <w:sz w:val="20"/>
          <w:szCs w:val="20"/>
        </w:rPr>
        <w:t xml:space="preserve">What it is: A data provider specializing in consumer and business mailing lists, email lists, and targeted marketing data. They offer demographic, geographic, and behavioral segmentation.</w:t>
      </w:r>
    </w:p>
    <w:p>
      <w:pPr>
        <w:spacing w:after="120"/>
      </w:pPr>
      <w:r>
        <w:rPr>
          <w:rFonts w:ascii="Inter" w:cs="Inter" w:eastAsia="Inter" w:hAnsi="Inter"/>
          <w:b w:val="false"/>
          <w:bCs w:val="false"/>
          <w:i w:val="false"/>
          <w:iCs w:val="false"/>
          <w:color w:val="333333"/>
          <w:sz w:val="20"/>
          <w:szCs w:val="20"/>
        </w:rPr>
        <w:t xml:space="preserve">Relevance to Meridiem: Exact Data could provide test populations segmented by income, geography, and financial behavior. This allows modeling of who the system would serve in a given census tract, which populations are underserved, and what banking products would be most relevant.</w:t>
      </w:r>
    </w:p>
    <w:p>
      <w:pPr>
        <w:spacing w:after="120"/>
      </w:pPr>
      <w:r>
        <w:rPr>
          <w:rFonts w:ascii="Inter" w:cs="Inter" w:eastAsia="Inter" w:hAnsi="Inter"/>
          <w:b w:val="false"/>
          <w:bCs w:val="false"/>
          <w:i w:val="false"/>
          <w:iCs w:val="false"/>
          <w:color w:val="333333"/>
          <w:sz w:val="20"/>
          <w:szCs w:val="20"/>
        </w:rPr>
        <w:t xml:space="preserve">Banking-specific content: Consumer financial data including estimated income ranges, homeownership status, credit indicators, and demographic profiles that map to CRA assessment areas.</w:t>
      </w:r>
    </w:p>
    <w:p>
      <w:pPr>
        <w:spacing w:after="120"/>
      </w:pPr>
      <w:r>
        <w:rPr>
          <w:rFonts w:ascii="Inter" w:cs="Inter" w:eastAsia="Inter" w:hAnsi="Inter"/>
          <w:b w:val="false"/>
          <w:bCs w:val="false"/>
          <w:i w:val="false"/>
          <w:iCs w:val="false"/>
          <w:color w:val="333333"/>
          <w:sz w:val="20"/>
          <w:szCs w:val="20"/>
        </w:rPr>
        <w:t xml:space="preserve">Cost: Varies by list size and enrichment level. Typical range: $500-$5,000 for a targeted dataset.</w:t>
      </w:r>
    </w:p>
    <w:p>
      <w:pPr>
        <w:spacing w:after="200"/>
      </w:pPr>
      <w:r>
        <w:rPr>
          <w:rFonts w:ascii="Inter" w:cs="Inter" w:eastAsia="Inter" w:hAnsi="Inter"/>
          <w:b w:val="false"/>
          <w:bCs w:val="false"/>
          <w:i w:val="false"/>
          <w:iCs w:val="false"/>
          <w:color w:val="333333"/>
          <w:sz w:val="20"/>
          <w:szCs w:val="20"/>
        </w:rPr>
        <w:t xml:space="preserve">Immediate use: MEDIUM. Useful for populating test populations but not for transaction-level use case data.</w:t>
      </w:r>
    </w:p>
    <w:p>
      <w:pPr>
        <w:pStyle w:val="Heading2"/>
        <w:spacing w:after="120" w:before="300"/>
      </w:pPr>
      <w:r>
        <w:rPr>
          <w:rFonts w:ascii="Cormorant Garamond" w:cs="Cormorant Garamond" w:eastAsia="Cormorant Garamond" w:hAnsi="Cormorant Garamond"/>
          <w:b/>
          <w:bCs/>
          <w:color w:val="0A1628"/>
          <w:sz w:val="24"/>
          <w:szCs w:val="24"/>
        </w:rPr>
        <w:t xml:space="preserve">4. Polestar Solutions (Polestar Analytics)</w:t>
      </w:r>
    </w:p>
    <w:p>
      <w:pPr>
        <w:spacing w:after="120"/>
      </w:pPr>
      <w:r>
        <w:rPr>
          <w:rFonts w:ascii="Inter" w:cs="Inter" w:eastAsia="Inter" w:hAnsi="Inter"/>
          <w:b w:val="false"/>
          <w:bCs w:val="false"/>
          <w:i w:val="false"/>
          <w:iCs w:val="false"/>
          <w:color w:val="333333"/>
          <w:sz w:val="20"/>
          <w:szCs w:val="20"/>
        </w:rPr>
        <w:t xml:space="preserve">Website: polestarllp.com / polestaranalytics.com</w:t>
      </w:r>
    </w:p>
    <w:p>
      <w:pPr>
        <w:spacing w:after="120"/>
      </w:pPr>
      <w:r>
        <w:rPr>
          <w:rFonts w:ascii="Inter" w:cs="Inter" w:eastAsia="Inter" w:hAnsi="Inter"/>
          <w:b w:val="false"/>
          <w:bCs w:val="false"/>
          <w:i w:val="false"/>
          <w:iCs w:val="false"/>
          <w:color w:val="333333"/>
          <w:sz w:val="20"/>
          <w:szCs w:val="20"/>
        </w:rPr>
        <w:t xml:space="preserve">What it is: A data analytics consulting firm specializing in BFSI (Banking, Financial Services &amp; Insurance). They build dashboards, data warehouses, and analytics platforms. India-based with US operations. Clients include financial institutions across multiple countries.</w:t>
      </w:r>
    </w:p>
    <w:p>
      <w:pPr>
        <w:spacing w:after="120"/>
      </w:pPr>
      <w:r>
        <w:rPr>
          <w:rFonts w:ascii="Inter" w:cs="Inter" w:eastAsia="Inter" w:hAnsi="Inter"/>
          <w:b w:val="false"/>
          <w:bCs w:val="false"/>
          <w:i w:val="false"/>
          <w:iCs w:val="false"/>
          <w:color w:val="333333"/>
          <w:sz w:val="20"/>
          <w:szCs w:val="20"/>
        </w:rPr>
        <w:t xml:space="preserve">Relevance to Meridiem: Polestar is a services company, not a data provider. However, they have deep expertise in banking analytics use cases: KYC/AML analysis, customer segmentation, credit risk modeling, marketing campaign analysis, and regulatory compliance reporting. Their published case studies show implementations handling 100M+ rows of financial data.</w:t>
      </w:r>
    </w:p>
    <w:p>
      <w:pPr>
        <w:spacing w:after="120"/>
      </w:pPr>
      <w:r>
        <w:rPr>
          <w:rFonts w:ascii="Inter" w:cs="Inter" w:eastAsia="Inter" w:hAnsi="Inter"/>
          <w:b w:val="false"/>
          <w:bCs w:val="false"/>
          <w:i w:val="false"/>
          <w:iCs w:val="false"/>
          <w:color w:val="333333"/>
          <w:sz w:val="20"/>
          <w:szCs w:val="20"/>
        </w:rPr>
        <w:t xml:space="preserve">Banking-specific content: Published use cases include sales revenue analytics, channel performance, credit risk scoring, portfolio analysis, liquidity management, and compliance reporting. They work with SAP, Oracle, and cloud-native architectures.</w:t>
      </w:r>
    </w:p>
    <w:p>
      <w:pPr>
        <w:spacing w:after="120"/>
      </w:pPr>
      <w:r>
        <w:rPr>
          <w:rFonts w:ascii="Inter" w:cs="Inter" w:eastAsia="Inter" w:hAnsi="Inter"/>
          <w:b w:val="false"/>
          <w:bCs w:val="false"/>
          <w:i w:val="false"/>
          <w:iCs w:val="false"/>
          <w:color w:val="333333"/>
          <w:sz w:val="20"/>
          <w:szCs w:val="20"/>
        </w:rPr>
        <w:t xml:space="preserve">Cost: Consulting engagement. Not a data purchase.</w:t>
      </w:r>
    </w:p>
    <w:p>
      <w:pPr>
        <w:spacing w:after="200"/>
      </w:pPr>
      <w:r>
        <w:rPr>
          <w:rFonts w:ascii="Inter" w:cs="Inter" w:eastAsia="Inter" w:hAnsi="Inter"/>
          <w:b w:val="false"/>
          <w:bCs w:val="false"/>
          <w:i w:val="false"/>
          <w:iCs w:val="false"/>
          <w:color w:val="333333"/>
          <w:sz w:val="20"/>
          <w:szCs w:val="20"/>
        </w:rPr>
        <w:t xml:space="preserve">Immediate use: LOW for data. HIGH as a reference for how banking analytics use cases are structured in production environments. Their published frameworks could inform how the Integra engine presents outputs.</w:t>
      </w:r>
    </w:p>
    <w:p>
      <w:pPr>
        <w:pStyle w:val="Heading2"/>
        <w:spacing w:after="120" w:before="300"/>
      </w:pPr>
      <w:r>
        <w:rPr>
          <w:rFonts w:ascii="Cormorant Garamond" w:cs="Cormorant Garamond" w:eastAsia="Cormorant Garamond" w:hAnsi="Cormorant Garamond"/>
          <w:b/>
          <w:bCs/>
          <w:color w:val="0A1628"/>
          <w:sz w:val="24"/>
          <w:szCs w:val="24"/>
        </w:rPr>
        <w:t xml:space="preserve">5. SCIKIQ</w:t>
      </w:r>
    </w:p>
    <w:p>
      <w:pPr>
        <w:spacing w:after="120"/>
      </w:pPr>
      <w:r>
        <w:rPr>
          <w:rFonts w:ascii="Inter" w:cs="Inter" w:eastAsia="Inter" w:hAnsi="Inter"/>
          <w:b w:val="false"/>
          <w:bCs w:val="false"/>
          <w:i w:val="false"/>
          <w:iCs w:val="false"/>
          <w:color w:val="333333"/>
          <w:sz w:val="20"/>
          <w:szCs w:val="20"/>
        </w:rPr>
        <w:t xml:space="preserve">Website: scikiq.com</w:t>
      </w:r>
    </w:p>
    <w:p>
      <w:pPr>
        <w:spacing w:after="120"/>
      </w:pPr>
      <w:r>
        <w:rPr>
          <w:rFonts w:ascii="Inter" w:cs="Inter" w:eastAsia="Inter" w:hAnsi="Inter"/>
          <w:b w:val="false"/>
          <w:bCs w:val="false"/>
          <w:i w:val="false"/>
          <w:iCs w:val="false"/>
          <w:color w:val="333333"/>
          <w:sz w:val="20"/>
          <w:szCs w:val="20"/>
        </w:rPr>
        <w:t xml:space="preserve">What it is: An AI-native data fabric platform. No-code, modular, designed for enterprise data management. Offers data integration (200+ connectors), governance, curation, and marketplace capabilities. Deploys in 30-45 days.</w:t>
      </w:r>
    </w:p>
    <w:p>
      <w:pPr>
        <w:spacing w:after="120"/>
      </w:pPr>
      <w:r>
        <w:rPr>
          <w:rFonts w:ascii="Inter" w:cs="Inter" w:eastAsia="Inter" w:hAnsi="Inter"/>
          <w:b w:val="false"/>
          <w:bCs w:val="false"/>
          <w:i w:val="false"/>
          <w:iCs w:val="false"/>
          <w:color w:val="333333"/>
          <w:sz w:val="20"/>
          <w:szCs w:val="20"/>
        </w:rPr>
        <w:t xml:space="preserve">Relevance to Meridiem: SCIKIQ is an infrastructure platform, not a data source. However, it is highly relevant as a potential technology partner or reference architecture. Their data fabric approach (connect, govern, curate, monetize) mirrors what Integra Core does. Their banking-specific page describes: unified data platforms, automated governance, compliance automation (CCAR, GDPR, BCBS), and data product creation.</w:t>
      </w:r>
    </w:p>
    <w:p>
      <w:pPr>
        <w:spacing w:after="120"/>
      </w:pPr>
      <w:r>
        <w:rPr>
          <w:rFonts w:ascii="Inter" w:cs="Inter" w:eastAsia="Inter" w:hAnsi="Inter"/>
          <w:b w:val="false"/>
          <w:bCs w:val="false"/>
          <w:i w:val="false"/>
          <w:iCs w:val="false"/>
          <w:color w:val="333333"/>
          <w:sz w:val="20"/>
          <w:szCs w:val="20"/>
        </w:rPr>
        <w:t xml:space="preserve">Banking-specific content: They publish extensively on banking data analytics use cases, KYC/AML, credit decisioning, operational efficiency, and regulatory reporting. Their case study with a US financial services company shows unifying 100M rows across MySQL, PostgreSQL, and BigQuery.</w:t>
      </w:r>
    </w:p>
    <w:p>
      <w:pPr>
        <w:spacing w:after="120"/>
      </w:pPr>
      <w:r>
        <w:rPr>
          <w:rFonts w:ascii="Inter" w:cs="Inter" w:eastAsia="Inter" w:hAnsi="Inter"/>
          <w:b w:val="false"/>
          <w:bCs w:val="false"/>
          <w:i w:val="false"/>
          <w:iCs w:val="false"/>
          <w:color w:val="333333"/>
          <w:sz w:val="20"/>
          <w:szCs w:val="20"/>
        </w:rPr>
        <w:t xml:space="preserve">Cost: Enterprise SaaS pricing. Not publicly listed.</w:t>
      </w:r>
    </w:p>
    <w:p>
      <w:pPr>
        <w:spacing w:after="200"/>
      </w:pPr>
      <w:r>
        <w:rPr>
          <w:rFonts w:ascii="Inter" w:cs="Inter" w:eastAsia="Inter" w:hAnsi="Inter"/>
          <w:b w:val="false"/>
          <w:bCs w:val="false"/>
          <w:i w:val="false"/>
          <w:iCs w:val="false"/>
          <w:color w:val="333333"/>
          <w:sz w:val="20"/>
          <w:szCs w:val="20"/>
        </w:rPr>
        <w:t xml:space="preserve">Immediate use: LOW for data. MEDIUM-HIGH as a reference architecture for how enterprise data platforms serve banking. Their connector model (SAP, Oracle, flat files, APIs) is exactly what Integra needs for institutional integration.</w:t>
      </w:r>
    </w:p>
    <w:p>
      <w:pPr>
        <w:pStyle w:val="Heading2"/>
        <w:spacing w:after="120" w:before="300"/>
      </w:pPr>
      <w:r>
        <w:rPr>
          <w:rFonts w:ascii="Cormorant Garamond" w:cs="Cormorant Garamond" w:eastAsia="Cormorant Garamond" w:hAnsi="Cormorant Garamond"/>
          <w:b/>
          <w:bCs/>
          <w:color w:val="0A1628"/>
          <w:sz w:val="24"/>
          <w:szCs w:val="24"/>
        </w:rPr>
        <w:t xml:space="preserve">6. Data Q</w:t>
      </w:r>
    </w:p>
    <w:p>
      <w:pPr>
        <w:spacing w:after="120"/>
      </w:pPr>
      <w:r>
        <w:rPr>
          <w:rFonts w:ascii="Inter" w:cs="Inter" w:eastAsia="Inter" w:hAnsi="Inter"/>
          <w:b w:val="false"/>
          <w:bCs w:val="false"/>
          <w:i w:val="false"/>
          <w:iCs w:val="false"/>
          <w:color w:val="333333"/>
          <w:sz w:val="20"/>
          <w:szCs w:val="20"/>
        </w:rPr>
        <w:t xml:space="preserve">Note: Andre specifically noted this was the last resource he found, and it offered 'real-time data, data management, data delivery, data sets, commodities data, company data, and economic data.'</w:t>
      </w:r>
    </w:p>
    <w:p>
      <w:pPr>
        <w:spacing w:after="120"/>
      </w:pPr>
      <w:r>
        <w:rPr>
          <w:rFonts w:ascii="Inter" w:cs="Inter" w:eastAsia="Inter" w:hAnsi="Inter"/>
          <w:b w:val="false"/>
          <w:bCs w:val="false"/>
          <w:i w:val="false"/>
          <w:iCs w:val="false"/>
          <w:color w:val="333333"/>
          <w:sz w:val="20"/>
          <w:szCs w:val="20"/>
        </w:rPr>
        <w:t xml:space="preserve">What it is: Based on Andre's description, this appears to be a comprehensive data marketplace offering multiple data types including real-time feeds. The specific provider may be DataQ, Quandl (now Nasdaq Data Link), or a similar multi-asset data platform.</w:t>
      </w:r>
    </w:p>
    <w:p>
      <w:pPr>
        <w:spacing w:after="120"/>
      </w:pPr>
      <w:r>
        <w:rPr>
          <w:rFonts w:ascii="Inter" w:cs="Inter" w:eastAsia="Inter" w:hAnsi="Inter"/>
          <w:b w:val="false"/>
          <w:bCs w:val="false"/>
          <w:i w:val="false"/>
          <w:iCs w:val="false"/>
          <w:color w:val="333333"/>
          <w:sz w:val="20"/>
          <w:szCs w:val="20"/>
        </w:rPr>
        <w:t xml:space="preserve">Relevance to Meridiem: If this provider offers real-time economic data, company data, and commodities data via API, it could feed the FPS engine with market conditions that affect position calculations. Economic indicators (unemployment, housing prices, interest rates) directly impact the CRA heat map and the scenario engine.</w:t>
      </w:r>
    </w:p>
    <w:p>
      <w:pPr>
        <w:spacing w:after="120"/>
      </w:pPr>
      <w:r>
        <w:rPr>
          <w:rFonts w:ascii="Inter" w:cs="Inter" w:eastAsia="Inter" w:hAnsi="Inter"/>
          <w:b w:val="false"/>
          <w:bCs w:val="false"/>
          <w:i w:val="false"/>
          <w:iCs w:val="false"/>
          <w:color w:val="333333"/>
          <w:sz w:val="20"/>
          <w:szCs w:val="20"/>
        </w:rPr>
        <w:t xml:space="preserve">Cost: Varies widely. Nasdaq Data Link (formerly Quandl) offers free tiers for basic data and paid tiers for premium datasets ($50-$500/month for individual access, enterprise pricing for commercial use).</w:t>
      </w:r>
    </w:p>
    <w:p>
      <w:pPr>
        <w:spacing w:after="300"/>
      </w:pPr>
      <w:r>
        <w:rPr>
          <w:rFonts w:ascii="Inter" w:cs="Inter" w:eastAsia="Inter" w:hAnsi="Inter"/>
          <w:b w:val="false"/>
          <w:bCs w:val="false"/>
          <w:i w:val="false"/>
          <w:iCs w:val="false"/>
          <w:color w:val="333333"/>
          <w:sz w:val="20"/>
          <w:szCs w:val="20"/>
        </w:rPr>
        <w:t xml:space="preserve">Immediate use: HIGH if it provides economic and company data via API. This would be the real-time data layer that makes the demo feel alive.</w:t>
      </w:r>
    </w:p>
    <w:p>
      <w:pPr>
        <w:pStyle w:val="Heading1"/>
        <w:spacing w:after="200" w:before="400"/>
      </w:pPr>
      <w:r>
        <w:rPr>
          <w:rFonts w:ascii="Cormorant Garamond" w:cs="Cormorant Garamond" w:eastAsia="Cormorant Garamond" w:hAnsi="Cormorant Garamond"/>
          <w:b/>
          <w:bCs/>
          <w:color w:val="0A1628"/>
          <w:sz w:val="30"/>
          <w:szCs w:val="30"/>
        </w:rPr>
        <w:t xml:space="preserve">Source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Source</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Type</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Cost</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Immediate Use</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Best For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Monda AI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Data marketplace/platform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Varies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Future distribution channel, monetization model reference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Data Lists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Consumer/business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$500-$5K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Test populations for CRA modeling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Exact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Consumer financial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$500-$5K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Demographic segmentation, underserved population modeling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Polestar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Analytics consulting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Engagement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Low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Banking analytics use case frameworks, reference architecture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SCIKIQ</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Data fabric platform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Enterprise SaaS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Low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Reference architecture for enterprise data integration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Data Q</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Multi-asset data platform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$50-500/mo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Real-time economic data, market conditions for FPS engine</w:t>
            </w:r>
          </w:p>
        </w:tc>
      </w:tr>
    </w:tbl>
    <w:p>
      <w:pPr>
        <w:spacing w:after="300"/>
      </w:pPr>
    </w:p>
    <w:p>
      <w:pPr>
        <w:pStyle w:val="Heading1"/>
        <w:spacing w:after="200" w:before="400"/>
      </w:pPr>
      <w:r>
        <w:rPr>
          <w:rFonts w:ascii="Cormorant Garamond" w:cs="Cormorant Garamond" w:eastAsia="Cormorant Garamond" w:hAnsi="Cormorant Garamond"/>
          <w:b/>
          <w:bCs/>
          <w:color w:val="0A1628"/>
          <w:sz w:val="30"/>
          <w:szCs w:val="30"/>
        </w:rPr>
        <w:t xml:space="preserve">Section 2: Free Federal Data Sources (Available Now)</w:t>
      </w:r>
    </w:p>
    <w:p>
      <w:pPr>
        <w:spacing w:after="200"/>
      </w:pPr>
      <w:r>
        <w:rPr>
          <w:rFonts w:ascii="Inter" w:cs="Inter" w:eastAsia="Inter" w:hAnsi="Inter"/>
          <w:b w:val="false"/>
          <w:bCs w:val="false"/>
          <w:i w:val="false"/>
          <w:iCs w:val="false"/>
          <w:color w:val="333333"/>
          <w:sz w:val="20"/>
          <w:szCs w:val="20"/>
        </w:rPr>
        <w:t xml:space="preserve">These sources are publicly available, free, and can be loaded into PostgreSQL on the NAS today. They provide the foundation for the CRA heat map and institutional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Source</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What It Provides</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Format</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Access</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Inter" w:cs="Inter" w:eastAsia="Inter" w:hAnsi="Inter"/>
                <w:b/>
                <w:bCs/>
                <w:color w:val="FFFFFF"/>
                <w:sz w:val="16"/>
                <w:szCs w:val="16"/>
              </w:rPr>
              <w:t xml:space="preserve">Update Cycle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FFIEC Census Flat Files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1000+ fields per census tract: income, demographics, distressed/underserved flags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CSV flat files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ffiec.gov/data/census/flat-files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Annual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HMDA Data (CFPB)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Loan-level mortgage data: applications, originations, denials, by institution and census tract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CSV, API browser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ffiec.cfpb.gov/data-browser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Annual (2024 data available now)</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FDIC Summary of Deposits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Every FDIC-insured branch: location, deposits, institution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CSV download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fdic.gov/bank-data-guide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Annual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Census ACS (API)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Tract-level: median income, poverty, education, employment, housing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REST API (JSON)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api.census.gov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Annual (5-year estimates)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BLS Unemployment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County/metro unemployment rates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CSV, 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bls.gov/lau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Monthly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CFPB Complaints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Consumer complaints against financial institutions, geocoded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REST 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consumerfinance.gov/data-research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Daily updates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CDFI Fund Awards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Every CDFI: service areas, award history, focus areas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CSV download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cdfifund.gov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val="false"/>
                <w:bCs w:val="false"/>
                <w:color w:val="333333"/>
                <w:sz w:val="18"/>
                <w:szCs w:val="18"/>
              </w:rPr>
              <w:t xml:space="preserve">Annual</w:t>
            </w:r>
          </w:p>
        </w:tc>
      </w:tr>
    </w:tbl>
    <w:p>
      <w:pPr>
        <w:spacing w:after="300"/>
      </w:pPr>
    </w:p>
    <w:p>
      <w:pPr>
        <w:pStyle w:val="Heading1"/>
        <w:spacing w:after="200" w:before="400"/>
      </w:pPr>
      <w:r>
        <w:rPr>
          <w:rFonts w:ascii="Cormorant Garamond" w:cs="Cormorant Garamond" w:eastAsia="Cormorant Garamond" w:hAnsi="Cormorant Garamond"/>
          <w:b/>
          <w:bCs/>
          <w:color w:val="0A1628"/>
          <w:sz w:val="30"/>
          <w:szCs w:val="30"/>
        </w:rPr>
        <w:t xml:space="preserve">Recommended Action Plan</w:t>
      </w:r>
    </w:p>
    <w:p>
      <w:pPr>
        <w:pStyle w:val="Heading2"/>
        <w:spacing w:after="120" w:before="300"/>
      </w:pPr>
      <w:r>
        <w:rPr>
          <w:rFonts w:ascii="Cormorant Garamond" w:cs="Cormorant Garamond" w:eastAsia="Cormorant Garamond" w:hAnsi="Cormorant Garamond"/>
          <w:b/>
          <w:bCs/>
          <w:color w:val="0A1628"/>
          <w:sz w:val="24"/>
          <w:szCs w:val="24"/>
        </w:rPr>
        <w:t xml:space="preserve">Phase 1: This Week (Free Data)</w:t>
      </w:r>
    </w:p>
    <w:p>
      <w:pPr>
        <w:spacing w:after="120"/>
      </w:pPr>
      <w:r>
        <w:rPr>
          <w:rFonts w:ascii="Inter" w:cs="Inter" w:eastAsia="Inter" w:hAnsi="Inter"/>
          <w:b w:val="false"/>
          <w:bCs w:val="false"/>
          <w:i w:val="false"/>
          <w:iCs w:val="false"/>
          <w:color w:val="333333"/>
          <w:sz w:val="20"/>
          <w:szCs w:val="20"/>
        </w:rPr>
        <w:t xml:space="preserve">1. Download FFIEC Census Flat File for 2024 (Georgia). Load into NAS PostgreSQL. This gives every census tract in the state with income levels, distressed/underserved flags, and demographic data.</w:t>
      </w:r>
    </w:p>
    <w:p>
      <w:pPr>
        <w:spacing w:after="120"/>
      </w:pPr>
      <w:r>
        <w:rPr>
          <w:rFonts w:ascii="Inter" w:cs="Inter" w:eastAsia="Inter" w:hAnsi="Inter"/>
          <w:b w:val="false"/>
          <w:bCs w:val="false"/>
          <w:i w:val="false"/>
          <w:iCs w:val="false"/>
          <w:color w:val="333333"/>
          <w:sz w:val="20"/>
          <w:szCs w:val="20"/>
        </w:rPr>
        <w:t xml:space="preserve">2. Download HMDA data for Atlanta MSA (2023-2024) from ffiec.cfpb.gov. Filter to Georgia institutions. Load into PostgreSQL. This shows lending patterns, denial rates, and institutional coverage by census tract.</w:t>
      </w:r>
    </w:p>
    <w:p>
      <w:pPr>
        <w:spacing w:after="120"/>
      </w:pPr>
      <w:r>
        <w:rPr>
          <w:rFonts w:ascii="Inter" w:cs="Inter" w:eastAsia="Inter" w:hAnsi="Inter"/>
          <w:b w:val="false"/>
          <w:bCs w:val="false"/>
          <w:i w:val="false"/>
          <w:iCs w:val="false"/>
          <w:color w:val="333333"/>
          <w:sz w:val="20"/>
          <w:szCs w:val="20"/>
        </w:rPr>
        <w:t xml:space="preserve">3. Download FDIC Summary of Deposits for Georgia. Load into PostgreSQL. This maps physical branch access by census tract.</w:t>
      </w:r>
    </w:p>
    <w:p>
      <w:pPr>
        <w:spacing w:after="120"/>
      </w:pPr>
      <w:r>
        <w:rPr>
          <w:rFonts w:ascii="Inter" w:cs="Inter" w:eastAsia="Inter" w:hAnsi="Inter"/>
          <w:b w:val="false"/>
          <w:bCs w:val="false"/>
          <w:i w:val="false"/>
          <w:iCs w:val="false"/>
          <w:color w:val="333333"/>
          <w:sz w:val="20"/>
          <w:szCs w:val="20"/>
        </w:rPr>
        <w:t xml:space="preserve">4. Connect to Census Bureau API for ACS data on Atlanta MSA tracts: median income, poverty rate, educational attainment, employment.</w:t>
      </w:r>
    </w:p>
    <w:p>
      <w:pPr>
        <w:spacing w:after="200"/>
      </w:pPr>
      <w:r>
        <w:rPr>
          <w:rFonts w:ascii="Inter" w:cs="Inter" w:eastAsia="Inter" w:hAnsi="Inter"/>
          <w:b w:val="false"/>
          <w:bCs w:val="false"/>
          <w:i w:val="false"/>
          <w:iCs w:val="false"/>
          <w:color w:val="333333"/>
          <w:sz w:val="20"/>
          <w:szCs w:val="20"/>
        </w:rPr>
        <w:t xml:space="preserve">Result: CRA heat map with real data for Atlanta MSA. Red/yellow/green zones based on actual federal data. Real institution names. Real lending gaps. This is what Andre can validate.</w:t>
      </w:r>
    </w:p>
    <w:p>
      <w:pPr>
        <w:pStyle w:val="Heading2"/>
        <w:spacing w:after="120" w:before="300"/>
      </w:pPr>
      <w:r>
        <w:rPr>
          <w:rFonts w:ascii="Cormorant Garamond" w:cs="Cormorant Garamond" w:eastAsia="Cormorant Garamond" w:hAnsi="Cormorant Garamond"/>
          <w:b/>
          <w:bCs/>
          <w:color w:val="0A1628"/>
          <w:sz w:val="24"/>
          <w:szCs w:val="24"/>
        </w:rPr>
        <w:t xml:space="preserve">Phase 2: Next 2 Weeks (Paid Data)</w:t>
      </w:r>
    </w:p>
    <w:p>
      <w:pPr>
        <w:spacing w:after="120"/>
      </w:pPr>
      <w:r>
        <w:rPr>
          <w:rFonts w:ascii="Inter" w:cs="Inter" w:eastAsia="Inter" w:hAnsi="Inter"/>
          <w:b w:val="false"/>
          <w:bCs w:val="false"/>
          <w:i w:val="false"/>
          <w:iCs w:val="false"/>
          <w:color w:val="333333"/>
          <w:sz w:val="20"/>
          <w:szCs w:val="20"/>
        </w:rPr>
        <w:t xml:space="preserve">1. Evaluate Data Q (or Nasdaq Data Link) for real-time economic indicators that feed the scenario engine. Sign up for free tier, test API integration.</w:t>
      </w:r>
    </w:p>
    <w:p>
      <w:pPr>
        <w:spacing w:after="120"/>
      </w:pPr>
      <w:r>
        <w:rPr>
          <w:rFonts w:ascii="Inter" w:cs="Inter" w:eastAsia="Inter" w:hAnsi="Inter"/>
          <w:b w:val="false"/>
          <w:bCs w:val="false"/>
          <w:i w:val="false"/>
          <w:iCs w:val="false"/>
          <w:color w:val="333333"/>
          <w:sz w:val="20"/>
          <w:szCs w:val="20"/>
        </w:rPr>
        <w:t xml:space="preserve">2. Evaluate Exact Data for consumer demographic datasets that can create test populations for the Renaissance pathway. Purchase a small Georgia-focused dataset ($500-1,000) to model underserved populations.</w:t>
      </w:r>
    </w:p>
    <w:p>
      <w:pPr>
        <w:spacing w:after="200"/>
      </w:pPr>
      <w:r>
        <w:rPr>
          <w:rFonts w:ascii="Inter" w:cs="Inter" w:eastAsia="Inter" w:hAnsi="Inter"/>
          <w:b w:val="false"/>
          <w:bCs w:val="false"/>
          <w:i w:val="false"/>
          <w:iCs w:val="false"/>
          <w:color w:val="333333"/>
          <w:sz w:val="20"/>
          <w:szCs w:val="20"/>
        </w:rPr>
        <w:t xml:space="preserve">3. Review SCIKIQ and Polestar published case studies for banking analytics frameworks. Use their use case structures to inform how the Integra engine presents outputs to Andre.</w:t>
      </w:r>
    </w:p>
    <w:p>
      <w:pPr>
        <w:pStyle w:val="Heading2"/>
        <w:spacing w:after="120" w:before="300"/>
      </w:pPr>
      <w:r>
        <w:rPr>
          <w:rFonts w:ascii="Cormorant Garamond" w:cs="Cormorant Garamond" w:eastAsia="Cormorant Garamond" w:hAnsi="Cormorant Garamond"/>
          <w:b/>
          <w:bCs/>
          <w:color w:val="0A1628"/>
          <w:sz w:val="24"/>
          <w:szCs w:val="24"/>
        </w:rPr>
        <w:t xml:space="preserve">Phase 3: Week 3-4 (Integration)</w:t>
      </w:r>
    </w:p>
    <w:p>
      <w:pPr>
        <w:spacing w:after="120"/>
      </w:pPr>
      <w:r>
        <w:rPr>
          <w:rFonts w:ascii="Inter" w:cs="Inter" w:eastAsia="Inter" w:hAnsi="Inter"/>
          <w:b w:val="false"/>
          <w:bCs w:val="false"/>
          <w:i w:val="false"/>
          <w:iCs w:val="false"/>
          <w:color w:val="333333"/>
          <w:sz w:val="20"/>
          <w:szCs w:val="20"/>
        </w:rPr>
        <w:t xml:space="preserve">1. Run FFIEC/HMDA/FDIC/ACS data through the Integra Core engine. Produce the CRA heat map for Atlanta MSA with route recommendations.</w:t>
      </w:r>
    </w:p>
    <w:p>
      <w:pPr>
        <w:spacing w:after="120"/>
      </w:pPr>
      <w:r>
        <w:rPr>
          <w:rFonts w:ascii="Inter" w:cs="Inter" w:eastAsia="Inter" w:hAnsi="Inter"/>
          <w:b w:val="false"/>
          <w:bCs w:val="false"/>
          <w:i w:val="false"/>
          <w:iCs w:val="false"/>
          <w:color w:val="333333"/>
          <w:sz w:val="20"/>
          <w:szCs w:val="20"/>
        </w:rPr>
        <w:t xml:space="preserve">2. Generate all five differentiated reports (board, technical, regulator, family, governance/compliance) from real data.</w:t>
      </w:r>
    </w:p>
    <w:p>
      <w:pPr>
        <w:spacing w:after="120"/>
      </w:pPr>
      <w:r>
        <w:rPr>
          <w:rFonts w:ascii="Inter" w:cs="Inter" w:eastAsia="Inter" w:hAnsi="Inter"/>
          <w:b w:val="false"/>
          <w:bCs w:val="false"/>
          <w:i w:val="false"/>
          <w:iCs w:val="false"/>
          <w:color w:val="333333"/>
          <w:sz w:val="20"/>
          <w:szCs w:val="20"/>
        </w:rPr>
        <w:t xml:space="preserve">3. Wire the CRA heat map into Index8-live.html as a new view.</w:t>
      </w:r>
    </w:p>
    <w:p>
      <w:pPr>
        <w:spacing w:after="200"/>
      </w:pPr>
      <w:r>
        <w:rPr>
          <w:rFonts w:ascii="Inter" w:cs="Inter" w:eastAsia="Inter" w:hAnsi="Inter"/>
          <w:b w:val="false"/>
          <w:bCs w:val="false"/>
          <w:i w:val="false"/>
          <w:iCs w:val="false"/>
          <w:color w:val="333333"/>
          <w:sz w:val="20"/>
          <w:szCs w:val="20"/>
        </w:rPr>
        <w:t xml:space="preserve">4. Prepare the demo package for Andre: real data, real outputs, real methodology. Not mock data. Case data that proves the solution works.</w:t>
      </w:r>
    </w:p>
    <w:p>
      <w:pPr>
        <w:pStyle w:val="Heading2"/>
        <w:spacing w:after="120" w:before="300"/>
      </w:pPr>
      <w:r>
        <w:rPr>
          <w:rFonts w:ascii="Cormorant Garamond" w:cs="Cormorant Garamond" w:eastAsia="Cormorant Garamond" w:hAnsi="Cormorant Garamond"/>
          <w:b/>
          <w:bCs/>
          <w:color w:val="0A1628"/>
          <w:sz w:val="24"/>
          <w:szCs w:val="24"/>
        </w:rPr>
        <w:t xml:space="preserve">Phase 4: Andre Meeting Prep</w:t>
      </w:r>
    </w:p>
    <w:p>
      <w:pPr>
        <w:spacing w:after="120"/>
      </w:pPr>
      <w:r>
        <w:rPr>
          <w:rFonts w:ascii="Inter" w:cs="Inter" w:eastAsia="Inter" w:hAnsi="Inter"/>
          <w:b w:val="false"/>
          <w:bCs w:val="false"/>
          <w:i w:val="false"/>
          <w:iCs w:val="false"/>
          <w:color w:val="333333"/>
          <w:sz w:val="20"/>
          <w:szCs w:val="20"/>
        </w:rPr>
        <w:t xml:space="preserve">1. System loaded with 2 years of Georgia HMDA data, current FFIEC census, FDIC branch data, ACS demographics.</w:t>
      </w:r>
    </w:p>
    <w:p>
      <w:pPr>
        <w:spacing w:after="120"/>
      </w:pPr>
      <w:r>
        <w:rPr>
          <w:rFonts w:ascii="Inter" w:cs="Inter" w:eastAsia="Inter" w:hAnsi="Inter"/>
          <w:b w:val="false"/>
          <w:bCs w:val="false"/>
          <w:i w:val="false"/>
          <w:iCs w:val="false"/>
          <w:color w:val="333333"/>
          <w:sz w:val="20"/>
          <w:szCs w:val="20"/>
        </w:rPr>
        <w:t xml:space="preserve">2. Andre can say 'show me Fulton County' and get a real CRA heat map from federal data.</w:t>
      </w:r>
    </w:p>
    <w:p>
      <w:pPr>
        <w:spacing w:after="120"/>
      </w:pPr>
      <w:r>
        <w:rPr>
          <w:rFonts w:ascii="Inter" w:cs="Inter" w:eastAsia="Inter" w:hAnsi="Inter"/>
          <w:b w:val="false"/>
          <w:bCs w:val="false"/>
          <w:i w:val="false"/>
          <w:iCs w:val="false"/>
          <w:color w:val="333333"/>
          <w:sz w:val="20"/>
          <w:szCs w:val="20"/>
        </w:rPr>
        <w:t xml:space="preserve">3. Andre can say 'what about DeKalb?' and the system shifts to real data for that geography.</w:t>
      </w:r>
    </w:p>
    <w:p>
      <w:pPr>
        <w:spacing w:after="120"/>
      </w:pPr>
      <w:r>
        <w:rPr>
          <w:rFonts w:ascii="Inter" w:cs="Inter" w:eastAsia="Inter" w:hAnsi="Inter"/>
          <w:b w:val="false"/>
          <w:bCs w:val="false"/>
          <w:i w:val="false"/>
          <w:iCs w:val="false"/>
          <w:color w:val="333333"/>
          <w:sz w:val="20"/>
          <w:szCs w:val="20"/>
        </w:rPr>
        <w:t xml:space="preserve">4. Andre can say 'overlay Pinnacle lending' and the HMDA data filters to Pinnacle's institution ID.</w:t>
      </w:r>
    </w:p>
    <w:p>
      <w:pPr>
        <w:spacing w:after="300"/>
      </w:pPr>
      <w:r>
        <w:rPr>
          <w:rFonts w:ascii="Inter" w:cs="Inter" w:eastAsia="Inter" w:hAnsi="Inter"/>
          <w:b w:val="false"/>
          <w:bCs w:val="false"/>
          <w:i w:val="false"/>
          <w:iCs w:val="false"/>
          <w:color w:val="333333"/>
          <w:sz w:val="20"/>
          <w:szCs w:val="20"/>
        </w:rPr>
        <w:t xml:space="preserve">5. The math is provable. The data is public. The methodology is documented. Any brilliant mind in the room can stress-test it.</w:t>
      </w:r>
    </w:p>
    <w:p>
      <w:pPr>
        <w:pStyle w:val="Heading1"/>
        <w:spacing w:after="200" w:before="400"/>
      </w:pPr>
      <w:r>
        <w:rPr>
          <w:rFonts w:ascii="Cormorant Garamond" w:cs="Cormorant Garamond" w:eastAsia="Cormorant Garamond" w:hAnsi="Cormorant Garamond"/>
          <w:b/>
          <w:bCs/>
          <w:color w:val="0A1628"/>
          <w:sz w:val="30"/>
          <w:szCs w:val="30"/>
        </w:rPr>
        <w:t xml:space="preserve">Bottom Line</w:t>
      </w:r>
    </w:p>
    <w:p>
      <w:pPr>
        <w:spacing w:after="120"/>
      </w:pPr>
      <w:r>
        <w:rPr>
          <w:rFonts w:ascii="Inter" w:cs="Inter" w:eastAsia="Inter" w:hAnsi="Inter"/>
          <w:b w:val="false"/>
          <w:bCs w:val="false"/>
          <w:i w:val="false"/>
          <w:iCs w:val="false"/>
          <w:color w:val="333333"/>
          <w:sz w:val="20"/>
          <w:szCs w:val="20"/>
        </w:rPr>
        <w:t xml:space="preserve">Andre told us exactly what he needed six months ago. Case data and use cases. He gave us six sources to explore. The free federal data (FFIEC, HMDA, FDIC, ACS) gets us 80% of what the CRA heat map needs without spending a dollar. The paid sources (Data Q for real-time economic data, Exact Data for population modeling) fill the remaining gaps for under $1,000 total initial investment.</w:t>
      </w:r>
    </w:p>
    <w:p>
      <w:pPr>
        <w:spacing w:after="120"/>
      </w:pPr>
      <w:r>
        <w:rPr>
          <w:rFonts w:ascii="Inter" w:cs="Inter" w:eastAsia="Inter" w:hAnsi="Inter"/>
          <w:b/>
          <w:bCs/>
          <w:i w:val="false"/>
          <w:iCs w:val="false"/>
          <w:color w:val="333333"/>
          <w:sz w:val="20"/>
          <w:szCs w:val="20"/>
        </w:rPr>
        <w:t xml:space="preserve">The kitchen gets real ingredients this week. The supper club opens when the food is right.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ormorant Garamond" w:cs="Cormorant Garamond" w:eastAsia="Cormorant Garamond" w:hAnsi="Cormorant Garamond"/>
      <w:b/>
      <w:bCs/>
      <w:color w:val="0A1628"/>
      <w:sz w:val="30"/>
      <w:szCs w:val="30"/>
    </w:rPr>
  </w:style>
  <w:style w:type="paragraph" w:styleId="Heading2">
    <w:name w:val="Heading 2"/>
    <w:basedOn w:val="Normal"/>
    <w:next w:val="Normal"/>
    <w:qFormat/>
    <w:pPr>
      <w:spacing w:after="120" w:before="300"/>
      <w:outlineLvl w:val="1"/>
    </w:pPr>
    <w:rPr>
      <w:rFonts w:ascii="Cormorant Garamond" w:cs="Cormorant Garamond" w:eastAsia="Cormorant Garamond" w:hAnsi="Cormorant Garamond"/>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2026-03-16T13:31:19.286Z</dcterms:created>
  <dcterms:modified xsi:type="dcterms:W3CDTF">2026-03-16T13:31:19.288Z</dcterms:modified>
</cp:coreProperties>
</file>

<file path=docProps/custom.xml><?xml version="1.0" encoding="utf-8"?>
<Properties xmlns="http://schemas.openxmlformats.org/officeDocument/2006/custom-properties" xmlns:vt="http://schemas.openxmlformats.org/officeDocument/2006/docPropsVTypes"/>
</file>