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80"/>
        <w:jc w:val="center"/>
      </w:pPr>
      <w:r>
        <w:rPr>
          <w:rFonts w:ascii="Georgia" w:cs="Georgia" w:eastAsia="Georgia" w:hAnsi="Georgia"/>
          <w:b/>
          <w:bCs/>
          <w:color w:val="C9A84C"/>
          <w:spacing w:val="200"/>
          <w:sz w:val="18"/>
          <w:szCs w:val="18"/>
        </w:rPr>
        <w:t xml:space="preserve">CROWN’S EYE</w:t>
      </w:r>
    </w:p>
    <w:p>
      <w:pPr>
        <w:pBdr>
          <w:bottom w:val="single" w:color="C9A84C" w:sz="2" w:space="16"/>
        </w:pBdr>
        <w:spacing w:after="80"/>
        <w:jc w:val="center"/>
      </w:pPr>
      <w:r>
        <w:rPr>
          <w:rFonts w:ascii="Georgia" w:cs="Georgia" w:eastAsia="Georgia" w:hAnsi="Georgia"/>
          <w:color w:val="5A6577"/>
          <w:spacing w:val="160"/>
          <w:sz w:val="14"/>
          <w:szCs w:val="14"/>
        </w:rPr>
        <w:t xml:space="preserve">EDUCATION INTELLIGENCE</w:t>
      </w:r>
    </w:p>
    <w:p>
      <w:pPr>
        <w:spacing w:before="600" w:after="0"/>
      </w:pPr>
    </w:p>
    <w:p>
      <w:pPr>
        <w:spacing w:after="120"/>
        <w:jc w:val="center"/>
      </w:pPr>
      <w:r>
        <w:rPr>
          <w:rFonts w:ascii="Georgia" w:cs="Georgia" w:eastAsia="Georgia" w:hAnsi="Georgia"/>
          <w:b/>
          <w:bCs/>
          <w:color w:val="1B2A4A"/>
          <w:sz w:val="52"/>
          <w:szCs w:val="52"/>
        </w:rPr>
        <w:t xml:space="preserve">Recess Intelligence Brief</w:t>
      </w:r>
    </w:p>
    <w:p>
      <w:pPr>
        <w:spacing w:after="60"/>
        <w:jc w:val="center"/>
      </w:pPr>
      <w:r>
        <w:rPr>
          <w:rFonts w:ascii="Georgia" w:cs="Georgia" w:eastAsia="Georgia" w:hAnsi="Georgia"/>
          <w:color w:val="5A6577"/>
          <w:sz w:val="24"/>
          <w:szCs w:val="24"/>
        </w:rPr>
        <w:t xml:space="preserve">Quarterly Building Performance Report</w:t>
      </w:r>
    </w:p>
    <w:p>
      <w:pPr>
        <w:spacing w:before="400" w:after="0"/>
      </w:pPr>
    </w:p>
    <w:p>
      <w:pPr>
        <w:spacing w:after="400"/>
        <w:jc w:val="center"/>
      </w:pPr>
      <w:r>
        <w:rPr>
          <w:rFonts w:ascii="Georgia" w:cs="Georgia" w:eastAsia="Georgia" w:hAnsi="Georgia"/>
          <w:color w:val="C9A84C"/>
          <w:sz w:val="20"/>
          <w:szCs w:val="20"/>
        </w:rPr>
        <w:t xml:space="preserve">————————</w:t>
      </w:r>
    </w:p>
    <w:p>
      <w:pPr>
        <w:spacing w:after="80"/>
        <w:jc w:val="center"/>
      </w:pPr>
      <w:r>
        <w:rPr>
          <w:rFonts w:ascii="Georgia" w:cs="Georgia" w:eastAsia="Georgia" w:hAnsi="Georgia"/>
          <w:b/>
          <w:bCs/>
          <w:color w:val="1B2A4A"/>
          <w:sz w:val="28"/>
          <w:szCs w:val="28"/>
        </w:rPr>
        <w:t xml:space="preserve">Shadow Rock Elementary School</w:t>
      </w:r>
    </w:p>
    <w:p>
      <w:pPr>
        <w:spacing w:after="40"/>
        <w:jc w:val="center"/>
      </w:pPr>
      <w:r>
        <w:rPr>
          <w:rFonts w:ascii="Georgia" w:cs="Georgia" w:eastAsia="Georgia" w:hAnsi="Georgia"/>
          <w:color w:val="5A6577"/>
          <w:sz w:val="22"/>
          <w:szCs w:val="22"/>
        </w:rPr>
        <w:t xml:space="preserve">DeKalb County School District</w:t>
      </w:r>
    </w:p>
    <w:p>
      <w:pPr>
        <w:spacing w:after="40"/>
        <w:jc w:val="center"/>
      </w:pPr>
      <w:r>
        <w:rPr>
          <w:rFonts w:ascii="Georgia" w:cs="Georgia" w:eastAsia="Georgia" w:hAnsi="Georgia"/>
          <w:color w:val="5A6577"/>
          <w:sz w:val="20"/>
          <w:szCs w:val="20"/>
        </w:rPr>
        <w:t xml:space="preserve">1040 King Way Drive, Lithonia, Georgia 30058</w:t>
      </w:r>
    </w:p>
    <w:p>
      <w:pPr>
        <w:spacing w:before="800" w:after="0"/>
      </w:pPr>
    </w:p>
    <w:p>
      <w:pPr>
        <w:spacing w:after="60"/>
        <w:jc w:val="center"/>
      </w:pPr>
      <w:r>
        <w:rPr>
          <w:rFonts w:ascii="Arial" w:cs="Arial" w:eastAsia="Arial" w:hAnsi="Arial"/>
          <w:color w:val="5A6577"/>
          <w:spacing w:val="80"/>
          <w:sz w:val="14"/>
          <w:szCs w:val="14"/>
        </w:rPr>
        <w:t xml:space="preserve">PREPARED FOR</w:t>
      </w:r>
    </w:p>
    <w:p>
      <w:pPr>
        <w:spacing w:after="200"/>
        <w:jc w:val="center"/>
      </w:pPr>
      <w:r>
        <w:rPr>
          <w:rFonts w:ascii="Georgia" w:cs="Georgia" w:eastAsia="Georgia" w:hAnsi="Georgia"/>
          <w:color w:val="1B2A4A"/>
          <w:sz w:val="22"/>
          <w:szCs w:val="22"/>
        </w:rPr>
        <w:t xml:space="preserve">Dr. Fricretia Rice, Principal</w:t>
      </w:r>
    </w:p>
    <w:p>
      <w:pPr>
        <w:spacing w:after="60"/>
        <w:jc w:val="center"/>
      </w:pPr>
      <w:r>
        <w:rPr>
          <w:rFonts w:ascii="Arial" w:cs="Arial" w:eastAsia="Arial" w:hAnsi="Arial"/>
          <w:color w:val="5A6577"/>
          <w:spacing w:val="80"/>
          <w:sz w:val="14"/>
          <w:szCs w:val="14"/>
        </w:rPr>
        <w:t xml:space="preserve">REPORTING PERIOD</w:t>
      </w:r>
    </w:p>
    <w:p>
      <w:pPr>
        <w:spacing w:after="200"/>
        <w:jc w:val="center"/>
      </w:pPr>
      <w:r>
        <w:rPr>
          <w:rFonts w:ascii="Georgia" w:cs="Georgia" w:eastAsia="Georgia" w:hAnsi="Georgia"/>
          <w:color w:val="1B2A4A"/>
          <w:sz w:val="22"/>
          <w:szCs w:val="22"/>
        </w:rPr>
        <w:t xml:space="preserve">Quarter 3, 2025–26 Academic Year  ·  Weeks 18–26</w:t>
      </w:r>
    </w:p>
    <w:p>
      <w:pPr>
        <w:spacing w:after="60"/>
        <w:jc w:val="center"/>
      </w:pPr>
      <w:r>
        <w:rPr>
          <w:rFonts w:ascii="Arial" w:cs="Arial" w:eastAsia="Arial" w:hAnsi="Arial"/>
          <w:color w:val="5A6577"/>
          <w:spacing w:val="80"/>
          <w:sz w:val="14"/>
          <w:szCs w:val="14"/>
        </w:rPr>
        <w:t xml:space="preserve">CLASSIFICATION</w:t>
      </w:r>
    </w:p>
    <w:p>
      <w:pPr>
        <w:jc w:val="center"/>
      </w:pPr>
      <w:r>
        <w:rPr>
          <w:rFonts w:ascii="Georgia" w:cs="Georgia" w:eastAsia="Georgia" w:hAnsi="Georgia"/>
          <w:color w:val="C9A84C"/>
          <w:sz w:val="20"/>
          <w:szCs w:val="20"/>
        </w:rPr>
        <w:t xml:space="preserve">Internal — Administrative Review</w:t>
      </w:r>
    </w:p>
    <w:p>
      <w:pPr>
        <w:spacing w:before="1200" w:after="0"/>
      </w:pPr>
    </w:p>
    <w:p>
      <w:pPr>
        <w:pBdr>
          <w:top w:val="single" w:color="E2E6ED" w:sz="1" w:space="12"/>
        </w:pBdr>
        <w:spacing w:before="200"/>
        <w:jc w:val="center"/>
      </w:pPr>
      <w:r>
        <w:rPr>
          <w:rFonts w:ascii="Arial" w:cs="Arial" w:eastAsia="Arial" w:hAnsi="Arial"/>
          <w:color w:val="5A6577"/>
          <w:sz w:val="16"/>
          <w:szCs w:val="16"/>
        </w:rPr>
        <w:t xml:space="preserve">Powered by Crown’s Eye  ·  Meridia Holdings LLC</w:t>
      </w:r>
    </w:p>
    <w:p>
      <w:pPr>
        <w:sectPr>
          <w:pgSz w:w="12240" w:h="15840" w:orient="portrait"/>
          <w:pgMar w:top="1440" w:right="1440" w:bottom="1440" w:left="1440" w:header="708" w:footer="708" w:gutter="0"/>
          <w:pgNumType/>
          <w:docGrid w:linePitch="360"/>
        </w:sectPr>
      </w:pPr>
    </w:p>
    <w:p>
      <w:pPr>
        <w:pBdr>
          <w:bottom w:val="single" w:color="C9A84C" w:sz="2" w:space="8"/>
        </w:pBdr>
        <w:spacing w:before="360" w:after="160"/>
      </w:pPr>
      <w:r>
        <w:rPr>
          <w:rFonts w:ascii="Georgia" w:cs="Georgia" w:eastAsia="Georgia" w:hAnsi="Georgia"/>
          <w:b/>
          <w:bCs/>
          <w:color w:val="1B2A4A"/>
          <w:spacing w:val="80"/>
          <w:sz w:val="22"/>
          <w:szCs w:val="22"/>
        </w:rPr>
        <w:t xml:space="preserve">EXECUTIVE SUMMARY</w:t>
      </w:r>
    </w:p>
    <w:p>
      <w:pPr>
        <w:spacing w:before="0" w:after="120" w:line="320"/>
        <w:jc w:val="left"/>
      </w:pPr>
      <w:r>
        <w:rPr>
          <w:rFonts w:ascii="Georgia" w:cs="Georgia" w:eastAsia="Georgia" w:hAnsi="Georgia"/>
          <w:color w:val="5A6577"/>
          <w:sz w:val="21"/>
          <w:szCs w:val="21"/>
        </w:rPr>
        <w:t xml:space="preserve">Shadow Rock Elementary enters Quarter 3 of the 2025–26 academic year at a defining inflection point. Having successfully exited the state’s Horizon Schools designation, the building now faces the challenge that defeats most turnaround schools: sustaining momentum while deepening instructional quality. This report presents a building-wide analysis of student performance, STEAM standards coverage, reading mastery trajectories, and individualized support recommendations generated through continuous assessment.</w:t>
      </w:r>
    </w:p>
    <w:p>
      <w:pPr>
        <w:spacing w:before="0" w:after="120" w:line="320"/>
        <w:jc w:val="left"/>
      </w:pPr>
      <w:r>
        <w:rPr>
          <w:rFonts w:ascii="Georgia" w:cs="Georgia" w:eastAsia="Georgia" w:hAnsi="Georgia"/>
          <w:color w:val="5A6577"/>
          <w:sz w:val="21"/>
          <w:szCs w:val="21"/>
        </w:rPr>
        <w:t xml:space="preserve">The data in this brief is derived from ongoing student interaction with the Recess learning platform across ELA, Mathematics, Computer Science, and integrated STEAM scenarios. Unlike traditional diagnostic reports, these metrics reflect continuous observation across thousands of learning interactions—not point-in-time test scores. Every data point represents what students have demonstrated through authentic work, not what they produced under assessment conditions.</w:t>
      </w:r>
    </w:p>
    <w:p>
      <w:pPr>
        <w:pBdr>
          <w:bottom w:val="single" w:color="C9A84C" w:sz="2" w:space="8"/>
        </w:pBdr>
        <w:spacing w:before="360" w:after="160"/>
      </w:pPr>
      <w:r>
        <w:rPr>
          <w:rFonts w:ascii="Georgia" w:cs="Georgia" w:eastAsia="Georgia" w:hAnsi="Georgia"/>
          <w:b/>
          <w:bCs/>
          <w:color w:val="1B2A4A"/>
          <w:spacing w:val="80"/>
          <w:sz w:val="22"/>
          <w:szCs w:val="22"/>
        </w:rPr>
        <w:t xml:space="preserve">BUILDING PERFORMANCE SNAPSHOT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6ED" w:sz="1"/>
              <w:left w:val="single" w:color="E2E6ED" w:sz="1"/>
              <w:bottom w:val="single" w:color="E2E6ED" w:sz="1"/>
              <w:right w:val="single" w:color="E2E6ED" w:sz="1"/>
            </w:tcBorders>
            <w:shd w:fill="E0F5EC" w:val="clear"/>
            <w:tcMar>
              <w:top w:type="dxa" w:w="120"/>
              <w:left w:type="dxa" w:w="180"/>
              <w:bottom w:type="dxa" w:w="120"/>
              <w:right w:type="dxa" w:w="180"/>
            </w:tcMar>
            <w:vAlign w:val="center"/>
          </w:tcPr>
          <w:p>
            <w:pPr>
              <w:spacing w:after="40"/>
            </w:pPr>
            <w:r>
              <w:rPr>
                <w:rFonts w:ascii="Arial" w:cs="Arial" w:eastAsia="Arial" w:hAnsi="Arial"/>
                <w:b/>
                <w:bCs/>
                <w:color w:val="5A6577"/>
                <w:spacing w:val="40"/>
                <w:sz w:val="14"/>
                <w:szCs w:val="14"/>
              </w:rPr>
              <w:t xml:space="preserve">ACTIVE STUDENTS</w:t>
            </w:r>
          </w:p>
          <w:p>
            <w:pPr>
              <w:spacing w:after="40"/>
            </w:pPr>
            <w:r>
              <w:rPr>
                <w:rFonts w:ascii="Georgia" w:cs="Georgia" w:eastAsia="Georgia" w:hAnsi="Georgia"/>
                <w:b/>
                <w:bCs/>
                <w:color w:val="1B2A4A"/>
                <w:sz w:val="36"/>
                <w:szCs w:val="36"/>
              </w:rPr>
              <w:t xml:space="preserve">487</w:t>
            </w:r>
          </w:p>
          <w:p>
            <w:r>
              <w:rPr>
                <w:rFonts w:ascii="Arial" w:cs="Arial" w:eastAsia="Arial" w:hAnsi="Arial"/>
                <w:b/>
                <w:bCs/>
                <w:color w:val="2ECC87"/>
                <w:sz w:val="15"/>
                <w:szCs w:val="15"/>
              </w:rPr>
              <w:t xml:space="preserve">▲ 97% engagement</w:t>
            </w:r>
          </w:p>
        </w:tc>
        <w:tc>
          <w:tcPr>
            <w:tcW w:type="dxa" w:w="2340"/>
            <w:tcBorders>
              <w:top w:val="single" w:color="E2E6ED" w:sz="1"/>
              <w:left w:val="single" w:color="E2E6ED" w:sz="1"/>
              <w:bottom w:val="single" w:color="E2E6ED" w:sz="1"/>
              <w:right w:val="single" w:color="E2E6ED" w:sz="1"/>
            </w:tcBorders>
            <w:shd w:fill="DFF0FA" w:val="clear"/>
            <w:tcMar>
              <w:top w:type="dxa" w:w="120"/>
              <w:left w:type="dxa" w:w="180"/>
              <w:bottom w:type="dxa" w:w="120"/>
              <w:right w:type="dxa" w:w="180"/>
            </w:tcMar>
            <w:vAlign w:val="center"/>
          </w:tcPr>
          <w:p>
            <w:pPr>
              <w:spacing w:after="40"/>
            </w:pPr>
            <w:r>
              <w:rPr>
                <w:rFonts w:ascii="Arial" w:cs="Arial" w:eastAsia="Arial" w:hAnsi="Arial"/>
                <w:b/>
                <w:bCs/>
                <w:color w:val="5A6577"/>
                <w:spacing w:val="40"/>
                <w:sz w:val="14"/>
                <w:szCs w:val="14"/>
              </w:rPr>
              <w:t xml:space="preserve">STANDARDS MASTERED</w:t>
            </w:r>
          </w:p>
          <w:p>
            <w:pPr>
              <w:spacing w:after="40"/>
            </w:pPr>
            <w:r>
              <w:rPr>
                <w:rFonts w:ascii="Georgia" w:cs="Georgia" w:eastAsia="Georgia" w:hAnsi="Georgia"/>
                <w:b/>
                <w:bCs/>
                <w:color w:val="1B2A4A"/>
                <w:sz w:val="36"/>
                <w:szCs w:val="36"/>
              </w:rPr>
              <w:t xml:space="preserve">62%</w:t>
            </w:r>
          </w:p>
          <w:p>
            <w:r>
              <w:rPr>
                <w:rFonts w:ascii="Arial" w:cs="Arial" w:eastAsia="Arial" w:hAnsi="Arial"/>
                <w:b/>
                <w:bCs/>
                <w:color w:val="2ECC87"/>
                <w:sz w:val="15"/>
                <w:szCs w:val="15"/>
              </w:rPr>
              <w:t xml:space="preserve">▲ +8% from Q2</w:t>
            </w:r>
          </w:p>
        </w:tc>
        <w:tc>
          <w:tcPr>
            <w:tcW w:type="dxa" w:w="2340"/>
            <w:tcBorders>
              <w:top w:val="single" w:color="E2E6ED" w:sz="1"/>
              <w:left w:val="single" w:color="E2E6ED" w:sz="1"/>
              <w:bottom w:val="single" w:color="E2E6ED" w:sz="1"/>
              <w:right w:val="single" w:color="E2E6ED" w:sz="1"/>
            </w:tcBorders>
            <w:shd w:fill="FAF8F2" w:val="clear"/>
            <w:tcMar>
              <w:top w:type="dxa" w:w="120"/>
              <w:left w:type="dxa" w:w="180"/>
              <w:bottom w:type="dxa" w:w="120"/>
              <w:right w:type="dxa" w:w="180"/>
            </w:tcMar>
            <w:vAlign w:val="center"/>
          </w:tcPr>
          <w:p>
            <w:pPr>
              <w:spacing w:after="40"/>
            </w:pPr>
            <w:r>
              <w:rPr>
                <w:rFonts w:ascii="Arial" w:cs="Arial" w:eastAsia="Arial" w:hAnsi="Arial"/>
                <w:b/>
                <w:bCs/>
                <w:color w:val="5A6577"/>
                <w:spacing w:val="40"/>
                <w:sz w:val="14"/>
                <w:szCs w:val="14"/>
              </w:rPr>
              <w:t xml:space="preserve">READING ON-TRACK</w:t>
            </w:r>
          </w:p>
          <w:p>
            <w:pPr>
              <w:spacing w:after="40"/>
            </w:pPr>
            <w:r>
              <w:rPr>
                <w:rFonts w:ascii="Georgia" w:cs="Georgia" w:eastAsia="Georgia" w:hAnsi="Georgia"/>
                <w:b/>
                <w:bCs/>
                <w:color w:val="1B2A4A"/>
                <w:sz w:val="36"/>
                <w:szCs w:val="36"/>
              </w:rPr>
              <w:t xml:space="preserve">71%</w:t>
            </w:r>
          </w:p>
          <w:p>
            <w:r>
              <w:rPr>
                <w:rFonts w:ascii="Arial" w:cs="Arial" w:eastAsia="Arial" w:hAnsi="Arial"/>
                <w:b/>
                <w:bCs/>
                <w:color w:val="2ECC87"/>
                <w:sz w:val="15"/>
                <w:szCs w:val="15"/>
              </w:rPr>
              <w:t xml:space="preserve">▲ +14% from prior year</w:t>
            </w:r>
          </w:p>
        </w:tc>
        <w:tc>
          <w:tcPr>
            <w:tcW w:type="dxa" w:w="2340"/>
            <w:tcBorders>
              <w:top w:val="single" w:color="E2E6ED" w:sz="1"/>
              <w:left w:val="single" w:color="E2E6ED" w:sz="1"/>
              <w:bottom w:val="single" w:color="E2E6ED" w:sz="1"/>
              <w:right w:val="single" w:color="E2E6ED" w:sz="1"/>
            </w:tcBorders>
            <w:shd w:fill="F5EED9" w:val="clear"/>
            <w:tcMar>
              <w:top w:type="dxa" w:w="120"/>
              <w:left w:type="dxa" w:w="180"/>
              <w:bottom w:type="dxa" w:w="120"/>
              <w:right w:type="dxa" w:w="180"/>
            </w:tcMar>
            <w:vAlign w:val="center"/>
          </w:tcPr>
          <w:p>
            <w:pPr>
              <w:spacing w:after="40"/>
            </w:pPr>
            <w:r>
              <w:rPr>
                <w:rFonts w:ascii="Arial" w:cs="Arial" w:eastAsia="Arial" w:hAnsi="Arial"/>
                <w:b/>
                <w:bCs/>
                <w:color w:val="5A6577"/>
                <w:spacing w:val="40"/>
                <w:sz w:val="14"/>
                <w:szCs w:val="14"/>
              </w:rPr>
              <w:t xml:space="preserve">STEAM COVERAGE</w:t>
            </w:r>
          </w:p>
          <w:p>
            <w:pPr>
              <w:spacing w:after="40"/>
            </w:pPr>
            <w:r>
              <w:rPr>
                <w:rFonts w:ascii="Georgia" w:cs="Georgia" w:eastAsia="Georgia" w:hAnsi="Georgia"/>
                <w:b/>
                <w:bCs/>
                <w:color w:val="1B2A4A"/>
                <w:sz w:val="36"/>
                <w:szCs w:val="36"/>
              </w:rPr>
              <w:t xml:space="preserve">4 of 5</w:t>
            </w:r>
          </w:p>
          <w:p>
            <w:r>
              <w:rPr>
                <w:rFonts w:ascii="Arial" w:cs="Arial" w:eastAsia="Arial" w:hAnsi="Arial"/>
                <w:b/>
                <w:bCs/>
                <w:color w:val="1B2A4A"/>
                <w:sz w:val="15"/>
                <w:szCs w:val="15"/>
              </w:rPr>
              <w:t xml:space="preserve">CS on pace for EOY</w:t>
            </w:r>
          </w:p>
        </w:tc>
      </w:tr>
    </w:tbl>
    <w:p>
      <w:pPr>
        <w:spacing w:before="200" w:after="0"/>
      </w:pPr>
    </w:p>
    <w:p>
      <w:pPr>
        <w:spacing w:before="0" w:after="120" w:line="320"/>
        <w:jc w:val="left"/>
      </w:pPr>
      <w:r>
        <w:rPr>
          <w:rFonts w:ascii="Georgia" w:cs="Georgia" w:eastAsia="Georgia" w:hAnsi="Georgia"/>
          <w:color w:val="5A6577"/>
          <w:sz w:val="21"/>
          <w:szCs w:val="21"/>
        </w:rPr>
        <w:t xml:space="preserve">These metrics reflect meaningful acceleration. The 14-point increase in reading trajectory over the prior year represents the most significant literacy gain in Shadow Rock’s recent history. Critically, this improvement has occurred without pulling students from core instruction for extended diagnostic testing—the platform’s continuous assessment model has returned an estimated three weeks of instructional time to classrooms this year.</w:t>
      </w:r>
    </w:p>
    <w:p>
      <w:pPr>
        <w:pBdr>
          <w:bottom w:val="single" w:color="C9A84C" w:sz="2" w:space="8"/>
        </w:pBdr>
        <w:spacing w:before="360" w:after="160"/>
      </w:pPr>
      <w:r>
        <w:rPr>
          <w:rFonts w:ascii="Georgia" w:cs="Georgia" w:eastAsia="Georgia" w:hAnsi="Georgia"/>
          <w:b/>
          <w:bCs/>
          <w:color w:val="1B2A4A"/>
          <w:spacing w:val="80"/>
          <w:sz w:val="22"/>
          <w:szCs w:val="22"/>
        </w:rPr>
        <w:t xml:space="preserve">ACADEMIC PERFORMANCE BY GRADE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160"/>
      </w:tblGrid>
      <w:tr>
        <w:tc>
          <w:tcPr>
            <w:tcW w:type="dxa" w:w="12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left"/>
            </w:pPr>
            <w:r>
              <w:rPr>
                <w:rFonts w:ascii="Arial" w:cs="Arial" w:eastAsia="Arial" w:hAnsi="Arial"/>
                <w:b/>
                <w:bCs/>
                <w:color w:val="FFFFFF"/>
                <w:sz w:val="16"/>
                <w:szCs w:val="16"/>
              </w:rPr>
              <w:t xml:space="preserve">Grade</w:t>
            </w:r>
          </w:p>
        </w:tc>
        <w:tc>
          <w:tcPr>
            <w:tcW w:type="dxa" w:w="20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center"/>
            </w:pPr>
            <w:r>
              <w:rPr>
                <w:rFonts w:ascii="Arial" w:cs="Arial" w:eastAsia="Arial" w:hAnsi="Arial"/>
                <w:b/>
                <w:bCs/>
                <w:color w:val="FFFFFF"/>
                <w:sz w:val="16"/>
                <w:szCs w:val="16"/>
              </w:rPr>
              <w:t xml:space="preserve">ELA Mastery</w:t>
            </w:r>
          </w:p>
        </w:tc>
        <w:tc>
          <w:tcPr>
            <w:tcW w:type="dxa" w:w="20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center"/>
            </w:pPr>
            <w:r>
              <w:rPr>
                <w:rFonts w:ascii="Arial" w:cs="Arial" w:eastAsia="Arial" w:hAnsi="Arial"/>
                <w:b/>
                <w:bCs/>
                <w:color w:val="FFFFFF"/>
                <w:sz w:val="16"/>
                <w:szCs w:val="16"/>
              </w:rPr>
              <w:t xml:space="preserve">Math Mastery</w:t>
            </w:r>
          </w:p>
        </w:tc>
        <w:tc>
          <w:tcPr>
            <w:tcW w:type="dxa" w:w="20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center"/>
            </w:pPr>
            <w:r>
              <w:rPr>
                <w:rFonts w:ascii="Arial" w:cs="Arial" w:eastAsia="Arial" w:hAnsi="Arial"/>
                <w:b/>
                <w:bCs/>
                <w:color w:val="FFFFFF"/>
                <w:sz w:val="16"/>
                <w:szCs w:val="16"/>
              </w:rPr>
              <w:t xml:space="preserve">CS Progress</w:t>
            </w:r>
          </w:p>
        </w:tc>
        <w:tc>
          <w:tcPr>
            <w:tcW w:type="dxa" w:w="216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left"/>
            </w:pPr>
            <w:r>
              <w:rPr>
                <w:rFonts w:ascii="Arial" w:cs="Arial" w:eastAsia="Arial" w:hAnsi="Arial"/>
                <w:b/>
                <w:bCs/>
                <w:color w:val="FFFFFF"/>
                <w:sz w:val="16"/>
                <w:szCs w:val="16"/>
              </w:rPr>
              <w:t xml:space="preserve">Trajectory</w:t>
            </w:r>
          </w:p>
        </w:tc>
      </w:tr>
      <w:tr>
        <w:tc>
          <w:tcPr>
            <w:tcW w:type="dxa" w:w="12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tcPr>
          <w:p>
            <w:r>
              <w:rPr>
                <w:rFonts w:ascii="Georgia" w:cs="Georgia" w:eastAsia="Georgia" w:hAnsi="Georgia"/>
                <w:b/>
                <w:bCs/>
                <w:color w:val="1B2A4A"/>
                <w:sz w:val="19"/>
                <w:szCs w:val="19"/>
              </w:rPr>
              <w:t xml:space="preserve">Kindergarten</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jc w:val="center"/>
            </w:pPr>
            <w:r>
              <w:rPr>
                <w:rFonts w:ascii="Georgia" w:cs="Georgia" w:eastAsia="Georgia" w:hAnsi="Georgia"/>
                <w:b/>
                <w:bCs/>
                <w:color w:val="2ECC87"/>
                <w:sz w:val="22"/>
                <w:szCs w:val="22"/>
              </w:rPr>
              <w:t xml:space="preserve">74%</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jc w:val="center"/>
            </w:pPr>
            <w:r>
              <w:rPr>
                <w:rFonts w:ascii="Georgia" w:cs="Georgia" w:eastAsia="Georgia" w:hAnsi="Georgia"/>
                <w:b/>
                <w:bCs/>
                <w:color w:val="2ECC87"/>
                <w:sz w:val="22"/>
                <w:szCs w:val="22"/>
              </w:rPr>
              <w:t xml:space="preserve">68%</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jc w:val="center"/>
            </w:pPr>
            <w:r>
              <w:rPr>
                <w:rFonts w:ascii="Georgia" w:cs="Georgia" w:eastAsia="Georgia" w:hAnsi="Georgia"/>
                <w:color w:val="5A6577"/>
                <w:sz w:val="19"/>
                <w:szCs w:val="19"/>
              </w:rPr>
              <w:t xml:space="preserve">Emerging</w:t>
            </w:r>
          </w:p>
        </w:tc>
        <w:tc>
          <w:tcPr>
            <w:tcW w:type="dxa" w:w="2160"/>
            <w:tcBorders>
              <w:top w:val="single" w:color="E2E6ED" w:sz="1"/>
              <w:left w:val="single" w:color="E2E6ED" w:sz="1"/>
              <w:bottom w:val="single" w:color="E2E6ED" w:sz="1"/>
              <w:right w:val="single" w:color="E2E6ED" w:sz="1"/>
            </w:tcBorders>
            <w:shd w:fill="E0F5EC" w:val="clear"/>
            <w:tcMar>
              <w:top w:type="dxa" w:w="80"/>
              <w:left w:type="dxa" w:w="140"/>
              <w:bottom w:type="dxa" w:w="80"/>
              <w:right w:type="dxa" w:w="140"/>
            </w:tcMar>
            <w:vAlign w:val="center"/>
          </w:tcPr>
          <w:p>
            <w:pPr>
              <w:jc w:val="center"/>
            </w:pPr>
            <w:r>
              <w:rPr>
                <w:rFonts w:ascii="Arial" w:cs="Arial" w:eastAsia="Arial" w:hAnsi="Arial"/>
                <w:b/>
                <w:bCs/>
                <w:color w:val="2ECC87"/>
                <w:sz w:val="16"/>
                <w:szCs w:val="16"/>
              </w:rPr>
              <w:t xml:space="preserve">Rising</w:t>
            </w:r>
          </w:p>
        </w:tc>
      </w:tr>
      <w:tr>
        <w:tc>
          <w:tcPr>
            <w:tcW w:type="dxa" w:w="12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tcPr>
          <w:p>
            <w:r>
              <w:rPr>
                <w:rFonts w:ascii="Georgia" w:cs="Georgia" w:eastAsia="Georgia" w:hAnsi="Georgia"/>
                <w:b/>
                <w:bCs/>
                <w:color w:val="1B2A4A"/>
                <w:sz w:val="19"/>
                <w:szCs w:val="19"/>
              </w:rPr>
              <w:t xml:space="preserve">1st Grade</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jc w:val="center"/>
            </w:pPr>
            <w:r>
              <w:rPr>
                <w:rFonts w:ascii="Georgia" w:cs="Georgia" w:eastAsia="Georgia" w:hAnsi="Georgia"/>
                <w:b/>
                <w:bCs/>
                <w:color w:val="2ECC87"/>
                <w:sz w:val="22"/>
                <w:szCs w:val="22"/>
              </w:rPr>
              <w:t xml:space="preserve">66%</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jc w:val="center"/>
            </w:pPr>
            <w:r>
              <w:rPr>
                <w:rFonts w:ascii="Georgia" w:cs="Georgia" w:eastAsia="Georgia" w:hAnsi="Georgia"/>
                <w:b/>
                <w:bCs/>
                <w:color w:val="5BA4D9"/>
                <w:sz w:val="22"/>
                <w:szCs w:val="22"/>
              </w:rPr>
              <w:t xml:space="preserve">61%</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jc w:val="center"/>
            </w:pPr>
            <w:r>
              <w:rPr>
                <w:rFonts w:ascii="Georgia" w:cs="Georgia" w:eastAsia="Georgia" w:hAnsi="Georgia"/>
                <w:color w:val="5A6577"/>
                <w:sz w:val="19"/>
                <w:szCs w:val="19"/>
              </w:rPr>
              <w:t xml:space="preserve">Emerging</w:t>
            </w:r>
          </w:p>
        </w:tc>
        <w:tc>
          <w:tcPr>
            <w:tcW w:type="dxa" w:w="2160"/>
            <w:tcBorders>
              <w:top w:val="single" w:color="E2E6ED" w:sz="1"/>
              <w:left w:val="single" w:color="E2E6ED" w:sz="1"/>
              <w:bottom w:val="single" w:color="E2E6ED" w:sz="1"/>
              <w:right w:val="single" w:color="E2E6ED" w:sz="1"/>
            </w:tcBorders>
            <w:shd w:fill="DFF0FA" w:val="clear"/>
            <w:tcMar>
              <w:top w:type="dxa" w:w="80"/>
              <w:left w:type="dxa" w:w="140"/>
              <w:bottom w:type="dxa" w:w="80"/>
              <w:right w:type="dxa" w:w="140"/>
            </w:tcMar>
            <w:vAlign w:val="center"/>
          </w:tcPr>
          <w:p>
            <w:pPr>
              <w:jc w:val="center"/>
            </w:pPr>
            <w:r>
              <w:rPr>
                <w:rFonts w:ascii="Arial" w:cs="Arial" w:eastAsia="Arial" w:hAnsi="Arial"/>
                <w:b/>
                <w:bCs/>
                <w:color w:val="5BA4D9"/>
                <w:sz w:val="16"/>
                <w:szCs w:val="16"/>
              </w:rPr>
              <w:t xml:space="preserve">Steady</w:t>
            </w:r>
          </w:p>
        </w:tc>
      </w:tr>
      <w:tr>
        <w:tc>
          <w:tcPr>
            <w:tcW w:type="dxa" w:w="12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tcPr>
          <w:p>
            <w:r>
              <w:rPr>
                <w:rFonts w:ascii="Georgia" w:cs="Georgia" w:eastAsia="Georgia" w:hAnsi="Georgia"/>
                <w:b/>
                <w:bCs/>
                <w:color w:val="1B2A4A"/>
                <w:sz w:val="19"/>
                <w:szCs w:val="19"/>
              </w:rPr>
              <w:t xml:space="preserve">2nd Grade</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jc w:val="center"/>
            </w:pPr>
            <w:r>
              <w:rPr>
                <w:rFonts w:ascii="Georgia" w:cs="Georgia" w:eastAsia="Georgia" w:hAnsi="Georgia"/>
                <w:b/>
                <w:bCs/>
                <w:color w:val="5BA4D9"/>
                <w:sz w:val="22"/>
                <w:szCs w:val="22"/>
              </w:rPr>
              <w:t xml:space="preserve">59%</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jc w:val="center"/>
            </w:pPr>
            <w:r>
              <w:rPr>
                <w:rFonts w:ascii="Georgia" w:cs="Georgia" w:eastAsia="Georgia" w:hAnsi="Georgia"/>
                <w:b/>
                <w:bCs/>
                <w:color w:val="5BA4D9"/>
                <w:sz w:val="22"/>
                <w:szCs w:val="22"/>
              </w:rPr>
              <w:t xml:space="preserve">55%</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jc w:val="center"/>
            </w:pPr>
            <w:r>
              <w:rPr>
                <w:rFonts w:ascii="Georgia" w:cs="Georgia" w:eastAsia="Georgia" w:hAnsi="Georgia"/>
                <w:color w:val="5A6577"/>
                <w:sz w:val="19"/>
                <w:szCs w:val="19"/>
              </w:rPr>
              <w:t xml:space="preserve">On Pace</w:t>
            </w:r>
          </w:p>
        </w:tc>
        <w:tc>
          <w:tcPr>
            <w:tcW w:type="dxa" w:w="2160"/>
            <w:tcBorders>
              <w:top w:val="single" w:color="E2E6ED" w:sz="1"/>
              <w:left w:val="single" w:color="E2E6ED" w:sz="1"/>
              <w:bottom w:val="single" w:color="E2E6ED" w:sz="1"/>
              <w:right w:val="single" w:color="E2E6ED" w:sz="1"/>
            </w:tcBorders>
            <w:shd w:fill="FDF3E0" w:val="clear"/>
            <w:tcMar>
              <w:top w:type="dxa" w:w="80"/>
              <w:left w:type="dxa" w:w="140"/>
              <w:bottom w:type="dxa" w:w="80"/>
              <w:right w:type="dxa" w:w="140"/>
            </w:tcMar>
            <w:vAlign w:val="center"/>
          </w:tcPr>
          <w:p>
            <w:pPr>
              <w:jc w:val="center"/>
            </w:pPr>
            <w:r>
              <w:rPr>
                <w:rFonts w:ascii="Arial" w:cs="Arial" w:eastAsia="Arial" w:hAnsi="Arial"/>
                <w:b/>
                <w:bCs/>
                <w:color w:val="F5A623"/>
                <w:sz w:val="16"/>
                <w:szCs w:val="16"/>
              </w:rPr>
              <w:t xml:space="preserve">Watch</w:t>
            </w:r>
          </w:p>
        </w:tc>
      </w:tr>
      <w:tr>
        <w:tc>
          <w:tcPr>
            <w:tcW w:type="dxa" w:w="12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tcPr>
          <w:p>
            <w:r>
              <w:rPr>
                <w:rFonts w:ascii="Georgia" w:cs="Georgia" w:eastAsia="Georgia" w:hAnsi="Georgia"/>
                <w:b/>
                <w:bCs/>
                <w:color w:val="1B2A4A"/>
                <w:sz w:val="19"/>
                <w:szCs w:val="19"/>
              </w:rPr>
              <w:t xml:space="preserve">3rd Grade</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jc w:val="center"/>
            </w:pPr>
            <w:r>
              <w:rPr>
                <w:rFonts w:ascii="Georgia" w:cs="Georgia" w:eastAsia="Georgia" w:hAnsi="Georgia"/>
                <w:b/>
                <w:bCs/>
                <w:color w:val="5BA4D9"/>
                <w:sz w:val="22"/>
                <w:szCs w:val="22"/>
              </w:rPr>
              <w:t xml:space="preserve">56%</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jc w:val="center"/>
            </w:pPr>
            <w:r>
              <w:rPr>
                <w:rFonts w:ascii="Georgia" w:cs="Georgia" w:eastAsia="Georgia" w:hAnsi="Georgia"/>
                <w:b/>
                <w:bCs/>
                <w:color w:val="F5A623"/>
                <w:sz w:val="22"/>
                <w:szCs w:val="22"/>
              </w:rPr>
              <w:t xml:space="preserve">52%</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jc w:val="center"/>
            </w:pPr>
            <w:r>
              <w:rPr>
                <w:rFonts w:ascii="Georgia" w:cs="Georgia" w:eastAsia="Georgia" w:hAnsi="Georgia"/>
                <w:color w:val="5A6577"/>
                <w:sz w:val="19"/>
                <w:szCs w:val="19"/>
              </w:rPr>
              <w:t xml:space="preserve">On Pace</w:t>
            </w:r>
          </w:p>
        </w:tc>
        <w:tc>
          <w:tcPr>
            <w:tcW w:type="dxa" w:w="2160"/>
            <w:tcBorders>
              <w:top w:val="single" w:color="E2E6ED" w:sz="1"/>
              <w:left w:val="single" w:color="E2E6ED" w:sz="1"/>
              <w:bottom w:val="single" w:color="E2E6ED" w:sz="1"/>
              <w:right w:val="single" w:color="E2E6ED" w:sz="1"/>
            </w:tcBorders>
            <w:shd w:fill="E0F5EC" w:val="clear"/>
            <w:tcMar>
              <w:top w:type="dxa" w:w="80"/>
              <w:left w:type="dxa" w:w="140"/>
              <w:bottom w:type="dxa" w:w="80"/>
              <w:right w:type="dxa" w:w="140"/>
            </w:tcMar>
            <w:vAlign w:val="center"/>
          </w:tcPr>
          <w:p>
            <w:pPr>
              <w:jc w:val="center"/>
            </w:pPr>
            <w:r>
              <w:rPr>
                <w:rFonts w:ascii="Arial" w:cs="Arial" w:eastAsia="Arial" w:hAnsi="Arial"/>
                <w:b/>
                <w:bCs/>
                <w:color w:val="2ECC87"/>
                <w:sz w:val="16"/>
                <w:szCs w:val="16"/>
              </w:rPr>
              <w:t xml:space="preserve">Rising</w:t>
            </w:r>
          </w:p>
        </w:tc>
      </w:tr>
      <w:tr>
        <w:tc>
          <w:tcPr>
            <w:tcW w:type="dxa" w:w="12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tcPr>
          <w:p>
            <w:r>
              <w:rPr>
                <w:rFonts w:ascii="Georgia" w:cs="Georgia" w:eastAsia="Georgia" w:hAnsi="Georgia"/>
                <w:b/>
                <w:bCs/>
                <w:color w:val="1B2A4A"/>
                <w:sz w:val="19"/>
                <w:szCs w:val="19"/>
              </w:rPr>
              <w:t xml:space="preserve">4th Grade</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jc w:val="center"/>
            </w:pPr>
            <w:r>
              <w:rPr>
                <w:rFonts w:ascii="Georgia" w:cs="Georgia" w:eastAsia="Georgia" w:hAnsi="Georgia"/>
                <w:b/>
                <w:bCs/>
                <w:color w:val="5BA4D9"/>
                <w:sz w:val="22"/>
                <w:szCs w:val="22"/>
              </w:rPr>
              <w:t xml:space="preserve">61%</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jc w:val="center"/>
            </w:pPr>
            <w:r>
              <w:rPr>
                <w:rFonts w:ascii="Georgia" w:cs="Georgia" w:eastAsia="Georgia" w:hAnsi="Georgia"/>
                <w:b/>
                <w:bCs/>
                <w:color w:val="5BA4D9"/>
                <w:sz w:val="22"/>
                <w:szCs w:val="22"/>
              </w:rPr>
              <w:t xml:space="preserve">58%</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jc w:val="center"/>
            </w:pPr>
            <w:r>
              <w:rPr>
                <w:rFonts w:ascii="Georgia" w:cs="Georgia" w:eastAsia="Georgia" w:hAnsi="Georgia"/>
                <w:color w:val="5A6577"/>
                <w:sz w:val="19"/>
                <w:szCs w:val="19"/>
              </w:rPr>
              <w:t xml:space="preserve">On Pace</w:t>
            </w:r>
          </w:p>
        </w:tc>
        <w:tc>
          <w:tcPr>
            <w:tcW w:type="dxa" w:w="2160"/>
            <w:tcBorders>
              <w:top w:val="single" w:color="E2E6ED" w:sz="1"/>
              <w:left w:val="single" w:color="E2E6ED" w:sz="1"/>
              <w:bottom w:val="single" w:color="E2E6ED" w:sz="1"/>
              <w:right w:val="single" w:color="E2E6ED" w:sz="1"/>
            </w:tcBorders>
            <w:shd w:fill="DFF0FA" w:val="clear"/>
            <w:tcMar>
              <w:top w:type="dxa" w:w="80"/>
              <w:left w:type="dxa" w:w="140"/>
              <w:bottom w:type="dxa" w:w="80"/>
              <w:right w:type="dxa" w:w="140"/>
            </w:tcMar>
            <w:vAlign w:val="center"/>
          </w:tcPr>
          <w:p>
            <w:pPr>
              <w:jc w:val="center"/>
            </w:pPr>
            <w:r>
              <w:rPr>
                <w:rFonts w:ascii="Arial" w:cs="Arial" w:eastAsia="Arial" w:hAnsi="Arial"/>
                <w:b/>
                <w:bCs/>
                <w:color w:val="5BA4D9"/>
                <w:sz w:val="16"/>
                <w:szCs w:val="16"/>
              </w:rPr>
              <w:t xml:space="preserve">Steady</w:t>
            </w:r>
          </w:p>
        </w:tc>
      </w:tr>
      <w:tr>
        <w:tc>
          <w:tcPr>
            <w:tcW w:type="dxa" w:w="12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tcPr>
          <w:p>
            <w:r>
              <w:rPr>
                <w:rFonts w:ascii="Georgia" w:cs="Georgia" w:eastAsia="Georgia" w:hAnsi="Georgia"/>
                <w:b/>
                <w:bCs/>
                <w:color w:val="1B2A4A"/>
                <w:sz w:val="19"/>
                <w:szCs w:val="19"/>
              </w:rPr>
              <w:t xml:space="preserve">5th Grade</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jc w:val="center"/>
            </w:pPr>
            <w:r>
              <w:rPr>
                <w:rFonts w:ascii="Georgia" w:cs="Georgia" w:eastAsia="Georgia" w:hAnsi="Georgia"/>
                <w:b/>
                <w:bCs/>
                <w:color w:val="5BA4D9"/>
                <w:sz w:val="22"/>
                <w:szCs w:val="22"/>
              </w:rPr>
              <w:t xml:space="preserve">58%</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jc w:val="center"/>
            </w:pPr>
            <w:r>
              <w:rPr>
                <w:rFonts w:ascii="Georgia" w:cs="Georgia" w:eastAsia="Georgia" w:hAnsi="Georgia"/>
                <w:b/>
                <w:bCs/>
                <w:color w:val="F5A623"/>
                <w:sz w:val="22"/>
                <w:szCs w:val="22"/>
              </w:rPr>
              <w:t xml:space="preserve">54%</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jc w:val="center"/>
            </w:pPr>
            <w:r>
              <w:rPr>
                <w:rFonts w:ascii="Georgia" w:cs="Georgia" w:eastAsia="Georgia" w:hAnsi="Georgia"/>
                <w:color w:val="5A6577"/>
                <w:sz w:val="19"/>
                <w:szCs w:val="19"/>
              </w:rPr>
              <w:t xml:space="preserve">On Pace</w:t>
            </w:r>
          </w:p>
        </w:tc>
        <w:tc>
          <w:tcPr>
            <w:tcW w:type="dxa" w:w="2160"/>
            <w:tcBorders>
              <w:top w:val="single" w:color="E2E6ED" w:sz="1"/>
              <w:left w:val="single" w:color="E2E6ED" w:sz="1"/>
              <w:bottom w:val="single" w:color="E2E6ED" w:sz="1"/>
              <w:right w:val="single" w:color="E2E6ED" w:sz="1"/>
            </w:tcBorders>
            <w:shd w:fill="FDF3E0" w:val="clear"/>
            <w:tcMar>
              <w:top w:type="dxa" w:w="80"/>
              <w:left w:type="dxa" w:w="140"/>
              <w:bottom w:type="dxa" w:w="80"/>
              <w:right w:type="dxa" w:w="140"/>
            </w:tcMar>
            <w:vAlign w:val="center"/>
          </w:tcPr>
          <w:p>
            <w:pPr>
              <w:jc w:val="center"/>
            </w:pPr>
            <w:r>
              <w:rPr>
                <w:rFonts w:ascii="Arial" w:cs="Arial" w:eastAsia="Arial" w:hAnsi="Arial"/>
                <w:b/>
                <w:bCs/>
                <w:color w:val="F5A623"/>
                <w:sz w:val="16"/>
                <w:szCs w:val="16"/>
              </w:rPr>
              <w:t xml:space="preserve">Watch</w:t>
            </w:r>
          </w:p>
        </w:tc>
      </w:tr>
    </w:tbl>
    <w:p>
      <w:pPr>
        <w:spacing w:before="120" w:after="0"/>
      </w:pPr>
    </w:p>
    <w:p>
      <w:pPr>
        <w:spacing w:before="0" w:after="120" w:line="320"/>
        <w:jc w:val="left"/>
      </w:pPr>
      <w:r>
        <w:rPr>
          <w:rFonts w:ascii="Georgia" w:cs="Georgia" w:eastAsia="Georgia" w:hAnsi="Georgia"/>
          <w:color w:val="5A6577"/>
          <w:sz w:val="21"/>
          <w:szCs w:val="21"/>
        </w:rPr>
        <w:t xml:space="preserve">Third grade shows the strongest upward trajectory in the building despite having the lowest absolute mastery scores. This cohort’s reading fluency gains accelerated markedly after STEAM-integrated scenarios replaced isolated skill drilling in Week 14. Second grade requires attention—the data suggests engagement is strong but conceptual transfer from activities to independent practice is lagging, particularly in mathematics.</w:t>
      </w:r>
    </w:p>
    <w:p>
      <w:r>
        <w:br w:type="page"/>
      </w:r>
    </w:p>
    <w:p>
      <w:pPr>
        <w:pBdr>
          <w:bottom w:val="single" w:color="C9A84C" w:sz="2" w:space="8"/>
        </w:pBdr>
        <w:spacing w:before="360" w:after="160"/>
      </w:pPr>
      <w:r>
        <w:rPr>
          <w:rFonts w:ascii="Georgia" w:cs="Georgia" w:eastAsia="Georgia" w:hAnsi="Georgia"/>
          <w:b/>
          <w:bCs/>
          <w:color w:val="1B2A4A"/>
          <w:spacing w:val="80"/>
          <w:sz w:val="22"/>
          <w:szCs w:val="22"/>
        </w:rPr>
        <w:t xml:space="preserve">READING MASTERY — MIDDLE SCHOOL READINESS</w:t>
      </w:r>
    </w:p>
    <w:p>
      <w:pPr>
        <w:spacing w:before="0" w:after="120" w:line="320"/>
        <w:jc w:val="left"/>
      </w:pPr>
      <w:r>
        <w:rPr>
          <w:rFonts w:ascii="Georgia" w:cs="Georgia" w:eastAsia="Georgia" w:hAnsi="Georgia"/>
          <w:color w:val="5A6577"/>
          <w:sz w:val="21"/>
          <w:szCs w:val="21"/>
        </w:rPr>
        <w:t xml:space="preserve">The following analysis addresses the building’s central strategic priority: ensuring students are not lost or disengaged by middle school due to lack of progress in reading. This section tracks reading trajectories with particular focus on 3rd through 5th grade students who will transition to Freedom Middle School within the next one to three years.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left"/>
            </w:pPr>
            <w:r>
              <w:rPr>
                <w:rFonts w:ascii="Arial" w:cs="Arial" w:eastAsia="Arial" w:hAnsi="Arial"/>
                <w:b/>
                <w:bCs/>
                <w:color w:val="FFFFFF"/>
                <w:sz w:val="16"/>
                <w:szCs w:val="16"/>
              </w:rPr>
              <w:t xml:space="preserve">Trajectory Category</w:t>
            </w:r>
          </w:p>
        </w:tc>
        <w:tc>
          <w:tcPr>
            <w:tcW w:type="dxa" w:w="16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center"/>
            </w:pPr>
            <w:r>
              <w:rPr>
                <w:rFonts w:ascii="Arial" w:cs="Arial" w:eastAsia="Arial" w:hAnsi="Arial"/>
                <w:b/>
                <w:bCs/>
                <w:color w:val="FFFFFF"/>
                <w:sz w:val="16"/>
                <w:szCs w:val="16"/>
              </w:rPr>
              <w:t xml:space="preserve">Students</w:t>
            </w:r>
          </w:p>
        </w:tc>
        <w:tc>
          <w:tcPr>
            <w:tcW w:type="dxa" w:w="16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center"/>
            </w:pPr>
            <w:r>
              <w:rPr>
                <w:rFonts w:ascii="Arial" w:cs="Arial" w:eastAsia="Arial" w:hAnsi="Arial"/>
                <w:b/>
                <w:bCs/>
                <w:color w:val="FFFFFF"/>
                <w:sz w:val="16"/>
                <w:szCs w:val="16"/>
              </w:rPr>
              <w:t xml:space="preserve">% of Building</w:t>
            </w:r>
          </w:p>
        </w:tc>
        <w:tc>
          <w:tcPr>
            <w:tcW w:type="dxa" w:w="296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left"/>
            </w:pPr>
            <w:r>
              <w:rPr>
                <w:rFonts w:ascii="Arial" w:cs="Arial" w:eastAsia="Arial" w:hAnsi="Arial"/>
                <w:b/>
                <w:bCs/>
                <w:color w:val="FFFFFF"/>
                <w:sz w:val="16"/>
                <w:szCs w:val="16"/>
              </w:rPr>
              <w:t xml:space="preserve">Recommended Action</w:t>
            </w:r>
          </w:p>
        </w:tc>
      </w:tr>
      <w:tr>
        <w:tc>
          <w:tcPr>
            <w:tcW w:type="dxa" w:w="3200"/>
            <w:tcBorders>
              <w:top w:val="single" w:color="E2E6ED" w:sz="1"/>
              <w:left w:val="single" w:color="E2E6ED" w:sz="1"/>
              <w:bottom w:val="single" w:color="E2E6ED" w:sz="1"/>
              <w:right w:val="single" w:color="E2E6ED" w:sz="1"/>
            </w:tcBorders>
            <w:tcMar>
              <w:top w:type="dxa" w:w="80"/>
              <w:left w:type="dxa" w:w="140"/>
              <w:bottom w:type="dxa" w:w="80"/>
              <w:right w:type="dxa" w:w="140"/>
            </w:tcMar>
          </w:tcPr>
          <w:p>
            <w:r>
              <w:rPr>
                <w:rFonts w:ascii="Georgia" w:cs="Georgia" w:eastAsia="Georgia" w:hAnsi="Georgia"/>
                <w:b/>
                <w:bCs/>
                <w:color w:val="2ECC87"/>
                <w:sz w:val="19"/>
                <w:szCs w:val="19"/>
              </w:rPr>
              <w:t xml:space="preserve">Accelerating</w:t>
            </w:r>
          </w:p>
          <w:p>
            <w:r>
              <w:rPr>
                <w:rFonts w:ascii="Georgia" w:cs="Georgia" w:eastAsia="Georgia" w:hAnsi="Georgia"/>
                <w:color w:val="5A6577"/>
                <w:sz w:val="17"/>
                <w:szCs w:val="17"/>
              </w:rPr>
              <w:t xml:space="preserve">Consistent upward movement across 6+ weeks</w:t>
            </w:r>
          </w:p>
        </w:tc>
        <w:tc>
          <w:tcPr>
            <w:tcW w:type="dxa" w:w="16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jc w:val="center"/>
            </w:pPr>
            <w:r>
              <w:rPr>
                <w:rFonts w:ascii="Georgia" w:cs="Georgia" w:eastAsia="Georgia" w:hAnsi="Georgia"/>
                <w:b/>
                <w:bCs/>
                <w:color w:val="1B2A4A"/>
                <w:sz w:val="24"/>
                <w:szCs w:val="24"/>
              </w:rPr>
              <w:t xml:space="preserve">148</w:t>
            </w:r>
          </w:p>
        </w:tc>
        <w:tc>
          <w:tcPr>
            <w:tcW w:type="dxa" w:w="16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jc w:val="center"/>
            </w:pPr>
            <w:r>
              <w:rPr>
                <w:rFonts w:ascii="Georgia" w:cs="Georgia" w:eastAsia="Georgia" w:hAnsi="Georgia"/>
                <w:b/>
                <w:bCs/>
                <w:color w:val="2ECC87"/>
                <w:sz w:val="22"/>
                <w:szCs w:val="22"/>
              </w:rPr>
              <w:t xml:space="preserve">30%</w:t>
            </w:r>
          </w:p>
        </w:tc>
        <w:tc>
          <w:tcPr>
            <w:tcW w:type="dxa" w:w="296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280"/>
            </w:pPr>
            <w:r>
              <w:rPr>
                <w:rFonts w:ascii="Georgia" w:cs="Georgia" w:eastAsia="Georgia" w:hAnsi="Georgia"/>
                <w:color w:val="5A6577"/>
                <w:sz w:val="18"/>
                <w:szCs w:val="18"/>
              </w:rPr>
              <w:t xml:space="preserve">No intervention needed. System continues enrichment scaffolding.</w:t>
            </w:r>
          </w:p>
        </w:tc>
      </w:tr>
      <w:tr>
        <w:tc>
          <w:tcPr>
            <w:tcW w:type="dxa" w:w="32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tcPr>
          <w:p>
            <w:r>
              <w:rPr>
                <w:rFonts w:ascii="Georgia" w:cs="Georgia" w:eastAsia="Georgia" w:hAnsi="Georgia"/>
                <w:b/>
                <w:bCs/>
                <w:color w:val="5BA4D9"/>
                <w:sz w:val="19"/>
                <w:szCs w:val="19"/>
              </w:rPr>
              <w:t xml:space="preserve">On Track</w:t>
            </w:r>
          </w:p>
          <w:p>
            <w:r>
              <w:rPr>
                <w:rFonts w:ascii="Georgia" w:cs="Georgia" w:eastAsia="Georgia" w:hAnsi="Georgia"/>
                <w:color w:val="5A6577"/>
                <w:sz w:val="17"/>
                <w:szCs w:val="17"/>
              </w:rPr>
              <w:t xml:space="preserve">Holding at or near grade-level expectations</w:t>
            </w:r>
          </w:p>
        </w:tc>
        <w:tc>
          <w:tcPr>
            <w:tcW w:type="dxa" w:w="16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jc w:val="center"/>
            </w:pPr>
            <w:r>
              <w:rPr>
                <w:rFonts w:ascii="Georgia" w:cs="Georgia" w:eastAsia="Georgia" w:hAnsi="Georgia"/>
                <w:b/>
                <w:bCs/>
                <w:color w:val="1B2A4A"/>
                <w:sz w:val="24"/>
                <w:szCs w:val="24"/>
              </w:rPr>
              <w:t xml:space="preserve">197</w:t>
            </w:r>
          </w:p>
        </w:tc>
        <w:tc>
          <w:tcPr>
            <w:tcW w:type="dxa" w:w="16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jc w:val="center"/>
            </w:pPr>
            <w:r>
              <w:rPr>
                <w:rFonts w:ascii="Georgia" w:cs="Georgia" w:eastAsia="Georgia" w:hAnsi="Georgia"/>
                <w:b/>
                <w:bCs/>
                <w:color w:val="5BA4D9"/>
                <w:sz w:val="22"/>
                <w:szCs w:val="22"/>
              </w:rPr>
              <w:t xml:space="preserve">41%</w:t>
            </w:r>
          </w:p>
        </w:tc>
        <w:tc>
          <w:tcPr>
            <w:tcW w:type="dxa" w:w="296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line="280"/>
            </w:pPr>
            <w:r>
              <w:rPr>
                <w:rFonts w:ascii="Georgia" w:cs="Georgia" w:eastAsia="Georgia" w:hAnsi="Georgia"/>
                <w:color w:val="5A6577"/>
                <w:sz w:val="18"/>
                <w:szCs w:val="18"/>
              </w:rPr>
              <w:t xml:space="preserve">Quarterly monitoring. System adjusting complexity to maintain growth.</w:t>
            </w:r>
          </w:p>
        </w:tc>
      </w:tr>
      <w:tr>
        <w:tc>
          <w:tcPr>
            <w:tcW w:type="dxa" w:w="3200"/>
            <w:tcBorders>
              <w:top w:val="single" w:color="E2E6ED" w:sz="1"/>
              <w:left w:val="single" w:color="E2E6ED" w:sz="1"/>
              <w:bottom w:val="single" w:color="E2E6ED" w:sz="1"/>
              <w:right w:val="single" w:color="E2E6ED" w:sz="1"/>
            </w:tcBorders>
            <w:tcMar>
              <w:top w:type="dxa" w:w="80"/>
              <w:left w:type="dxa" w:w="140"/>
              <w:bottom w:type="dxa" w:w="80"/>
              <w:right w:type="dxa" w:w="140"/>
            </w:tcMar>
          </w:tcPr>
          <w:p>
            <w:r>
              <w:rPr>
                <w:rFonts w:ascii="Georgia" w:cs="Georgia" w:eastAsia="Georgia" w:hAnsi="Georgia"/>
                <w:b/>
                <w:bCs/>
                <w:color w:val="F5A623"/>
                <w:sz w:val="19"/>
                <w:szCs w:val="19"/>
              </w:rPr>
              <w:t xml:space="preserve">Progress Stalling</w:t>
            </w:r>
          </w:p>
          <w:p>
            <w:r>
              <w:rPr>
                <w:rFonts w:ascii="Georgia" w:cs="Georgia" w:eastAsia="Georgia" w:hAnsi="Georgia"/>
                <w:color w:val="5A6577"/>
                <w:sz w:val="17"/>
                <w:szCs w:val="17"/>
              </w:rPr>
              <w:t xml:space="preserve">Growth has flattened for 3+ consecutive weeks</w:t>
            </w:r>
          </w:p>
        </w:tc>
        <w:tc>
          <w:tcPr>
            <w:tcW w:type="dxa" w:w="16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jc w:val="center"/>
            </w:pPr>
            <w:r>
              <w:rPr>
                <w:rFonts w:ascii="Georgia" w:cs="Georgia" w:eastAsia="Georgia" w:hAnsi="Georgia"/>
                <w:b/>
                <w:bCs/>
                <w:color w:val="1B2A4A"/>
                <w:sz w:val="24"/>
                <w:szCs w:val="24"/>
              </w:rPr>
              <w:t xml:space="preserve">98</w:t>
            </w:r>
          </w:p>
        </w:tc>
        <w:tc>
          <w:tcPr>
            <w:tcW w:type="dxa" w:w="16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jc w:val="center"/>
            </w:pPr>
            <w:r>
              <w:rPr>
                <w:rFonts w:ascii="Georgia" w:cs="Georgia" w:eastAsia="Georgia" w:hAnsi="Georgia"/>
                <w:b/>
                <w:bCs/>
                <w:color w:val="F5A623"/>
                <w:sz w:val="22"/>
                <w:szCs w:val="22"/>
              </w:rPr>
              <w:t xml:space="preserve">20%</w:t>
            </w:r>
          </w:p>
        </w:tc>
        <w:tc>
          <w:tcPr>
            <w:tcW w:type="dxa" w:w="296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280"/>
            </w:pPr>
            <w:r>
              <w:rPr>
                <w:rFonts w:ascii="Georgia" w:cs="Georgia" w:eastAsia="Georgia" w:hAnsi="Georgia"/>
                <w:color w:val="5A6577"/>
                <w:sz w:val="18"/>
                <w:szCs w:val="18"/>
              </w:rPr>
              <w:t xml:space="preserve">System has auto-adjusted scaffolding. Teacher review of individual profiles recommended.</w:t>
            </w:r>
          </w:p>
        </w:tc>
      </w:tr>
      <w:tr>
        <w:tc>
          <w:tcPr>
            <w:tcW w:type="dxa" w:w="3200"/>
            <w:tcBorders>
              <w:top w:val="single" w:color="E2E6ED" w:sz="1"/>
              <w:left w:val="single" w:color="E2E6ED" w:sz="1"/>
              <w:bottom w:val="single" w:color="E2E6ED" w:sz="1"/>
              <w:right w:val="single" w:color="E2E6ED" w:sz="1"/>
            </w:tcBorders>
            <w:shd w:fill="FCE8EA" w:val="clear"/>
            <w:tcMar>
              <w:top w:type="dxa" w:w="80"/>
              <w:left w:type="dxa" w:w="140"/>
              <w:bottom w:type="dxa" w:w="80"/>
              <w:right w:type="dxa" w:w="140"/>
            </w:tcMar>
          </w:tcPr>
          <w:p>
            <w:r>
              <w:rPr>
                <w:rFonts w:ascii="Georgia" w:cs="Georgia" w:eastAsia="Georgia" w:hAnsi="Georgia"/>
                <w:b/>
                <w:bCs/>
                <w:color w:val="E25C6A"/>
                <w:sz w:val="19"/>
                <w:szCs w:val="19"/>
              </w:rPr>
              <w:t xml:space="preserve">Persistent Challenge</w:t>
            </w:r>
          </w:p>
          <w:p>
            <w:r>
              <w:rPr>
                <w:rFonts w:ascii="Georgia" w:cs="Georgia" w:eastAsia="Georgia" w:hAnsi="Georgia"/>
                <w:color w:val="5A6577"/>
                <w:sz w:val="17"/>
                <w:szCs w:val="17"/>
              </w:rPr>
              <w:t xml:space="preserve">Declining or no measurable progress for 4+ weeks</w:t>
            </w:r>
          </w:p>
        </w:tc>
        <w:tc>
          <w:tcPr>
            <w:tcW w:type="dxa" w:w="1600"/>
            <w:tcBorders>
              <w:top w:val="single" w:color="E2E6ED" w:sz="1"/>
              <w:left w:val="single" w:color="E2E6ED" w:sz="1"/>
              <w:bottom w:val="single" w:color="E2E6ED" w:sz="1"/>
              <w:right w:val="single" w:color="E2E6ED" w:sz="1"/>
            </w:tcBorders>
            <w:shd w:fill="FCE8EA" w:val="clear"/>
            <w:tcMar>
              <w:top w:type="dxa" w:w="80"/>
              <w:left w:type="dxa" w:w="140"/>
              <w:bottom w:type="dxa" w:w="80"/>
              <w:right w:type="dxa" w:w="140"/>
            </w:tcMar>
            <w:vAlign w:val="center"/>
          </w:tcPr>
          <w:p>
            <w:pPr>
              <w:jc w:val="center"/>
            </w:pPr>
            <w:r>
              <w:rPr>
                <w:rFonts w:ascii="Georgia" w:cs="Georgia" w:eastAsia="Georgia" w:hAnsi="Georgia"/>
                <w:b/>
                <w:bCs/>
                <w:color w:val="1B2A4A"/>
                <w:sz w:val="24"/>
                <w:szCs w:val="24"/>
              </w:rPr>
              <w:t xml:space="preserve">44</w:t>
            </w:r>
          </w:p>
        </w:tc>
        <w:tc>
          <w:tcPr>
            <w:tcW w:type="dxa" w:w="1600"/>
            <w:tcBorders>
              <w:top w:val="single" w:color="E2E6ED" w:sz="1"/>
              <w:left w:val="single" w:color="E2E6ED" w:sz="1"/>
              <w:bottom w:val="single" w:color="E2E6ED" w:sz="1"/>
              <w:right w:val="single" w:color="E2E6ED" w:sz="1"/>
            </w:tcBorders>
            <w:shd w:fill="FCE8EA" w:val="clear"/>
            <w:tcMar>
              <w:top w:type="dxa" w:w="80"/>
              <w:left w:type="dxa" w:w="140"/>
              <w:bottom w:type="dxa" w:w="80"/>
              <w:right w:type="dxa" w:w="140"/>
            </w:tcMar>
            <w:vAlign w:val="center"/>
          </w:tcPr>
          <w:p>
            <w:pPr>
              <w:jc w:val="center"/>
            </w:pPr>
            <w:r>
              <w:rPr>
                <w:rFonts w:ascii="Georgia" w:cs="Georgia" w:eastAsia="Georgia" w:hAnsi="Georgia"/>
                <w:b/>
                <w:bCs/>
                <w:color w:val="E25C6A"/>
                <w:sz w:val="22"/>
                <w:szCs w:val="22"/>
              </w:rPr>
              <w:t xml:space="preserve">9%</w:t>
            </w:r>
          </w:p>
        </w:tc>
        <w:tc>
          <w:tcPr>
            <w:tcW w:type="dxa" w:w="2960"/>
            <w:tcBorders>
              <w:top w:val="single" w:color="E2E6ED" w:sz="1"/>
              <w:left w:val="single" w:color="E2E6ED" w:sz="1"/>
              <w:bottom w:val="single" w:color="E2E6ED" w:sz="1"/>
              <w:right w:val="single" w:color="E2E6ED" w:sz="1"/>
            </w:tcBorders>
            <w:shd w:fill="FCE8EA" w:val="clear"/>
            <w:tcMar>
              <w:top w:type="dxa" w:w="80"/>
              <w:left w:type="dxa" w:w="140"/>
              <w:bottom w:type="dxa" w:w="80"/>
              <w:right w:type="dxa" w:w="140"/>
            </w:tcMar>
            <w:vAlign w:val="center"/>
          </w:tcPr>
          <w:p>
            <w:pPr>
              <w:spacing w:line="280"/>
            </w:pPr>
            <w:r>
              <w:rPr>
                <w:rFonts w:ascii="Georgia" w:cs="Georgia" w:eastAsia="Georgia" w:hAnsi="Georgia"/>
                <w:b/>
                <w:bCs/>
                <w:color w:val="E25C6A"/>
                <w:sz w:val="18"/>
                <w:szCs w:val="18"/>
              </w:rPr>
              <w:t xml:space="preserve">Support Adjustment Recommendations generated. Administrative approval required.</w:t>
            </w:r>
          </w:p>
        </w:tc>
      </w:tr>
    </w:tbl>
    <w:p>
      <w:pPr>
        <w:spacing w:before="200" w:after="0"/>
      </w:pPr>
    </w:p>
    <w:p>
      <w:pPr>
        <w:spacing w:before="0" w:after="120" w:line="320"/>
        <w:jc w:val="left"/>
      </w:pPr>
      <w:r>
        <w:rPr>
          <w:rFonts w:ascii="Georgia" w:cs="Georgia" w:eastAsia="Georgia" w:hAnsi="Georgia"/>
          <w:color w:val="5A6577"/>
          <w:sz w:val="21"/>
          <w:szCs w:val="21"/>
        </w:rPr>
        <w:t xml:space="preserve">The persistent challenge cohort of 44 students represents the highest-priority group for administrative attention. Individualized Support Adjustment Recommendations have been generated for each of these students and are presented in the following section. No adjustments will be implemented until approved by building administration.</w:t>
      </w:r>
    </w:p>
    <w:p>
      <w:pPr>
        <w:spacing w:before="0" w:after="120" w:line="320"/>
        <w:jc w:val="left"/>
      </w:pPr>
      <w:r>
        <w:rPr>
          <w:rFonts w:ascii="Georgia" w:cs="Georgia" w:eastAsia="Georgia" w:hAnsi="Georgia"/>
          <w:color w:val="5A6577"/>
          <w:sz w:val="21"/>
          <w:szCs w:val="21"/>
        </w:rPr>
        <w:t xml:space="preserve">Of note: 16 of the 44 persistent challenge students were previously in the “stalling” category and moved into persistent challenge status within the last two weeks. Early indicators suggest these students respond well to collaborative and oral-response activities but disengage during independent written tasks. The system has begun increasing paired reading and discussion-based activities for this cohort, pending administrative approval of the full support plan.</w:t>
      </w:r>
    </w:p>
    <w:p>
      <w:r>
        <w:br w:type="page"/>
      </w:r>
    </w:p>
    <w:p>
      <w:pPr>
        <w:pBdr>
          <w:bottom w:val="single" w:color="C9A84C" w:sz="2" w:space="8"/>
        </w:pBdr>
        <w:spacing w:before="360" w:after="160"/>
      </w:pPr>
      <w:r>
        <w:rPr>
          <w:rFonts w:ascii="Georgia" w:cs="Georgia" w:eastAsia="Georgia" w:hAnsi="Georgia"/>
          <w:b/>
          <w:bCs/>
          <w:color w:val="1B2A4A"/>
          <w:spacing w:val="80"/>
          <w:sz w:val="22"/>
          <w:szCs w:val="22"/>
        </w:rPr>
        <w:t xml:space="preserve">SUPPORT ADJUSTMENT RECOMMENDATIONS</w:t>
      </w:r>
    </w:p>
    <w:p>
      <w:pPr>
        <w:spacing w:before="0" w:after="120" w:line="320"/>
        <w:jc w:val="left"/>
      </w:pPr>
      <w:r>
        <w:rPr>
          <w:rFonts w:ascii="Georgia" w:cs="Georgia" w:eastAsia="Georgia" w:hAnsi="Georgia"/>
          <w:color w:val="5A6577"/>
          <w:sz w:val="21"/>
          <w:szCs w:val="21"/>
        </w:rPr>
        <w:t xml:space="preserve">The following recommendations are generated by the Crown’s Eye AI steward based on continuous observation of student learning patterns. Each recommendation identifies what the system has observed, proposes a specific instructional adjustment, and requires administrative approval before implementation. These recommendations replace the manual MTSS documentation process with machine-generated, evidence-based proposals that preserve human decision-making authority.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ED" w:sz="1"/>
              <w:left w:val="single" w:color="E2E6ED" w:sz="1"/>
              <w:bottom w:val="single" w:color="E2E6ED" w:sz="1"/>
              <w:right w:val="single" w:color="E2E6ED" w:sz="1"/>
            </w:tcBorders>
            <w:shd w:fill="F5EED9" w:val="clear"/>
            <w:tcMar>
              <w:top w:type="dxa" w:w="120"/>
              <w:left w:type="dxa" w:w="180"/>
              <w:bottom w:type="dxa" w:w="120"/>
              <w:right w:type="dxa" w:w="180"/>
            </w:tcMar>
          </w:tcPr>
          <w:p>
            <w:pPr>
              <w:spacing w:after="60"/>
            </w:pPr>
            <w:r>
              <w:rPr>
                <w:rFonts w:ascii="Arial" w:cs="Arial" w:eastAsia="Arial" w:hAnsi="Arial"/>
                <w:b/>
                <w:bCs/>
                <w:color w:val="C9A84C"/>
                <w:spacing w:val="60"/>
                <w:sz w:val="15"/>
                <w:szCs w:val="15"/>
              </w:rPr>
              <w:t xml:space="preserve">GOVERNANCE NOTE</w:t>
            </w:r>
          </w:p>
          <w:p>
            <w:pPr>
              <w:spacing w:line="300"/>
            </w:pPr>
            <w:r>
              <w:rPr>
                <w:rFonts w:ascii="Georgia" w:cs="Georgia" w:eastAsia="Georgia" w:hAnsi="Georgia"/>
                <w:color w:val="1B2A4A"/>
                <w:sz w:val="19"/>
                <w:szCs w:val="19"/>
              </w:rPr>
              <w:t xml:space="preserve">All recommendations below are pending administrative review. Approved adjustments will be implemented automatically within the student’s Recess experience. Rejected recommendations will be logged with the administrator’s rationale for audit documentation. Modified recommendations will be implemented as revised.</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3200"/>
        <w:gridCol w:w="1160"/>
      </w:tblGrid>
      <w:tr>
        <w:tc>
          <w:tcPr>
            <w:tcW w:type="dxa" w:w="16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left"/>
            </w:pPr>
            <w:r>
              <w:rPr>
                <w:rFonts w:ascii="Arial" w:cs="Arial" w:eastAsia="Arial" w:hAnsi="Arial"/>
                <w:b/>
                <w:bCs/>
                <w:color w:val="FFFFFF"/>
                <w:sz w:val="16"/>
                <w:szCs w:val="16"/>
              </w:rPr>
              <w:t xml:space="preserve">Student</w:t>
            </w:r>
          </w:p>
        </w:tc>
        <w:tc>
          <w:tcPr>
            <w:tcW w:type="dxa" w:w="34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center"/>
            </w:pPr>
            <w:r>
              <w:rPr>
                <w:rFonts w:ascii="Arial" w:cs="Arial" w:eastAsia="Arial" w:hAnsi="Arial"/>
                <w:b/>
                <w:bCs/>
                <w:color w:val="FFFFFF"/>
                <w:sz w:val="16"/>
                <w:szCs w:val="16"/>
              </w:rPr>
              <w:t xml:space="preserve">System Observation</w:t>
            </w:r>
          </w:p>
        </w:tc>
        <w:tc>
          <w:tcPr>
            <w:tcW w:type="dxa" w:w="32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center"/>
            </w:pPr>
            <w:r>
              <w:rPr>
                <w:rFonts w:ascii="Arial" w:cs="Arial" w:eastAsia="Arial" w:hAnsi="Arial"/>
                <w:b/>
                <w:bCs/>
                <w:color w:val="FFFFFF"/>
                <w:sz w:val="16"/>
                <w:szCs w:val="16"/>
              </w:rPr>
              <w:t xml:space="preserve">Recommended Adjustment</w:t>
            </w:r>
          </w:p>
        </w:tc>
        <w:tc>
          <w:tcPr>
            <w:tcW w:type="dxa" w:w="116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left"/>
            </w:pPr>
            <w:r>
              <w:rPr>
                <w:rFonts w:ascii="Arial" w:cs="Arial" w:eastAsia="Arial" w:hAnsi="Arial"/>
                <w:b/>
                <w:bCs/>
                <w:color w:val="FFFFFF"/>
                <w:sz w:val="16"/>
                <w:szCs w:val="16"/>
              </w:rPr>
              <w:t xml:space="preserve">Status</w:t>
            </w:r>
          </w:p>
        </w:tc>
      </w:tr>
      <w:tr>
        <w:tc>
          <w:tcPr>
            <w:tcW w:type="dxa" w:w="1600"/>
            <w:tcBorders>
              <w:top w:val="single" w:color="E2E6ED" w:sz="1"/>
              <w:left w:val="single" w:color="E2E6ED" w:sz="1"/>
              <w:bottom w:val="single" w:color="E2E6ED" w:sz="1"/>
              <w:right w:val="single" w:color="E2E6ED" w:sz="1"/>
            </w:tcBorders>
            <w:tcMar>
              <w:top w:type="dxa" w:w="80"/>
              <w:left w:type="dxa" w:w="140"/>
              <w:bottom w:type="dxa" w:w="80"/>
              <w:right w:type="dxa" w:w="140"/>
            </w:tcMar>
          </w:tcPr>
          <w:p>
            <w:r>
              <w:rPr>
                <w:rFonts w:ascii="Georgia" w:cs="Georgia" w:eastAsia="Georgia" w:hAnsi="Georgia"/>
                <w:b/>
                <w:bCs/>
                <w:color w:val="1B2A4A"/>
                <w:sz w:val="19"/>
                <w:szCs w:val="19"/>
              </w:rPr>
              <w:t xml:space="preserve">Jasmine S.</w:t>
            </w:r>
          </w:p>
          <w:p>
            <w:r>
              <w:rPr>
                <w:rFonts w:ascii="Arial" w:cs="Arial" w:eastAsia="Arial" w:hAnsi="Arial"/>
                <w:color w:val="5A6577"/>
                <w:sz w:val="15"/>
                <w:szCs w:val="15"/>
              </w:rPr>
              <w:t xml:space="preserve">3rd Grade</w:t>
            </w:r>
          </w:p>
        </w:tc>
        <w:tc>
          <w:tcPr>
            <w:tcW w:type="dxa" w:w="34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5A6577"/>
                <w:sz w:val="18"/>
                <w:szCs w:val="18"/>
              </w:rPr>
              <w:t xml:space="preserve">Decoding accuracy 91% but fluency plateaued at 72 WPM for 4 weeks. Comprehension on science-contextualized passages 23% higher than narrative fiction. Engagement peaks during collaborative STEAM activities.</w:t>
            </w:r>
          </w:p>
        </w:tc>
        <w:tc>
          <w:tcPr>
            <w:tcW w:type="dxa" w:w="32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1B2A4A"/>
                <w:sz w:val="18"/>
                <w:szCs w:val="18"/>
              </w:rPr>
              <w:t xml:space="preserve">Shift 60% of reading activities to informational text with science and engineering themes. Pair with stronger reader during broadcast lesson collaborative phases. Increase oral response opportunities by 40% for next 3 weeks.</w:t>
            </w:r>
          </w:p>
        </w:tc>
        <w:tc>
          <w:tcPr>
            <w:tcW w:type="dxa" w:w="1160"/>
            <w:tcBorders>
              <w:top w:val="single" w:color="E2E6ED" w:sz="1"/>
              <w:left w:val="single" w:color="E2E6ED" w:sz="1"/>
              <w:bottom w:val="single" w:color="E2E6ED" w:sz="1"/>
              <w:right w:val="single" w:color="E2E6ED" w:sz="1"/>
            </w:tcBorders>
            <w:shd w:fill="FDF3E0" w:val="clear"/>
            <w:tcMar>
              <w:top w:type="dxa" w:w="80"/>
              <w:left w:type="dxa" w:w="140"/>
              <w:bottom w:type="dxa" w:w="80"/>
              <w:right w:type="dxa" w:w="140"/>
            </w:tcMar>
            <w:vAlign w:val="center"/>
          </w:tcPr>
          <w:p>
            <w:pPr>
              <w:jc w:val="center"/>
            </w:pPr>
            <w:r>
              <w:rPr>
                <w:rFonts w:ascii="Arial" w:cs="Arial" w:eastAsia="Arial" w:hAnsi="Arial"/>
                <w:b/>
                <w:bCs/>
                <w:color w:val="F5A623"/>
                <w:sz w:val="15"/>
                <w:szCs w:val="15"/>
              </w:rPr>
              <w:t xml:space="preserve">Pending</w:t>
            </w:r>
          </w:p>
        </w:tc>
      </w:tr>
      <w:tr>
        <w:tc>
          <w:tcPr>
            <w:tcW w:type="dxa" w:w="1600"/>
            <w:tcBorders>
              <w:top w:val="single" w:color="E2E6ED" w:sz="1"/>
              <w:left w:val="single" w:color="E2E6ED" w:sz="1"/>
              <w:bottom w:val="single" w:color="E2E6ED" w:sz="1"/>
              <w:right w:val="single" w:color="E2E6ED" w:sz="1"/>
            </w:tcBorders>
            <w:tcMar>
              <w:top w:type="dxa" w:w="80"/>
              <w:left w:type="dxa" w:w="140"/>
              <w:bottom w:type="dxa" w:w="80"/>
              <w:right w:type="dxa" w:w="140"/>
            </w:tcMar>
          </w:tcPr>
          <w:p>
            <w:r>
              <w:rPr>
                <w:rFonts w:ascii="Georgia" w:cs="Georgia" w:eastAsia="Georgia" w:hAnsi="Georgia"/>
                <w:b/>
                <w:bCs/>
                <w:color w:val="1B2A4A"/>
                <w:sz w:val="19"/>
                <w:szCs w:val="19"/>
              </w:rPr>
              <w:t xml:space="preserve">DeAndre W.</w:t>
            </w:r>
          </w:p>
          <w:p>
            <w:r>
              <w:rPr>
                <w:rFonts w:ascii="Arial" w:cs="Arial" w:eastAsia="Arial" w:hAnsi="Arial"/>
                <w:color w:val="5A6577"/>
                <w:sz w:val="15"/>
                <w:szCs w:val="15"/>
              </w:rPr>
              <w:t xml:space="preserve">2nd Grade</w:t>
            </w:r>
          </w:p>
        </w:tc>
        <w:tc>
          <w:tcPr>
            <w:tcW w:type="dxa" w:w="34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5A6577"/>
                <w:sz w:val="18"/>
                <w:szCs w:val="18"/>
              </w:rPr>
              <w:t xml:space="preserve">Writing output dropped 35% over 3 weeks. Verbal participation in broadcast lessons remains strong. Math and CS performance stable. Pattern suggests fine motor or processing challenge, not comprehension deficit.</w:t>
            </w:r>
          </w:p>
        </w:tc>
        <w:tc>
          <w:tcPr>
            <w:tcW w:type="dxa" w:w="32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1B2A4A"/>
                <w:sz w:val="18"/>
                <w:szCs w:val="18"/>
              </w:rPr>
              <w:t xml:space="preserve">Introduce voice-to-text response option for written tasks. Maintain current math and CS scaffolding. Flag for occupational therapy screening if writing output does not recover within 2 weeks of adjustment.</w:t>
            </w:r>
          </w:p>
        </w:tc>
        <w:tc>
          <w:tcPr>
            <w:tcW w:type="dxa" w:w="1160"/>
            <w:tcBorders>
              <w:top w:val="single" w:color="E2E6ED" w:sz="1"/>
              <w:left w:val="single" w:color="E2E6ED" w:sz="1"/>
              <w:bottom w:val="single" w:color="E2E6ED" w:sz="1"/>
              <w:right w:val="single" w:color="E2E6ED" w:sz="1"/>
            </w:tcBorders>
            <w:shd w:fill="FDF3E0" w:val="clear"/>
            <w:tcMar>
              <w:top w:type="dxa" w:w="80"/>
              <w:left w:type="dxa" w:w="140"/>
              <w:bottom w:type="dxa" w:w="80"/>
              <w:right w:type="dxa" w:w="140"/>
            </w:tcMar>
            <w:vAlign w:val="center"/>
          </w:tcPr>
          <w:p>
            <w:pPr>
              <w:jc w:val="center"/>
            </w:pPr>
            <w:r>
              <w:rPr>
                <w:rFonts w:ascii="Arial" w:cs="Arial" w:eastAsia="Arial" w:hAnsi="Arial"/>
                <w:b/>
                <w:bCs/>
                <w:color w:val="F5A623"/>
                <w:sz w:val="15"/>
                <w:szCs w:val="15"/>
              </w:rPr>
              <w:t xml:space="preserve">Pending</w:t>
            </w:r>
          </w:p>
        </w:tc>
      </w:tr>
      <w:tr>
        <w:tc>
          <w:tcPr>
            <w:tcW w:type="dxa" w:w="1600"/>
            <w:tcBorders>
              <w:top w:val="single" w:color="E2E6ED" w:sz="1"/>
              <w:left w:val="single" w:color="E2E6ED" w:sz="1"/>
              <w:bottom w:val="single" w:color="E2E6ED" w:sz="1"/>
              <w:right w:val="single" w:color="E2E6ED" w:sz="1"/>
            </w:tcBorders>
            <w:tcMar>
              <w:top w:type="dxa" w:w="80"/>
              <w:left w:type="dxa" w:w="140"/>
              <w:bottom w:type="dxa" w:w="80"/>
              <w:right w:type="dxa" w:w="140"/>
            </w:tcMar>
          </w:tcPr>
          <w:p>
            <w:r>
              <w:rPr>
                <w:rFonts w:ascii="Georgia" w:cs="Georgia" w:eastAsia="Georgia" w:hAnsi="Georgia"/>
                <w:b/>
                <w:bCs/>
                <w:color w:val="1B2A4A"/>
                <w:sz w:val="19"/>
                <w:szCs w:val="19"/>
              </w:rPr>
              <w:t xml:space="preserve">Marcus T.</w:t>
            </w:r>
          </w:p>
          <w:p>
            <w:r>
              <w:rPr>
                <w:rFonts w:ascii="Arial" w:cs="Arial" w:eastAsia="Arial" w:hAnsi="Arial"/>
                <w:color w:val="5A6577"/>
                <w:sz w:val="15"/>
                <w:szCs w:val="15"/>
              </w:rPr>
              <w:t xml:space="preserve">3rd Grade</w:t>
            </w:r>
          </w:p>
        </w:tc>
        <w:tc>
          <w:tcPr>
            <w:tcW w:type="dxa" w:w="34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5A6577"/>
                <w:sz w:val="18"/>
                <w:szCs w:val="18"/>
              </w:rPr>
              <w:t xml:space="preserve">Consistent use of additive strategies where multiplicative reasoning expected. Area and perimeter concepts not transferring to novel problems. However, CS sequencing shows strong logical thinking and spatial reasoning above grade level.</w:t>
            </w:r>
          </w:p>
        </w:tc>
        <w:tc>
          <w:tcPr>
            <w:tcW w:type="dxa" w:w="32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1B2A4A"/>
                <w:sz w:val="18"/>
                <w:szCs w:val="18"/>
              </w:rPr>
              <w:t xml:space="preserve">Leverage CS strength as bridge to multiplication: introduce coding activities that require repeated grouping. Present area problems through garden design and block coding contexts rather than abstract worksheets.</w:t>
            </w:r>
          </w:p>
        </w:tc>
        <w:tc>
          <w:tcPr>
            <w:tcW w:type="dxa" w:w="1160"/>
            <w:tcBorders>
              <w:top w:val="single" w:color="E2E6ED" w:sz="1"/>
              <w:left w:val="single" w:color="E2E6ED" w:sz="1"/>
              <w:bottom w:val="single" w:color="E2E6ED" w:sz="1"/>
              <w:right w:val="single" w:color="E2E6ED" w:sz="1"/>
            </w:tcBorders>
            <w:shd w:fill="FDF3E0" w:val="clear"/>
            <w:tcMar>
              <w:top w:type="dxa" w:w="80"/>
              <w:left w:type="dxa" w:w="140"/>
              <w:bottom w:type="dxa" w:w="80"/>
              <w:right w:type="dxa" w:w="140"/>
            </w:tcMar>
            <w:vAlign w:val="center"/>
          </w:tcPr>
          <w:p>
            <w:pPr>
              <w:jc w:val="center"/>
            </w:pPr>
            <w:r>
              <w:rPr>
                <w:rFonts w:ascii="Arial" w:cs="Arial" w:eastAsia="Arial" w:hAnsi="Arial"/>
                <w:b/>
                <w:bCs/>
                <w:color w:val="F5A623"/>
                <w:sz w:val="15"/>
                <w:szCs w:val="15"/>
              </w:rPr>
              <w:t xml:space="preserve">Pending</w:t>
            </w:r>
          </w:p>
        </w:tc>
      </w:tr>
      <w:tr>
        <w:tc>
          <w:tcPr>
            <w:tcW w:type="dxa" w:w="1600"/>
            <w:tcBorders>
              <w:top w:val="single" w:color="E2E6ED" w:sz="1"/>
              <w:left w:val="single" w:color="E2E6ED" w:sz="1"/>
              <w:bottom w:val="single" w:color="E2E6ED" w:sz="1"/>
              <w:right w:val="single" w:color="E2E6ED" w:sz="1"/>
            </w:tcBorders>
            <w:tcMar>
              <w:top w:type="dxa" w:w="80"/>
              <w:left w:type="dxa" w:w="140"/>
              <w:bottom w:type="dxa" w:w="80"/>
              <w:right w:type="dxa" w:w="140"/>
            </w:tcMar>
          </w:tcPr>
          <w:p>
            <w:r>
              <w:rPr>
                <w:rFonts w:ascii="Georgia" w:cs="Georgia" w:eastAsia="Georgia" w:hAnsi="Georgia"/>
                <w:b/>
                <w:bCs/>
                <w:color w:val="1B2A4A"/>
                <w:sz w:val="19"/>
                <w:szCs w:val="19"/>
              </w:rPr>
              <w:t xml:space="preserve">Kayla J.</w:t>
            </w:r>
          </w:p>
          <w:p>
            <w:r>
              <w:rPr>
                <w:rFonts w:ascii="Arial" w:cs="Arial" w:eastAsia="Arial" w:hAnsi="Arial"/>
                <w:color w:val="5A6577"/>
                <w:sz w:val="15"/>
                <w:szCs w:val="15"/>
              </w:rPr>
              <w:t xml:space="preserve">5th Grade</w:t>
            </w:r>
          </w:p>
        </w:tc>
        <w:tc>
          <w:tcPr>
            <w:tcW w:type="dxa" w:w="34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5A6577"/>
                <w:sz w:val="18"/>
                <w:szCs w:val="18"/>
              </w:rPr>
              <w:t xml:space="preserve">Reading comprehension declining for 5 weeks. Was previously on-track. Attendance dropped to 76% concurrent with comprehension decline. When present, engagement in STEAM activities remains high.</w:t>
            </w:r>
          </w:p>
        </w:tc>
        <w:tc>
          <w:tcPr>
            <w:tcW w:type="dxa" w:w="32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1B2A4A"/>
                <w:sz w:val="18"/>
                <w:szCs w:val="18"/>
              </w:rPr>
              <w:t xml:space="preserve">Priority: Attendance conversation with family before instructional adjustment. When present, increase high-engagement collaborative activities to rebuild momentum. System will hold current reading level rather than advancing until attendance stabilizes.</w:t>
            </w:r>
          </w:p>
        </w:tc>
        <w:tc>
          <w:tcPr>
            <w:tcW w:type="dxa" w:w="1160"/>
            <w:tcBorders>
              <w:top w:val="single" w:color="E2E6ED" w:sz="1"/>
              <w:left w:val="single" w:color="E2E6ED" w:sz="1"/>
              <w:bottom w:val="single" w:color="E2E6ED" w:sz="1"/>
              <w:right w:val="single" w:color="E2E6ED" w:sz="1"/>
            </w:tcBorders>
            <w:shd w:fill="FCE8EA" w:val="clear"/>
            <w:tcMar>
              <w:top w:type="dxa" w:w="80"/>
              <w:left w:type="dxa" w:w="140"/>
              <w:bottom w:type="dxa" w:w="80"/>
              <w:right w:type="dxa" w:w="140"/>
            </w:tcMar>
            <w:vAlign w:val="center"/>
          </w:tcPr>
          <w:p>
            <w:pPr>
              <w:jc w:val="center"/>
            </w:pPr>
            <w:r>
              <w:rPr>
                <w:rFonts w:ascii="Arial" w:cs="Arial" w:eastAsia="Arial" w:hAnsi="Arial"/>
                <w:b/>
                <w:bCs/>
                <w:color w:val="E25C6A"/>
                <w:sz w:val="15"/>
                <w:szCs w:val="15"/>
              </w:rPr>
              <w:t xml:space="preserve">Pending</w:t>
            </w:r>
          </w:p>
        </w:tc>
      </w:tr>
      <w:tr>
        <w:tc>
          <w:tcPr>
            <w:tcW w:type="dxa" w:w="1600"/>
            <w:tcBorders>
              <w:top w:val="single" w:color="E2E6ED" w:sz="1"/>
              <w:left w:val="single" w:color="E2E6ED" w:sz="1"/>
              <w:bottom w:val="single" w:color="E2E6ED" w:sz="1"/>
              <w:right w:val="single" w:color="E2E6ED" w:sz="1"/>
            </w:tcBorders>
            <w:tcMar>
              <w:top w:type="dxa" w:w="80"/>
              <w:left w:type="dxa" w:w="140"/>
              <w:bottom w:type="dxa" w:w="80"/>
              <w:right w:type="dxa" w:w="140"/>
            </w:tcMar>
          </w:tcPr>
          <w:p>
            <w:r>
              <w:rPr>
                <w:rFonts w:ascii="Georgia" w:cs="Georgia" w:eastAsia="Georgia" w:hAnsi="Georgia"/>
                <w:b/>
                <w:bCs/>
                <w:color w:val="1B2A4A"/>
                <w:sz w:val="19"/>
                <w:szCs w:val="19"/>
              </w:rPr>
              <w:t xml:space="preserve">Tyler R.</w:t>
            </w:r>
          </w:p>
          <w:p>
            <w:r>
              <w:rPr>
                <w:rFonts w:ascii="Arial" w:cs="Arial" w:eastAsia="Arial" w:hAnsi="Arial"/>
                <w:color w:val="5A6577"/>
                <w:sz w:val="15"/>
                <w:szCs w:val="15"/>
              </w:rPr>
              <w:t xml:space="preserve">5th Grade</w:t>
            </w:r>
          </w:p>
        </w:tc>
        <w:tc>
          <w:tcPr>
            <w:tcW w:type="dxa" w:w="34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5A6577"/>
                <w:sz w:val="18"/>
                <w:szCs w:val="18"/>
              </w:rPr>
              <w:t xml:space="preserve">Strong performance across all academic areas but behavioral indicators suggest disengagement: reduced voluntary participation, faster task completion with less detail, declining journal quality over 4 weeks.</w:t>
            </w:r>
          </w:p>
        </w:tc>
        <w:tc>
          <w:tcPr>
            <w:tcW w:type="dxa" w:w="32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1B2A4A"/>
                <w:sz w:val="18"/>
                <w:szCs w:val="18"/>
              </w:rPr>
              <w:t xml:space="preserve">Introduce student leadership role in broadcast lessons. Increase challenge level in math and CS to re-engage. Consider enrichment pathway referral if disengagement persists after 2-week adjustment.</w:t>
            </w:r>
          </w:p>
        </w:tc>
        <w:tc>
          <w:tcPr>
            <w:tcW w:type="dxa" w:w="1160"/>
            <w:tcBorders>
              <w:top w:val="single" w:color="E2E6ED" w:sz="1"/>
              <w:left w:val="single" w:color="E2E6ED" w:sz="1"/>
              <w:bottom w:val="single" w:color="E2E6ED" w:sz="1"/>
              <w:right w:val="single" w:color="E2E6ED" w:sz="1"/>
            </w:tcBorders>
            <w:shd w:fill="FDF3E0" w:val="clear"/>
            <w:tcMar>
              <w:top w:type="dxa" w:w="80"/>
              <w:left w:type="dxa" w:w="140"/>
              <w:bottom w:type="dxa" w:w="80"/>
              <w:right w:type="dxa" w:w="140"/>
            </w:tcMar>
            <w:vAlign w:val="center"/>
          </w:tcPr>
          <w:p>
            <w:pPr>
              <w:jc w:val="center"/>
            </w:pPr>
            <w:r>
              <w:rPr>
                <w:rFonts w:ascii="Arial" w:cs="Arial" w:eastAsia="Arial" w:hAnsi="Arial"/>
                <w:b/>
                <w:bCs/>
                <w:color w:val="F5A623"/>
                <w:sz w:val="15"/>
                <w:szCs w:val="15"/>
              </w:rPr>
              <w:t xml:space="preserve">Pending</w:t>
            </w:r>
          </w:p>
        </w:tc>
      </w:tr>
      <w:tr>
        <w:tc>
          <w:tcPr>
            <w:tcW w:type="dxa" w:w="1600"/>
            <w:tcBorders>
              <w:top w:val="single" w:color="E2E6ED" w:sz="1"/>
              <w:left w:val="single" w:color="E2E6ED" w:sz="1"/>
              <w:bottom w:val="single" w:color="E2E6ED" w:sz="1"/>
              <w:right w:val="single" w:color="E2E6ED" w:sz="1"/>
            </w:tcBorders>
            <w:tcMar>
              <w:top w:type="dxa" w:w="80"/>
              <w:left w:type="dxa" w:w="140"/>
              <w:bottom w:type="dxa" w:w="80"/>
              <w:right w:type="dxa" w:w="140"/>
            </w:tcMar>
          </w:tcPr>
          <w:p>
            <w:r>
              <w:rPr>
                <w:rFonts w:ascii="Georgia" w:cs="Georgia" w:eastAsia="Georgia" w:hAnsi="Georgia"/>
                <w:b/>
                <w:bCs/>
                <w:color w:val="1B2A4A"/>
                <w:sz w:val="19"/>
                <w:szCs w:val="19"/>
              </w:rPr>
              <w:t xml:space="preserve">Amari D.</w:t>
            </w:r>
          </w:p>
          <w:p>
            <w:r>
              <w:rPr>
                <w:rFonts w:ascii="Arial" w:cs="Arial" w:eastAsia="Arial" w:hAnsi="Arial"/>
                <w:color w:val="5A6577"/>
                <w:sz w:val="15"/>
                <w:szCs w:val="15"/>
              </w:rPr>
              <w:t xml:space="preserve">4th Grade</w:t>
            </w:r>
          </w:p>
        </w:tc>
        <w:tc>
          <w:tcPr>
            <w:tcW w:type="dxa" w:w="34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5A6577"/>
                <w:sz w:val="18"/>
                <w:szCs w:val="18"/>
              </w:rPr>
              <w:t xml:space="preserve">ELA comprehension 2 years below grade level. Math at grade level. CS above grade level. Traditional reading interventions have not produced gains. Student excels when content is delivered through visual and interactive modalities.</w:t>
            </w:r>
          </w:p>
        </w:tc>
        <w:tc>
          <w:tcPr>
            <w:tcW w:type="dxa" w:w="32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1B2A4A"/>
                <w:sz w:val="18"/>
                <w:szCs w:val="18"/>
              </w:rPr>
              <w:t xml:space="preserve">Restructure reading exposure through multimedia-first approach: graphic organizers, video-paired text, and image-annotated passages. Maintain current math and CS trajectory. Do not reduce STEAM time for additional reading drill.</w:t>
            </w:r>
          </w:p>
        </w:tc>
        <w:tc>
          <w:tcPr>
            <w:tcW w:type="dxa" w:w="1160"/>
            <w:tcBorders>
              <w:top w:val="single" w:color="E2E6ED" w:sz="1"/>
              <w:left w:val="single" w:color="E2E6ED" w:sz="1"/>
              <w:bottom w:val="single" w:color="E2E6ED" w:sz="1"/>
              <w:right w:val="single" w:color="E2E6ED" w:sz="1"/>
            </w:tcBorders>
            <w:shd w:fill="FCE8EA" w:val="clear"/>
            <w:tcMar>
              <w:top w:type="dxa" w:w="80"/>
              <w:left w:type="dxa" w:w="140"/>
              <w:bottom w:type="dxa" w:w="80"/>
              <w:right w:type="dxa" w:w="140"/>
            </w:tcMar>
            <w:vAlign w:val="center"/>
          </w:tcPr>
          <w:p>
            <w:pPr>
              <w:jc w:val="center"/>
            </w:pPr>
            <w:r>
              <w:rPr>
                <w:rFonts w:ascii="Arial" w:cs="Arial" w:eastAsia="Arial" w:hAnsi="Arial"/>
                <w:b/>
                <w:bCs/>
                <w:color w:val="E25C6A"/>
                <w:sz w:val="15"/>
                <w:szCs w:val="15"/>
              </w:rPr>
              <w:t xml:space="preserve">Pending</w:t>
            </w:r>
          </w:p>
        </w:tc>
      </w:tr>
    </w:tbl>
    <w:p>
      <w:pPr>
        <w:spacing w:before="200" w:after="0"/>
      </w:pPr>
    </w:p>
    <w:p>
      <w:pPr>
        <w:spacing w:before="0" w:after="120" w:line="320"/>
        <w:jc w:val="left"/>
      </w:pPr>
      <w:r>
        <w:rPr>
          <w:rFonts w:ascii="Georgia" w:cs="Georgia" w:eastAsia="Georgia" w:hAnsi="Georgia"/>
          <w:color w:val="5A6577"/>
          <w:sz w:val="21"/>
          <w:szCs w:val="21"/>
        </w:rPr>
        <w:t xml:space="preserve">Six representative recommendations are shown above from the 44 students in the persistent challenge category. Complete recommendations for all 44 students are available in the full digital report accessible through the Crown’s Eye administrator dashboard. Each recommendation includes a detailed learning pattern analysis, historical response to previous adjustments, and projected impact timeline.</w:t>
      </w:r>
    </w:p>
    <w:p>
      <w:r>
        <w:br w:type="page"/>
      </w:r>
    </w:p>
    <w:p>
      <w:pPr>
        <w:pBdr>
          <w:bottom w:val="single" w:color="C9A84C" w:sz="2" w:space="8"/>
        </w:pBdr>
        <w:spacing w:before="360" w:after="160"/>
      </w:pPr>
      <w:r>
        <w:rPr>
          <w:rFonts w:ascii="Georgia" w:cs="Georgia" w:eastAsia="Georgia" w:hAnsi="Georgia"/>
          <w:b/>
          <w:bCs/>
          <w:color w:val="1B2A4A"/>
          <w:spacing w:val="80"/>
          <w:sz w:val="22"/>
          <w:szCs w:val="22"/>
        </w:rPr>
        <w:t xml:space="preserve">STEAM STANDARDS COVERAGE</w:t>
      </w:r>
    </w:p>
    <w:p>
      <w:pPr>
        <w:spacing w:before="0" w:after="120" w:line="320"/>
        <w:jc w:val="left"/>
      </w:pPr>
      <w:r>
        <w:rPr>
          <w:rFonts w:ascii="Georgia" w:cs="Georgia" w:eastAsia="Georgia" w:hAnsi="Georgia"/>
          <w:color w:val="5A6577"/>
          <w:sz w:val="21"/>
          <w:szCs w:val="21"/>
        </w:rPr>
        <w:t xml:space="preserve">A central objective of Crown’s Eye implementation at Shadow Rock is building verifiable STEAM integration without requiring significant curricular overhaul or additional staffing. The following tracks progress toward STEAM school certification indicators using existing Georgia Standards of Excellence pacing.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left"/>
            </w:pPr>
            <w:r>
              <w:rPr>
                <w:rFonts w:ascii="Arial" w:cs="Arial" w:eastAsia="Arial" w:hAnsi="Arial"/>
                <w:b/>
                <w:bCs/>
                <w:color w:val="FFFFFF"/>
                <w:sz w:val="16"/>
                <w:szCs w:val="16"/>
              </w:rPr>
              <w:t xml:space="preserve">Subject</w:t>
            </w:r>
          </w:p>
        </w:tc>
        <w:tc>
          <w:tcPr>
            <w:tcW w:type="dxa" w:w="20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center"/>
            </w:pPr>
            <w:r>
              <w:rPr>
                <w:rFonts w:ascii="Arial" w:cs="Arial" w:eastAsia="Arial" w:hAnsi="Arial"/>
                <w:b/>
                <w:bCs/>
                <w:color w:val="FFFFFF"/>
                <w:sz w:val="16"/>
                <w:szCs w:val="16"/>
              </w:rPr>
              <w:t xml:space="preserve">Coverage</w:t>
            </w:r>
          </w:p>
        </w:tc>
        <w:tc>
          <w:tcPr>
            <w:tcW w:type="dxa" w:w="20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center"/>
            </w:pPr>
            <w:r>
              <w:rPr>
                <w:rFonts w:ascii="Arial" w:cs="Arial" w:eastAsia="Arial" w:hAnsi="Arial"/>
                <w:b/>
                <w:bCs/>
                <w:color w:val="FFFFFF"/>
                <w:sz w:val="16"/>
                <w:szCs w:val="16"/>
              </w:rPr>
              <w:t xml:space="preserve">EOY Target</w:t>
            </w:r>
          </w:p>
        </w:tc>
        <w:tc>
          <w:tcPr>
            <w:tcW w:type="dxa" w:w="356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tcPr>
          <w:p>
            <w:pPr>
              <w:jc w:val="left"/>
            </w:pPr>
            <w:r>
              <w:rPr>
                <w:rFonts w:ascii="Arial" w:cs="Arial" w:eastAsia="Arial" w:hAnsi="Arial"/>
                <w:b/>
                <w:bCs/>
                <w:color w:val="FFFFFF"/>
                <w:sz w:val="16"/>
                <w:szCs w:val="16"/>
              </w:rPr>
              <w:t xml:space="preserve">Status</w:t>
            </w:r>
          </w:p>
        </w:tc>
      </w:tr>
      <w:tr>
        <w:tc>
          <w:tcPr>
            <w:tcW w:type="dxa" w:w="1800"/>
            <w:tcBorders>
              <w:top w:val="single" w:color="E2E6ED" w:sz="1"/>
              <w:left w:val="single" w:color="E2E6ED" w:sz="1"/>
              <w:bottom w:val="single" w:color="E2E6ED" w:sz="1"/>
              <w:right w:val="single" w:color="E2E6ED" w:sz="1"/>
            </w:tcBorders>
            <w:tcMar>
              <w:top w:type="dxa" w:w="80"/>
              <w:left w:type="dxa" w:w="140"/>
              <w:bottom w:type="dxa" w:w="80"/>
              <w:right w:type="dxa" w:w="140"/>
            </w:tcMar>
          </w:tcPr>
          <w:p>
            <w:r>
              <w:rPr>
                <w:rFonts w:ascii="Georgia" w:cs="Georgia" w:eastAsia="Georgia" w:hAnsi="Georgia"/>
                <w:b/>
                <w:bCs/>
                <w:color w:val="1B2A4A"/>
                <w:sz w:val="19"/>
                <w:szCs w:val="19"/>
              </w:rPr>
              <w:t xml:space="preserve">ELA</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jc w:val="center"/>
            </w:pPr>
            <w:r>
              <w:rPr>
                <w:rFonts w:ascii="Georgia" w:cs="Georgia" w:eastAsia="Georgia" w:hAnsi="Georgia"/>
                <w:b/>
                <w:bCs/>
                <w:color w:val="1B2A4A"/>
                <w:sz w:val="24"/>
                <w:szCs w:val="24"/>
              </w:rPr>
              <w:t xml:space="preserve">76%</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jc w:val="center"/>
            </w:pPr>
            <w:r>
              <w:rPr>
                <w:rFonts w:ascii="Georgia" w:cs="Georgia" w:eastAsia="Georgia" w:hAnsi="Georgia"/>
                <w:color w:val="5A6577"/>
                <w:sz w:val="19"/>
                <w:szCs w:val="19"/>
              </w:rPr>
              <w:t xml:space="preserve">90%</w:t>
            </w:r>
          </w:p>
        </w:tc>
        <w:tc>
          <w:tcPr>
            <w:tcW w:type="dxa" w:w="356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r>
              <w:rPr>
                <w:rFonts w:ascii="Georgia" w:cs="Georgia" w:eastAsia="Georgia" w:hAnsi="Georgia"/>
                <w:b/>
                <w:bCs/>
                <w:color w:val="2ECC87"/>
                <w:sz w:val="18"/>
                <w:szCs w:val="18"/>
              </w:rPr>
              <w:t xml:space="preserve">On track. Integrated across all STEAM scenarios.</w:t>
            </w:r>
          </w:p>
        </w:tc>
      </w:tr>
      <w:tr>
        <w:tc>
          <w:tcPr>
            <w:tcW w:type="dxa" w:w="1800"/>
            <w:tcBorders>
              <w:top w:val="single" w:color="E2E6ED" w:sz="1"/>
              <w:left w:val="single" w:color="E2E6ED" w:sz="1"/>
              <w:bottom w:val="single" w:color="E2E6ED" w:sz="1"/>
              <w:right w:val="single" w:color="E2E6ED" w:sz="1"/>
            </w:tcBorders>
            <w:tcMar>
              <w:top w:type="dxa" w:w="80"/>
              <w:left w:type="dxa" w:w="140"/>
              <w:bottom w:type="dxa" w:w="80"/>
              <w:right w:type="dxa" w:w="140"/>
            </w:tcMar>
          </w:tcPr>
          <w:p>
            <w:r>
              <w:rPr>
                <w:rFonts w:ascii="Georgia" w:cs="Georgia" w:eastAsia="Georgia" w:hAnsi="Georgia"/>
                <w:b/>
                <w:bCs/>
                <w:color w:val="1B2A4A"/>
                <w:sz w:val="19"/>
                <w:szCs w:val="19"/>
              </w:rPr>
              <w:t xml:space="preserve">Mathematics</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jc w:val="center"/>
            </w:pPr>
            <w:r>
              <w:rPr>
                <w:rFonts w:ascii="Georgia" w:cs="Georgia" w:eastAsia="Georgia" w:hAnsi="Georgia"/>
                <w:b/>
                <w:bCs/>
                <w:color w:val="1B2A4A"/>
                <w:sz w:val="24"/>
                <w:szCs w:val="24"/>
              </w:rPr>
              <w:t xml:space="preserve">71%</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jc w:val="center"/>
            </w:pPr>
            <w:r>
              <w:rPr>
                <w:rFonts w:ascii="Georgia" w:cs="Georgia" w:eastAsia="Georgia" w:hAnsi="Georgia"/>
                <w:color w:val="5A6577"/>
                <w:sz w:val="19"/>
                <w:szCs w:val="19"/>
              </w:rPr>
              <w:t xml:space="preserve">85%</w:t>
            </w:r>
          </w:p>
        </w:tc>
        <w:tc>
          <w:tcPr>
            <w:tcW w:type="dxa" w:w="356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r>
              <w:rPr>
                <w:rFonts w:ascii="Georgia" w:cs="Georgia" w:eastAsia="Georgia" w:hAnsi="Georgia"/>
                <w:b/>
                <w:bCs/>
                <w:color w:val="2ECC87"/>
                <w:sz w:val="18"/>
                <w:szCs w:val="18"/>
              </w:rPr>
              <w:t xml:space="preserve">On track. Measurement and data units accelerating.</w:t>
            </w:r>
          </w:p>
        </w:tc>
      </w:tr>
      <w:tr>
        <w:tc>
          <w:tcPr>
            <w:tcW w:type="dxa" w:w="1800"/>
            <w:tcBorders>
              <w:top w:val="single" w:color="E2E6ED" w:sz="1"/>
              <w:left w:val="single" w:color="E2E6ED" w:sz="1"/>
              <w:bottom w:val="single" w:color="E2E6ED" w:sz="1"/>
              <w:right w:val="single" w:color="E2E6ED" w:sz="1"/>
            </w:tcBorders>
            <w:tcMar>
              <w:top w:type="dxa" w:w="80"/>
              <w:left w:type="dxa" w:w="140"/>
              <w:bottom w:type="dxa" w:w="80"/>
              <w:right w:type="dxa" w:w="140"/>
            </w:tcMar>
          </w:tcPr>
          <w:p>
            <w:r>
              <w:rPr>
                <w:rFonts w:ascii="Georgia" w:cs="Georgia" w:eastAsia="Georgia" w:hAnsi="Georgia"/>
                <w:b/>
                <w:bCs/>
                <w:color w:val="1B2A4A"/>
                <w:sz w:val="19"/>
                <w:szCs w:val="19"/>
              </w:rPr>
              <w:t xml:space="preserve">Science</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jc w:val="center"/>
            </w:pPr>
            <w:r>
              <w:rPr>
                <w:rFonts w:ascii="Georgia" w:cs="Georgia" w:eastAsia="Georgia" w:hAnsi="Georgia"/>
                <w:b/>
                <w:bCs/>
                <w:color w:val="1B2A4A"/>
                <w:sz w:val="24"/>
                <w:szCs w:val="24"/>
              </w:rPr>
              <w:t xml:space="preserve">52%</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jc w:val="center"/>
            </w:pPr>
            <w:r>
              <w:rPr>
                <w:rFonts w:ascii="Georgia" w:cs="Georgia" w:eastAsia="Georgia" w:hAnsi="Georgia"/>
                <w:color w:val="5A6577"/>
                <w:sz w:val="19"/>
                <w:szCs w:val="19"/>
              </w:rPr>
              <w:t xml:space="preserve">70%</w:t>
            </w:r>
          </w:p>
        </w:tc>
        <w:tc>
          <w:tcPr>
            <w:tcW w:type="dxa" w:w="356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r>
              <w:rPr>
                <w:rFonts w:ascii="Georgia" w:cs="Georgia" w:eastAsia="Georgia" w:hAnsi="Georgia"/>
                <w:b/>
                <w:bCs/>
                <w:color w:val="5BA4D9"/>
                <w:sz w:val="18"/>
                <w:szCs w:val="18"/>
              </w:rPr>
              <w:t xml:space="preserve">On pace. Life science and earth science units launching Q4.</w:t>
            </w:r>
          </w:p>
        </w:tc>
      </w:tr>
      <w:tr>
        <w:tc>
          <w:tcPr>
            <w:tcW w:type="dxa" w:w="1800"/>
            <w:tcBorders>
              <w:top w:val="single" w:color="E2E6ED" w:sz="1"/>
              <w:left w:val="single" w:color="E2E6ED" w:sz="1"/>
              <w:bottom w:val="single" w:color="E2E6ED" w:sz="1"/>
              <w:right w:val="single" w:color="E2E6ED" w:sz="1"/>
            </w:tcBorders>
            <w:tcMar>
              <w:top w:type="dxa" w:w="80"/>
              <w:left w:type="dxa" w:w="140"/>
              <w:bottom w:type="dxa" w:w="80"/>
              <w:right w:type="dxa" w:w="140"/>
            </w:tcMar>
          </w:tcPr>
          <w:p>
            <w:r>
              <w:rPr>
                <w:rFonts w:ascii="Georgia" w:cs="Georgia" w:eastAsia="Georgia" w:hAnsi="Georgia"/>
                <w:b/>
                <w:bCs/>
                <w:color w:val="1B2A4A"/>
                <w:sz w:val="19"/>
                <w:szCs w:val="19"/>
              </w:rPr>
              <w:t xml:space="preserve">Computer Sci</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jc w:val="center"/>
            </w:pPr>
            <w:r>
              <w:rPr>
                <w:rFonts w:ascii="Georgia" w:cs="Georgia" w:eastAsia="Georgia" w:hAnsi="Georgia"/>
                <w:b/>
                <w:bCs/>
                <w:color w:val="1B2A4A"/>
                <w:sz w:val="24"/>
                <w:szCs w:val="24"/>
              </w:rPr>
              <w:t xml:space="preserve">34%</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jc w:val="center"/>
            </w:pPr>
            <w:r>
              <w:rPr>
                <w:rFonts w:ascii="Georgia" w:cs="Georgia" w:eastAsia="Georgia" w:hAnsi="Georgia"/>
                <w:color w:val="5A6577"/>
                <w:sz w:val="19"/>
                <w:szCs w:val="19"/>
              </w:rPr>
              <w:t xml:space="preserve">55%</w:t>
            </w:r>
          </w:p>
        </w:tc>
        <w:tc>
          <w:tcPr>
            <w:tcW w:type="dxa" w:w="356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r>
              <w:rPr>
                <w:rFonts w:ascii="Georgia" w:cs="Georgia" w:eastAsia="Georgia" w:hAnsi="Georgia"/>
                <w:b/>
                <w:bCs/>
                <w:color w:val="5BA4D9"/>
                <w:sz w:val="18"/>
                <w:szCs w:val="18"/>
              </w:rPr>
              <w:t xml:space="preserve">On pace. Sequential logic and conditionals in scenarios.</w:t>
            </w:r>
          </w:p>
        </w:tc>
      </w:tr>
      <w:tr>
        <w:tc>
          <w:tcPr>
            <w:tcW w:type="dxa" w:w="1800"/>
            <w:tcBorders>
              <w:top w:val="single" w:color="E2E6ED" w:sz="1"/>
              <w:left w:val="single" w:color="E2E6ED" w:sz="1"/>
              <w:bottom w:val="single" w:color="E2E6ED" w:sz="1"/>
              <w:right w:val="single" w:color="E2E6ED" w:sz="1"/>
            </w:tcBorders>
            <w:tcMar>
              <w:top w:type="dxa" w:w="80"/>
              <w:left w:type="dxa" w:w="140"/>
              <w:bottom w:type="dxa" w:w="80"/>
              <w:right w:type="dxa" w:w="140"/>
            </w:tcMar>
          </w:tcPr>
          <w:p>
            <w:r>
              <w:rPr>
                <w:rFonts w:ascii="Georgia" w:cs="Georgia" w:eastAsia="Georgia" w:hAnsi="Georgia"/>
                <w:b/>
                <w:bCs/>
                <w:color w:val="1B2A4A"/>
                <w:sz w:val="19"/>
                <w:szCs w:val="19"/>
              </w:rPr>
              <w:t xml:space="preserve">Engineering</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jc w:val="center"/>
            </w:pPr>
            <w:r>
              <w:rPr>
                <w:rFonts w:ascii="Georgia" w:cs="Georgia" w:eastAsia="Georgia" w:hAnsi="Georgia"/>
                <w:b/>
                <w:bCs/>
                <w:color w:val="1B2A4A"/>
                <w:sz w:val="24"/>
                <w:szCs w:val="24"/>
              </w:rPr>
              <w:t xml:space="preserve">28%</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jc w:val="center"/>
            </w:pPr>
            <w:r>
              <w:rPr>
                <w:rFonts w:ascii="Georgia" w:cs="Georgia" w:eastAsia="Georgia" w:hAnsi="Georgia"/>
                <w:color w:val="5A6577"/>
                <w:sz w:val="19"/>
                <w:szCs w:val="19"/>
              </w:rPr>
              <w:t xml:space="preserve">45%</w:t>
            </w:r>
          </w:p>
        </w:tc>
        <w:tc>
          <w:tcPr>
            <w:tcW w:type="dxa" w:w="356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r>
              <w:rPr>
                <w:rFonts w:ascii="Georgia" w:cs="Georgia" w:eastAsia="Georgia" w:hAnsi="Georgia"/>
                <w:b/>
                <w:bCs/>
                <w:color w:val="F5A623"/>
                <w:sz w:val="18"/>
                <w:szCs w:val="18"/>
              </w:rPr>
              <w:t xml:space="preserve">Early stage. Design challenges increasing in Q4.</w:t>
            </w:r>
          </w:p>
        </w:tc>
      </w:tr>
    </w:tbl>
    <w:p>
      <w:pPr>
        <w:spacing w:before="200" w:after="0"/>
      </w:pPr>
    </w:p>
    <w:p>
      <w:pPr>
        <w:spacing w:before="0" w:after="120" w:line="320"/>
        <w:jc w:val="left"/>
      </w:pPr>
      <w:r>
        <w:rPr>
          <w:rFonts w:ascii="Georgia" w:cs="Georgia" w:eastAsia="Georgia" w:hAnsi="Georgia"/>
          <w:color w:val="5A6577"/>
          <w:sz w:val="21"/>
          <w:szCs w:val="21"/>
        </w:rPr>
        <w:t xml:space="preserve">Shadow Rock currently meets three of five STEAM school certification indicators. Computer Science and Engineering Design coverage are projected to reach threshold by end of year based on current scenario pacing. This progression has been achieved without adding specialized STEM teachers or purchasing separate STEM curriculum—the integration occurs within the existing GSE-aligned pacing through Recess scenario design.</w:t>
      </w:r>
    </w:p>
    <w:p>
      <w:pPr>
        <w:pBdr>
          <w:bottom w:val="single" w:color="C9A84C" w:sz="2" w:space="8"/>
        </w:pBdr>
        <w:spacing w:before="360" w:after="160"/>
      </w:pPr>
      <w:r>
        <w:rPr>
          <w:rFonts w:ascii="Georgia" w:cs="Georgia" w:eastAsia="Georgia" w:hAnsi="Georgia"/>
          <w:b/>
          <w:bCs/>
          <w:color w:val="1B2A4A"/>
          <w:spacing w:val="80"/>
          <w:sz w:val="22"/>
          <w:szCs w:val="22"/>
        </w:rPr>
        <w:t xml:space="preserve">HORIZON EXIT SUSTAINABILITY</w:t>
      </w:r>
    </w:p>
    <w:p>
      <w:pPr>
        <w:spacing w:before="0" w:after="120" w:line="320"/>
        <w:jc w:val="left"/>
      </w:pPr>
      <w:r>
        <w:rPr>
          <w:rFonts w:ascii="Georgia" w:cs="Georgia" w:eastAsia="Georgia" w:hAnsi="Georgia"/>
          <w:color w:val="5A6577"/>
          <w:sz w:val="21"/>
          <w:szCs w:val="21"/>
        </w:rPr>
        <w:t xml:space="preserve">Shadow Rock’s removal from the Horizon Schools designation represents years of focused effort by Dr. Rice, the administrative team, and the teaching staff. The risk every turnaround school faces is regression—returning to old patterns once the urgency of the designation fades. Crown’s Eye addresses this risk structurally rather than relying on sustained urgency.</w:t>
      </w:r>
    </w:p>
    <w:p>
      <w:pPr>
        <w:spacing w:before="0" w:after="120" w:line="320"/>
        <w:jc w:val="left"/>
      </w:pPr>
      <w:r>
        <w:rPr>
          <w:rFonts w:ascii="Georgia" w:cs="Georgia" w:eastAsia="Georgia" w:hAnsi="Georgia"/>
          <w:color w:val="5A6577"/>
          <w:sz w:val="21"/>
          <w:szCs w:val="21"/>
        </w:rPr>
        <w:t xml:space="preserve">The platform’s continuous assessment eliminates the diagnostic testing cycle that consumed instructional weeks. The differentiated scaffolding ensures every student receives appropriately leveled instruction regardless of individual teacher capacity. The governance cascade ensures that struggling students are identified and supported through evidence-based recommendations with administrative oversight, not left to chance. And the STEAM integration gives Shadow Rock a forward identity—not a school recovering from deficiency, but a school building toward STEAM certification.</w:t>
      </w:r>
    </w:p>
    <w:p>
      <w:pPr>
        <w:spacing w:before="0" w:after="120" w:line="320"/>
        <w:jc w:val="left"/>
      </w:pPr>
      <w:r>
        <w:rPr>
          <w:rFonts w:ascii="Georgia" w:cs="Georgia" w:eastAsia="Georgia" w:hAnsi="Georgia"/>
          <w:color w:val="5A6577"/>
          <w:sz w:val="21"/>
          <w:szCs w:val="21"/>
        </w:rPr>
        <w:t xml:space="preserve">This is the difference between a school that was removed from a list and a school that has become something new.</w:t>
      </w:r>
    </w:p>
    <w:p>
      <w:pPr>
        <w:pBdr>
          <w:bottom w:val="single" w:color="C9A84C" w:sz="2" w:space="8"/>
        </w:pBdr>
        <w:spacing w:before="360" w:after="160"/>
      </w:pPr>
      <w:r>
        <w:rPr>
          <w:rFonts w:ascii="Georgia" w:cs="Georgia" w:eastAsia="Georgia" w:hAnsi="Georgia"/>
          <w:b/>
          <w:bCs/>
          <w:color w:val="1B2A4A"/>
          <w:spacing w:val="80"/>
          <w:sz w:val="22"/>
          <w:szCs w:val="22"/>
        </w:rPr>
        <w:t xml:space="preserve">ADMINISTRATIVE ACTIONS REQUIRED</w:t>
      </w:r>
    </w:p>
    <w:p>
      <w:pPr>
        <w:spacing w:after="80" w:line="320"/>
      </w:pPr>
      <w:r>
        <w:rPr>
          <w:rFonts w:ascii="Georgia" w:cs="Georgia" w:eastAsia="Georgia" w:hAnsi="Georgia"/>
          <w:b/>
          <w:bCs/>
          <w:color w:val="1B2A4A"/>
          <w:sz w:val="21"/>
          <w:szCs w:val="21"/>
        </w:rPr>
        <w:t xml:space="preserve">1.  Review and approve or modify </w:t>
      </w:r>
      <w:r>
        <w:rPr>
          <w:rFonts w:ascii="Georgia" w:cs="Georgia" w:eastAsia="Georgia" w:hAnsi="Georgia"/>
          <w:color w:val="5A6577"/>
          <w:sz w:val="21"/>
          <w:szCs w:val="21"/>
        </w:rPr>
        <w:t xml:space="preserve">the 44 Support Adjustment Recommendations in the Crown’s Eye dashboard. Priority: the 6 students flagged in this brief as having persistent reading challenges entering middle school transition years.</w:t>
      </w:r>
    </w:p>
    <w:p>
      <w:pPr>
        <w:spacing w:after="80" w:line="320"/>
      </w:pPr>
      <w:r>
        <w:rPr>
          <w:rFonts w:ascii="Georgia" w:cs="Georgia" w:eastAsia="Georgia" w:hAnsi="Georgia"/>
          <w:b/>
          <w:bCs/>
          <w:color w:val="1B2A4A"/>
          <w:sz w:val="21"/>
          <w:szCs w:val="21"/>
        </w:rPr>
        <w:t xml:space="preserve">2.  Schedule grade-level team reviews </w:t>
      </w:r>
      <w:r>
        <w:rPr>
          <w:rFonts w:ascii="Georgia" w:cs="Georgia" w:eastAsia="Georgia" w:hAnsi="Georgia"/>
          <w:color w:val="5A6577"/>
          <w:sz w:val="21"/>
          <w:szCs w:val="21"/>
        </w:rPr>
        <w:t xml:space="preserve">for 2nd grade mathematics (stalling trajectory) and 5th grade engagement (attendance-correlated decline). Dashboard data is ready for these conversations.</w:t>
      </w:r>
    </w:p>
    <w:p>
      <w:pPr>
        <w:spacing w:after="80" w:line="320"/>
      </w:pPr>
      <w:r>
        <w:rPr>
          <w:rFonts w:ascii="Georgia" w:cs="Georgia" w:eastAsia="Georgia" w:hAnsi="Georgia"/>
          <w:b/>
          <w:bCs/>
          <w:color w:val="1B2A4A"/>
          <w:sz w:val="21"/>
          <w:szCs w:val="21"/>
        </w:rPr>
        <w:t xml:space="preserve">3.  Confirm Q4 scenario pacing </w:t>
      </w:r>
      <w:r>
        <w:rPr>
          <w:rFonts w:ascii="Georgia" w:cs="Georgia" w:eastAsia="Georgia" w:hAnsi="Georgia"/>
          <w:color w:val="5A6577"/>
          <w:sz w:val="21"/>
          <w:szCs w:val="21"/>
        </w:rPr>
        <w:t xml:space="preserve">with instructional coaches to ensure Science and Engineering coverage targets are achievable within remaining instructional weeks.</w:t>
      </w:r>
    </w:p>
    <w:p>
      <w:pPr>
        <w:spacing w:after="80" w:line="320"/>
      </w:pPr>
      <w:r>
        <w:rPr>
          <w:rFonts w:ascii="Georgia" w:cs="Georgia" w:eastAsia="Georgia" w:hAnsi="Georgia"/>
          <w:b/>
          <w:bCs/>
          <w:color w:val="1B2A4A"/>
          <w:sz w:val="21"/>
          <w:szCs w:val="21"/>
        </w:rPr>
        <w:t xml:space="preserve">4.  Prepare district presentation materials </w:t>
      </w:r>
      <w:r>
        <w:rPr>
          <w:rFonts w:ascii="Georgia" w:cs="Georgia" w:eastAsia="Georgia" w:hAnsi="Georgia"/>
          <w:color w:val="5A6577"/>
          <w:sz w:val="21"/>
          <w:szCs w:val="21"/>
        </w:rPr>
        <w:t xml:space="preserve">using this brief as the foundation. A district-formatted version is available for export from the administrator dashboard.</w:t>
      </w:r>
    </w:p>
    <w:p>
      <w:pPr>
        <w:spacing w:before="400" w:after="0"/>
      </w:pPr>
    </w:p>
    <w:p>
      <w:pPr>
        <w:pBdr>
          <w:top w:val="single" w:color="C9A84C" w:sz="2" w:space="16"/>
        </w:pBdr>
        <w:spacing w:before="200" w:after="80"/>
        <w:jc w:val="center"/>
      </w:pPr>
      <w:r>
        <w:rPr>
          <w:rFonts w:ascii="Arial" w:cs="Arial" w:eastAsia="Arial" w:hAnsi="Arial"/>
          <w:color w:val="5A6577"/>
          <w:sz w:val="16"/>
          <w:szCs w:val="16"/>
        </w:rPr>
        <w:t xml:space="preserve">Crown’s Eye  ·  Recess Education Platform  ·  Meridia Holdings LLC</w:t>
      </w:r>
    </w:p>
    <w:p>
      <w:pPr>
        <w:jc w:val="center"/>
      </w:pPr>
      <w:r>
        <w:rPr>
          <w:rFonts w:ascii="Arial" w:cs="Arial" w:eastAsia="Arial" w:hAnsi="Arial"/>
          <w:color w:val="5A6577"/>
          <w:sz w:val="14"/>
          <w:szCs w:val="14"/>
        </w:rPr>
        <w:t xml:space="preserve">Report generated March 3, 2026  ·  Data current through Week 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D" w:sz="1" w:space="8"/>
      </w:pBdr>
      <w:tabs>
        <w:tab w:val="right" w:pos="9026"/>
      </w:tabs>
    </w:pPr>
    <w:r>
      <w:rPr>
        <w:rFonts w:ascii="Arial" w:cs="Arial" w:eastAsia="Arial" w:hAnsi="Arial"/>
        <w:color w:val="5A6577"/>
        <w:sz w:val="14"/>
        <w:szCs w:val="14"/>
      </w:rPr>
      <w:t xml:space="preserve">Internal — Administrative Review</w:t>
    </w:r>
    <w:r>
      <w:rPr>
        <w:rFonts w:ascii="Arial" w:cs="Arial" w:eastAsia="Arial" w:hAnsi="Arial"/>
        <w:color w:val="5A6577"/>
        <w:sz w:val="14"/>
        <w:szCs w:val="14"/>
      </w:rPr>
      <w:t xml:space="preserve">	Page </w:t>
    </w:r>
    <w:r>
      <w:rPr>
        <w:rFonts w:ascii="Arial" w:cs="Arial" w:eastAsia="Arial" w:hAnsi="Arial"/>
        <w:color w:val="5A65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6ED" w:sz="1" w:space="8"/>
      </w:pBdr>
      <w:tabs>
        <w:tab w:val="right" w:pos="9026"/>
      </w:tabs>
    </w:pPr>
    <w:r>
      <w:rPr>
        <w:rFonts w:ascii="Arial" w:cs="Arial" w:eastAsia="Arial" w:hAnsi="Arial"/>
        <w:b/>
        <w:bCs/>
        <w:color w:val="C9A84C"/>
        <w:spacing w:val="80"/>
        <w:sz w:val="14"/>
        <w:szCs w:val="14"/>
      </w:rPr>
      <w:t xml:space="preserve">CROWN’S EYE</w:t>
    </w:r>
    <w:r>
      <w:rPr>
        <w:rFonts w:ascii="Arial" w:cs="Arial" w:eastAsia="Arial" w:hAnsi="Arial"/>
        <w:color w:val="5A6577"/>
        <w:sz w:val="14"/>
        <w:szCs w:val="14"/>
      </w:rPr>
      <w:t xml:space="preserve">	Shadow Rock Elementary  ·  Q3 Intelligence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Georgia" w:cs="Georgia" w:eastAsia="Georgia" w:hAnsi="Georgia"/>
      <w:b/>
      <w:bCs/>
      <w:color w:val="1B2A4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2026-03-03T17:51:57.614Z</dcterms:created>
  <dcterms:modified xsi:type="dcterms:W3CDTF">2026-03-03T17:51:57.615Z</dcterms:modified>
</cp:coreProperties>
</file>

<file path=docProps/custom.xml><?xml version="1.0" encoding="utf-8"?>
<Properties xmlns="http://schemas.openxmlformats.org/officeDocument/2006/custom-properties" xmlns:vt="http://schemas.openxmlformats.org/officeDocument/2006/docPropsVTypes"/>
</file>