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40"/>
        <w:jc w:val="center"/>
      </w:pPr>
      <w:r>
        <w:rPr>
          <w:rFonts w:ascii="Georgia" w:cs="Georgia" w:eastAsia="Georgia" w:hAnsi="Georgia"/>
          <w:color w:val="C9A84C"/>
          <w:sz w:val="28"/>
          <w:szCs w:val="28"/>
        </w:rPr>
        <w:t xml:space="preserve">◇</w:t>
      </w:r>
    </w:p>
    <w:p>
      <w:pPr>
        <w:spacing w:after="80"/>
        <w:jc w:val="center"/>
      </w:pPr>
      <w:r>
        <w:rPr>
          <w:rFonts w:ascii="Georgia" w:cs="Georgia" w:eastAsia="Georgia" w:hAnsi="Georgia"/>
          <w:b/>
          <w:bCs/>
          <w:color w:val="C9A84C"/>
          <w:spacing w:val="240"/>
          <w:sz w:val="20"/>
          <w:szCs w:val="20"/>
        </w:rPr>
        <w:t xml:space="preserve">CROWN’S EYE</w:t>
      </w:r>
    </w:p>
    <w:p>
      <w:pPr>
        <w:pBdr>
          <w:bottom w:val="single" w:color="C9A84C" w:sz="2" w:space="20"/>
        </w:pBdr>
        <w:spacing w:after="120"/>
        <w:jc w:val="center"/>
      </w:pPr>
      <w:r>
        <w:rPr>
          <w:rFonts w:ascii="Arial" w:cs="Arial" w:eastAsia="Arial" w:hAnsi="Arial"/>
          <w:color w:val="8A94A6"/>
          <w:spacing w:val="200"/>
          <w:sz w:val="14"/>
          <w:szCs w:val="14"/>
        </w:rPr>
        <w:t xml:space="preserve">EDUCATION INTELLIGENCE</w:t>
      </w:r>
    </w:p>
    <w:p>
      <w:pPr>
        <w:spacing w:before="700" w:after="0"/>
      </w:pPr>
    </w:p>
    <w:p>
      <w:pPr>
        <w:spacing w:after="80"/>
        <w:jc w:val="center"/>
      </w:pPr>
      <w:r>
        <w:rPr>
          <w:rFonts w:ascii="Georgia" w:cs="Georgia" w:eastAsia="Georgia" w:hAnsi="Georgia"/>
          <w:b/>
          <w:bCs/>
          <w:color w:val="1B2A4A"/>
          <w:sz w:val="56"/>
          <w:szCs w:val="56"/>
        </w:rPr>
        <w:t xml:space="preserve">Recess Intelligence Brief</w:t>
      </w:r>
    </w:p>
    <w:p>
      <w:pPr>
        <w:spacing w:after="40"/>
        <w:jc w:val="center"/>
      </w:pPr>
      <w:r>
        <w:rPr>
          <w:rFonts w:ascii="Georgia" w:cs="Georgia" w:eastAsia="Georgia" w:hAnsi="Georgia"/>
          <w:color w:val="5A6577"/>
          <w:sz w:val="26"/>
          <w:szCs w:val="26"/>
        </w:rPr>
        <w:t xml:space="preserve">Quarterly Building Performance Report</w:t>
      </w:r>
    </w:p>
    <w:p>
      <w:pPr>
        <w:spacing w:after="60"/>
        <w:jc w:val="center"/>
      </w:pPr>
      <w:r>
        <w:rPr>
          <w:rFonts w:ascii="Georgia" w:cs="Georgia" w:eastAsia="Georgia" w:hAnsi="Georgia"/>
          <w:i/>
          <w:iCs/>
          <w:color w:val="8A94A6"/>
          <w:sz w:val="22"/>
          <w:szCs w:val="22"/>
        </w:rPr>
        <w:t xml:space="preserve">with Support Adjustment Recommendations</w:t>
      </w:r>
    </w:p>
    <w:p>
      <w:pPr>
        <w:spacing w:before="500" w:after="0"/>
      </w:pPr>
    </w:p>
    <w:p>
      <w:pPr>
        <w:spacing w:after="500"/>
        <w:jc w:val="center"/>
      </w:pPr>
      <w:r>
        <w:rPr>
          <w:rFonts w:ascii="Georgia" w:cs="Georgia" w:eastAsia="Georgia" w:hAnsi="Georgia"/>
          <w:color w:val="C9A84C"/>
          <w:sz w:val="18"/>
          <w:szCs w:val="18"/>
        </w:rPr>
        <w:t xml:space="preserve">───────  ◇  ───────</w:t>
      </w:r>
    </w:p>
    <w:p>
      <w:pPr>
        <w:spacing w:after="60"/>
        <w:jc w:val="center"/>
      </w:pPr>
      <w:r>
        <w:rPr>
          <w:rFonts w:ascii="Georgia" w:cs="Georgia" w:eastAsia="Georgia" w:hAnsi="Georgia"/>
          <w:b/>
          <w:bCs/>
          <w:color w:val="1B2A4A"/>
          <w:sz w:val="30"/>
          <w:szCs w:val="30"/>
        </w:rPr>
        <w:t xml:space="preserve">Shadow Rock Elementary School</w:t>
      </w:r>
    </w:p>
    <w:p>
      <w:pPr>
        <w:spacing w:after="40"/>
        <w:jc w:val="center"/>
      </w:pPr>
      <w:r>
        <w:rPr>
          <w:rFonts w:ascii="Georgia" w:cs="Georgia" w:eastAsia="Georgia" w:hAnsi="Georgia"/>
          <w:color w:val="5A6577"/>
          <w:sz w:val="22"/>
          <w:szCs w:val="22"/>
        </w:rPr>
        <w:t xml:space="preserve">DeKalb County School District  ·  Lithonia, Georgia</w:t>
      </w:r>
    </w:p>
    <w:p>
      <w:pPr>
        <w:spacing w:before="600" w:after="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color w:val="8A94A6"/>
                <w:spacing w:val="60"/>
                <w:sz w:val="14"/>
                <w:szCs w:val="14"/>
              </w:rPr>
              <w:t xml:space="preserve">PREPARED FOR</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Georgia" w:cs="Georgia" w:eastAsia="Georgia" w:hAnsi="Georgia"/>
                <w:color w:val="1B2A4A"/>
                <w:sz w:val="21"/>
                <w:szCs w:val="21"/>
              </w:rPr>
              <w:t xml:space="preserve">Dr. Fricretia Rice, Principal</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color w:val="8A94A6"/>
                <w:spacing w:val="60"/>
                <w:sz w:val="14"/>
                <w:szCs w:val="14"/>
              </w:rPr>
              <w:t xml:space="preserve">PERIOD</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Georgia" w:cs="Georgia" w:eastAsia="Georgia" w:hAnsi="Georgia"/>
                <w:color w:val="1B2A4A"/>
                <w:sz w:val="21"/>
                <w:szCs w:val="21"/>
              </w:rPr>
              <w:t xml:space="preserve">Q3, 2025–26  ·  Weeks 18–26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pPr>
              <w:jc w:val="right"/>
            </w:pPr>
            <w:r>
              <w:rPr>
                <w:rFonts w:ascii="Arial" w:cs="Arial" w:eastAsia="Arial" w:hAnsi="Arial"/>
                <w:color w:val="8A94A6"/>
                <w:spacing w:val="60"/>
                <w:sz w:val="14"/>
                <w:szCs w:val="14"/>
              </w:rPr>
              <w:t xml:space="preserve">CLASSIFICATION</w:t>
            </w:r>
          </w:p>
        </w:tc>
        <w:tc>
          <w:tcPr>
            <w:tcW w:type="dxa" w:w="32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Georgia" w:cs="Georgia" w:eastAsia="Georgia" w:hAnsi="Georgia"/>
                <w:color w:val="C9A84C"/>
                <w:sz w:val="21"/>
                <w:szCs w:val="21"/>
              </w:rPr>
              <w:t xml:space="preserve">Internal — Administrative Review</w:t>
            </w:r>
          </w:p>
        </w:tc>
      </w:tr>
    </w:tbl>
    <w:p>
      <w:pPr>
        <w:spacing w:before="1400" w:after="0"/>
      </w:pPr>
    </w:p>
    <w:p>
      <w:pPr>
        <w:pBdr>
          <w:top w:val="single" w:color="E2E6ED" w:sz="1" w:space="14"/>
        </w:pBdr>
        <w:spacing w:before="200" w:after="40"/>
        <w:jc w:val="center"/>
      </w:pPr>
      <w:r>
        <w:rPr>
          <w:rFonts w:ascii="Arial" w:cs="Arial" w:eastAsia="Arial" w:hAnsi="Arial"/>
          <w:color w:val="8A94A6"/>
          <w:sz w:val="16"/>
          <w:szCs w:val="16"/>
        </w:rPr>
        <w:t xml:space="preserve">Powered by Crown’s Eye  ·  Meridia Holdings LLC</w:t>
      </w:r>
    </w:p>
    <w:p>
      <w:pPr>
        <w:jc w:val="center"/>
      </w:pPr>
      <w:r>
        <w:rPr>
          <w:rFonts w:ascii="Georgia" w:cs="Georgia" w:eastAsia="Georgia" w:hAnsi="Georgia"/>
          <w:i/>
          <w:iCs/>
          <w:color w:val="D4B96A"/>
          <w:sz w:val="16"/>
          <w:szCs w:val="16"/>
        </w:rPr>
        <w:t xml:space="preserve">Governance as a Service</w:t>
      </w:r>
    </w:p>
    <w:p>
      <w:pPr>
        <w:sectPr>
          <w:pgSz w:w="12240" w:h="15840" w:orient="portrait"/>
          <w:pgMar w:top="1440" w:right="1440" w:bottom="1440" w:left="1440" w:header="708" w:footer="708" w:gutter="0"/>
          <w:pgNumType/>
          <w:docGrid w:linePitch="360"/>
        </w:sectPr>
      </w:pPr>
    </w:p>
    <w:p>
      <w:pPr>
        <w:pBdr>
          <w:bottom w:val="single" w:color="C9A84C" w:sz="3" w:space="10"/>
        </w:pBdr>
        <w:spacing w:before="420" w:after="200"/>
      </w:pPr>
      <w:r>
        <w:rPr>
          <w:rFonts w:ascii="Georgia" w:cs="Georgia" w:eastAsia="Georgia" w:hAnsi="Georgia"/>
          <w:b/>
          <w:bCs/>
          <w:color w:val="1B2A4A"/>
          <w:spacing w:val="100"/>
          <w:sz w:val="24"/>
          <w:szCs w:val="24"/>
        </w:rPr>
        <w:t xml:space="preserve">EXECUTIVE SUMMARY</w:t>
      </w:r>
    </w:p>
    <w:p>
      <w:pPr>
        <w:spacing w:before="0" w:after="140" w:line="340"/>
        <w:jc w:val="left"/>
      </w:pPr>
      <w:r>
        <w:rPr>
          <w:rFonts w:ascii="Georgia" w:cs="Georgia" w:eastAsia="Georgia" w:hAnsi="Georgia"/>
          <w:color w:val="5A6577"/>
          <w:sz w:val="21"/>
          <w:szCs w:val="21"/>
        </w:rPr>
        <w:t xml:space="preserve">Shadow Rock Elementary enters Quarter 3 of the 2025–26 academic year at a defining inflection point. Having successfully exited the state’s Horizon Schools designation, the building now faces the challenge that defeats most turnaround schools: sustaining momentum while deepening instructional quality.</w:t>
      </w:r>
    </w:p>
    <w:p>
      <w:pPr>
        <w:spacing w:before="0" w:after="140" w:line="340"/>
        <w:jc w:val="left"/>
      </w:pPr>
      <w:r>
        <w:rPr>
          <w:rFonts w:ascii="Georgia" w:cs="Georgia" w:eastAsia="Georgia" w:hAnsi="Georgia"/>
          <w:color w:val="5A6577"/>
          <w:sz w:val="21"/>
          <w:szCs w:val="21"/>
        </w:rPr>
        <w:t xml:space="preserve">This report presents a building-wide analysis of student performance, STEAM standards coverage, reading mastery trajectories, and individualized support recommendations generated through continuous assessment. The data is derived from ongoing student interaction with the Recess learning platform across ELA, Mathematics, Computer Science, and integrated STEAM scenarios.</w:t>
      </w:r>
    </w:p>
    <w:p>
      <w:pPr>
        <w:pBdr>
          <w:left w:val="single" w:color="C9A84C" w:sz="6" w:space="12"/>
        </w:pBdr>
        <w:spacing w:before="160" w:after="160" w:line="340"/>
        <w:ind w:left="480" w:right="480"/>
      </w:pPr>
      <w:r>
        <w:rPr>
          <w:rFonts w:ascii="Georgia" w:cs="Georgia" w:eastAsia="Georgia" w:hAnsi="Georgia"/>
          <w:i/>
          <w:iCs/>
          <w:color w:val="2D4270"/>
          <w:sz w:val="21"/>
          <w:szCs w:val="21"/>
        </w:rPr>
        <w:t xml:space="preserve">Unlike traditional diagnostic reports, these metrics reflect continuous observation across thousands of learning interactions—not point-in-time test scores. Every data point represents what students have demonstrated through authentic work, not what they produced under assessment conditions.</w:t>
      </w:r>
    </w:p>
    <w:p>
      <w:pPr>
        <w:pBdr>
          <w:bottom w:val="single" w:color="C9A84C" w:sz="3" w:space="10"/>
        </w:pBdr>
        <w:spacing w:before="420" w:after="200"/>
      </w:pPr>
      <w:r>
        <w:rPr>
          <w:rFonts w:ascii="Georgia" w:cs="Georgia" w:eastAsia="Georgia" w:hAnsi="Georgia"/>
          <w:b/>
          <w:bCs/>
          <w:color w:val="1B2A4A"/>
          <w:spacing w:val="100"/>
          <w:sz w:val="24"/>
          <w:szCs w:val="24"/>
        </w:rPr>
        <w:t xml:space="preserve">BUILDING PERFORMANCE SNAPSHOT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6ED" w:sz="1"/>
              <w:left w:val="single" w:color="E2E6ED" w:sz="1"/>
              <w:bottom w:val="single" w:color="E2E6ED" w:sz="1"/>
              <w:right w:val="single" w:color="E2E6ED" w:sz="1"/>
            </w:tcBorders>
            <w:shd w:fill="E0F5EC" w:val="clear"/>
            <w:tcMar>
              <w:top w:type="dxa" w:w="160"/>
              <w:left w:type="dxa" w:w="200"/>
              <w:bottom w:type="dxa" w:w="160"/>
              <w:right w:type="dxa" w:w="200"/>
            </w:tcMar>
            <w:vAlign w:val="center"/>
          </w:tcPr>
          <w:p>
            <w:pPr>
              <w:spacing w:after="60"/>
            </w:pPr>
            <w:r>
              <w:rPr>
                <w:rFonts w:ascii="Arial" w:cs="Arial" w:eastAsia="Arial" w:hAnsi="Arial"/>
                <w:b/>
                <w:bCs/>
                <w:color w:val="8A94A6"/>
                <w:spacing w:val="50"/>
                <w:sz w:val="14"/>
                <w:szCs w:val="14"/>
              </w:rPr>
              <w:t xml:space="preserve">ACTIVE STUDENTS</w:t>
            </w:r>
          </w:p>
          <w:p>
            <w:pPr>
              <w:spacing w:after="60"/>
            </w:pPr>
            <w:r>
              <w:rPr>
                <w:rFonts w:ascii="Georgia" w:cs="Georgia" w:eastAsia="Georgia" w:hAnsi="Georgia"/>
                <w:b/>
                <w:bCs/>
                <w:color w:val="1B2A4A"/>
                <w:sz w:val="40"/>
                <w:szCs w:val="40"/>
              </w:rPr>
              <w:t xml:space="preserve">487</w:t>
            </w:r>
          </w:p>
          <w:p>
            <w:r>
              <w:rPr>
                <w:rFonts w:ascii="Arial" w:cs="Arial" w:eastAsia="Arial" w:hAnsi="Arial"/>
                <w:b/>
                <w:bCs/>
                <w:color w:val="2ECC87"/>
                <w:sz w:val="16"/>
                <w:szCs w:val="16"/>
              </w:rPr>
              <w:t xml:space="preserve">▲ 97% engagement rate</w:t>
            </w:r>
          </w:p>
        </w:tc>
        <w:tc>
          <w:tcPr>
            <w:tcW w:type="dxa" w:w="2340"/>
            <w:tcBorders>
              <w:top w:val="single" w:color="E2E6ED" w:sz="1"/>
              <w:left w:val="single" w:color="E2E6ED" w:sz="1"/>
              <w:bottom w:val="single" w:color="E2E6ED" w:sz="1"/>
              <w:right w:val="single" w:color="E2E6ED" w:sz="1"/>
            </w:tcBorders>
            <w:shd w:fill="DFF0FA" w:val="clear"/>
            <w:tcMar>
              <w:top w:type="dxa" w:w="160"/>
              <w:left w:type="dxa" w:w="200"/>
              <w:bottom w:type="dxa" w:w="160"/>
              <w:right w:type="dxa" w:w="200"/>
            </w:tcMar>
            <w:vAlign w:val="center"/>
          </w:tcPr>
          <w:p>
            <w:pPr>
              <w:spacing w:after="60"/>
            </w:pPr>
            <w:r>
              <w:rPr>
                <w:rFonts w:ascii="Arial" w:cs="Arial" w:eastAsia="Arial" w:hAnsi="Arial"/>
                <w:b/>
                <w:bCs/>
                <w:color w:val="8A94A6"/>
                <w:spacing w:val="50"/>
                <w:sz w:val="14"/>
                <w:szCs w:val="14"/>
              </w:rPr>
              <w:t xml:space="preserve">STANDARDS MASTERED</w:t>
            </w:r>
          </w:p>
          <w:p>
            <w:pPr>
              <w:spacing w:after="60"/>
            </w:pPr>
            <w:r>
              <w:rPr>
                <w:rFonts w:ascii="Georgia" w:cs="Georgia" w:eastAsia="Georgia" w:hAnsi="Georgia"/>
                <w:b/>
                <w:bCs/>
                <w:color w:val="1B2A4A"/>
                <w:sz w:val="40"/>
                <w:szCs w:val="40"/>
              </w:rPr>
              <w:t xml:space="preserve">62%</w:t>
            </w:r>
          </w:p>
          <w:p>
            <w:r>
              <w:rPr>
                <w:rFonts w:ascii="Arial" w:cs="Arial" w:eastAsia="Arial" w:hAnsi="Arial"/>
                <w:b/>
                <w:bCs/>
                <w:color w:val="2ECC87"/>
                <w:sz w:val="16"/>
                <w:szCs w:val="16"/>
              </w:rPr>
              <w:t xml:space="preserve">▲ +8% from Q2</w:t>
            </w:r>
          </w:p>
        </w:tc>
        <w:tc>
          <w:tcPr>
            <w:tcW w:type="dxa" w:w="2340"/>
            <w:tcBorders>
              <w:top w:val="single" w:color="E2E6ED" w:sz="1"/>
              <w:left w:val="single" w:color="E2E6ED" w:sz="1"/>
              <w:bottom w:val="single" w:color="E2E6ED" w:sz="1"/>
              <w:right w:val="single" w:color="E2E6ED" w:sz="1"/>
            </w:tcBorders>
            <w:shd w:fill="FAF8F2" w:val="clear"/>
            <w:tcMar>
              <w:top w:type="dxa" w:w="160"/>
              <w:left w:type="dxa" w:w="200"/>
              <w:bottom w:type="dxa" w:w="160"/>
              <w:right w:type="dxa" w:w="200"/>
            </w:tcMar>
            <w:vAlign w:val="center"/>
          </w:tcPr>
          <w:p>
            <w:pPr>
              <w:spacing w:after="60"/>
            </w:pPr>
            <w:r>
              <w:rPr>
                <w:rFonts w:ascii="Arial" w:cs="Arial" w:eastAsia="Arial" w:hAnsi="Arial"/>
                <w:b/>
                <w:bCs/>
                <w:color w:val="8A94A6"/>
                <w:spacing w:val="50"/>
                <w:sz w:val="14"/>
                <w:szCs w:val="14"/>
              </w:rPr>
              <w:t xml:space="preserve">READING ON-TRACK</w:t>
            </w:r>
          </w:p>
          <w:p>
            <w:pPr>
              <w:spacing w:after="60"/>
            </w:pPr>
            <w:r>
              <w:rPr>
                <w:rFonts w:ascii="Georgia" w:cs="Georgia" w:eastAsia="Georgia" w:hAnsi="Georgia"/>
                <w:b/>
                <w:bCs/>
                <w:color w:val="1B2A4A"/>
                <w:sz w:val="40"/>
                <w:szCs w:val="40"/>
              </w:rPr>
              <w:t xml:space="preserve">71%</w:t>
            </w:r>
          </w:p>
          <w:p>
            <w:r>
              <w:rPr>
                <w:rFonts w:ascii="Arial" w:cs="Arial" w:eastAsia="Arial" w:hAnsi="Arial"/>
                <w:b/>
                <w:bCs/>
                <w:color w:val="2ECC87"/>
                <w:sz w:val="16"/>
                <w:szCs w:val="16"/>
              </w:rPr>
              <w:t xml:space="preserve">▲ +14% over prior year</w:t>
            </w:r>
          </w:p>
        </w:tc>
        <w:tc>
          <w:tcPr>
            <w:tcW w:type="dxa" w:w="2340"/>
            <w:tcBorders>
              <w:top w:val="single" w:color="E2E6ED" w:sz="1"/>
              <w:left w:val="single" w:color="E2E6ED" w:sz="1"/>
              <w:bottom w:val="single" w:color="E2E6ED" w:sz="1"/>
              <w:right w:val="single" w:color="E2E6ED" w:sz="1"/>
            </w:tcBorders>
            <w:shd w:fill="F5EED9" w:val="clear"/>
            <w:tcMar>
              <w:top w:type="dxa" w:w="160"/>
              <w:left w:type="dxa" w:w="200"/>
              <w:bottom w:type="dxa" w:w="160"/>
              <w:right w:type="dxa" w:w="200"/>
            </w:tcMar>
            <w:vAlign w:val="center"/>
          </w:tcPr>
          <w:p>
            <w:pPr>
              <w:spacing w:after="60"/>
            </w:pPr>
            <w:r>
              <w:rPr>
                <w:rFonts w:ascii="Arial" w:cs="Arial" w:eastAsia="Arial" w:hAnsi="Arial"/>
                <w:b/>
                <w:bCs/>
                <w:color w:val="8A94A6"/>
                <w:spacing w:val="50"/>
                <w:sz w:val="14"/>
                <w:szCs w:val="14"/>
              </w:rPr>
              <w:t xml:space="preserve">STEAM COVERAGE</w:t>
            </w:r>
          </w:p>
          <w:p>
            <w:pPr>
              <w:spacing w:after="60"/>
            </w:pPr>
            <w:r>
              <w:rPr>
                <w:rFonts w:ascii="Georgia" w:cs="Georgia" w:eastAsia="Georgia" w:hAnsi="Georgia"/>
                <w:b/>
                <w:bCs/>
                <w:color w:val="1B2A4A"/>
                <w:sz w:val="40"/>
                <w:szCs w:val="40"/>
              </w:rPr>
              <w:t xml:space="preserve">4 of 5</w:t>
            </w:r>
          </w:p>
          <w:p>
            <w:r>
              <w:rPr>
                <w:rFonts w:ascii="Arial" w:cs="Arial" w:eastAsia="Arial" w:hAnsi="Arial"/>
                <w:b/>
                <w:bCs/>
                <w:color w:val="1B2A4A"/>
                <w:sz w:val="16"/>
                <w:szCs w:val="16"/>
              </w:rPr>
              <w:t xml:space="preserve">CS on pace for EOY</w:t>
            </w:r>
          </w:p>
        </w:tc>
      </w:tr>
    </w:tbl>
    <w:p>
      <w:pPr>
        <w:spacing w:before="200" w:after="0"/>
      </w:pPr>
    </w:p>
    <w:p>
      <w:pPr>
        <w:spacing w:before="0" w:after="140" w:line="340"/>
        <w:jc w:val="left"/>
      </w:pPr>
      <w:r>
        <w:rPr>
          <w:rFonts w:ascii="Georgia" w:cs="Georgia" w:eastAsia="Georgia" w:hAnsi="Georgia"/>
          <w:color w:val="5A6577"/>
          <w:sz w:val="21"/>
          <w:szCs w:val="21"/>
        </w:rPr>
        <w:t xml:space="preserve">These metrics reflect meaningful acceleration. The 14-point increase in reading trajectory over the prior year represents the most significant literacy gain in Shadow Rock’s recent history. Critically, this improvement has occurred without pulling students from core instruction for extended diagnostic testing—the platform’s continuous assessment model has returned an estimated three weeks of instructional time to classrooms this year.</w:t>
      </w:r>
    </w:p>
    <w:p>
      <w:pPr>
        <w:spacing w:before="80" w:after="40" w:line="280"/>
      </w:pPr>
      <w:r>
        <w:rPr>
          <w:rFonts w:ascii="Arial" w:cs="Arial" w:eastAsia="Arial" w:hAnsi="Arial"/>
          <w:color w:val="8A94A6"/>
          <w:sz w:val="16"/>
          <w:szCs w:val="16"/>
        </w:rPr>
        <w:t xml:space="preserve">Note: “Standards Mastered” reflects students demonstrating consistent proficiency across multiple assessment touchpoints, not single-test proficiency. The threshold is higher than traditional diagnostic benchmarks.</w:t>
      </w:r>
    </w:p>
    <w:p>
      <w:pPr>
        <w:pBdr>
          <w:bottom w:val="single" w:color="C9A84C" w:sz="3" w:space="10"/>
        </w:pBdr>
        <w:spacing w:before="420" w:after="200"/>
      </w:pPr>
      <w:r>
        <w:rPr>
          <w:rFonts w:ascii="Georgia" w:cs="Georgia" w:eastAsia="Georgia" w:hAnsi="Georgia"/>
          <w:b/>
          <w:bCs/>
          <w:color w:val="1B2A4A"/>
          <w:spacing w:val="100"/>
          <w:sz w:val="24"/>
          <w:szCs w:val="24"/>
        </w:rPr>
        <w:t xml:space="preserve">ACADEMIC PERFORMANCE BY GRADE</w:t>
      </w:r>
    </w:p>
    <w:p>
      <w:pPr>
        <w:spacing w:before="0" w:after="140" w:line="340"/>
        <w:jc w:val="left"/>
      </w:pPr>
      <w:r>
        <w:rPr>
          <w:rFonts w:ascii="Georgia" w:cs="Georgia" w:eastAsia="Georgia" w:hAnsi="Georgia"/>
          <w:color w:val="5A6577"/>
          <w:sz w:val="21"/>
          <w:szCs w:val="21"/>
        </w:rPr>
        <w:t xml:space="preserve">The following table presents mastery levels across core subjects for each grade level. Trajectory indicators reflect the direction of change over the past six weeks, not absolute position.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000"/>
        <w:gridCol w:w="2160"/>
      </w:tblGrid>
      <w:tr>
        <w:tc>
          <w:tcPr>
            <w:tcW w:type="dxa" w:w="12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Grade</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ELA Mastery</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Math Mastery</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CS Progress</w:t>
            </w:r>
          </w:p>
        </w:tc>
        <w:tc>
          <w:tcPr>
            <w:tcW w:type="dxa" w:w="21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Trajectory</w:t>
            </w:r>
          </w:p>
        </w:tc>
      </w:tr>
      <w:tr>
        <w:tc>
          <w:tcPr>
            <w:tcW w:type="dxa" w:w="12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Kindergarten</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bCs/>
                <w:color w:val="2ECC87"/>
                <w:sz w:val="22"/>
                <w:szCs w:val="22"/>
              </w:rPr>
              <w:t xml:space="preserve">74%</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bCs/>
                <w:color w:val="2ECC87"/>
                <w:sz w:val="22"/>
                <w:szCs w:val="22"/>
              </w:rPr>
              <w:t xml:space="preserve">68%</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Emerging</w:t>
            </w:r>
          </w:p>
        </w:tc>
        <w:tc>
          <w:tcPr>
            <w:tcW w:type="dxa" w:w="2160"/>
            <w:tcBorders>
              <w:top w:val="single" w:color="E2E6ED" w:sz="1"/>
              <w:left w:val="single" w:color="E2E6ED" w:sz="1"/>
              <w:bottom w:val="single" w:color="E2E6ED" w:sz="1"/>
              <w:right w:val="single" w:color="E2E6ED" w:sz="1"/>
            </w:tcBorders>
            <w:shd w:fill="E0F5EC" w:val="clear"/>
            <w:tcMar>
              <w:top w:type="dxa" w:w="80"/>
              <w:left w:type="dxa" w:w="140"/>
              <w:bottom w:type="dxa" w:w="80"/>
              <w:right w:type="dxa" w:w="140"/>
            </w:tcMar>
            <w:vAlign w:val="center"/>
          </w:tcPr>
          <w:p>
            <w:pPr>
              <w:spacing w:line="300"/>
              <w:jc w:val="center"/>
            </w:pPr>
            <w:r>
              <w:rPr>
                <w:rFonts w:ascii="Arial" w:cs="Arial" w:eastAsia="Arial" w:hAnsi="Arial"/>
                <w:b/>
                <w:bCs/>
                <w:color w:val="2ECC87"/>
                <w:sz w:val="16"/>
                <w:szCs w:val="16"/>
              </w:rPr>
              <w:t xml:space="preserve">Rising</w:t>
            </w:r>
          </w:p>
        </w:tc>
      </w:tr>
      <w:tr>
        <w:tc>
          <w:tcPr>
            <w:tcW w:type="dxa" w:w="1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1st Grade</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2ECC87"/>
                <w:sz w:val="22"/>
                <w:szCs w:val="22"/>
              </w:rPr>
              <w:t xml:space="preserve">66%</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61%</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Emerging</w:t>
            </w:r>
          </w:p>
        </w:tc>
        <w:tc>
          <w:tcPr>
            <w:tcW w:type="dxa" w:w="2160"/>
            <w:tcBorders>
              <w:top w:val="single" w:color="E2E6ED" w:sz="1"/>
              <w:left w:val="single" w:color="E2E6ED" w:sz="1"/>
              <w:bottom w:val="single" w:color="E2E6ED" w:sz="1"/>
              <w:right w:val="single" w:color="E2E6ED" w:sz="1"/>
            </w:tcBorders>
            <w:shd w:fill="DFF0FA" w:val="clear"/>
            <w:tcMar>
              <w:top w:type="dxa" w:w="80"/>
              <w:left w:type="dxa" w:w="140"/>
              <w:bottom w:type="dxa" w:w="80"/>
              <w:right w:type="dxa" w:w="140"/>
            </w:tcMar>
            <w:vAlign w:val="center"/>
          </w:tcPr>
          <w:p>
            <w:pPr>
              <w:spacing w:line="300"/>
              <w:jc w:val="center"/>
            </w:pPr>
            <w:r>
              <w:rPr>
                <w:rFonts w:ascii="Arial" w:cs="Arial" w:eastAsia="Arial" w:hAnsi="Arial"/>
                <w:b/>
                <w:bCs/>
                <w:color w:val="5BA4D9"/>
                <w:sz w:val="16"/>
                <w:szCs w:val="16"/>
              </w:rPr>
              <w:t xml:space="preserve">Steady</w:t>
            </w:r>
          </w:p>
        </w:tc>
      </w:tr>
      <w:tr>
        <w:tc>
          <w:tcPr>
            <w:tcW w:type="dxa" w:w="12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2nd Grade</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59%</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55%</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On Pace</w:t>
            </w:r>
          </w:p>
        </w:tc>
        <w:tc>
          <w:tcPr>
            <w:tcW w:type="dxa" w:w="2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spacing w:line="300"/>
              <w:jc w:val="center"/>
            </w:pPr>
            <w:r>
              <w:rPr>
                <w:rFonts w:ascii="Arial" w:cs="Arial" w:eastAsia="Arial" w:hAnsi="Arial"/>
                <w:b/>
                <w:bCs/>
                <w:color w:val="F5A623"/>
                <w:sz w:val="16"/>
                <w:szCs w:val="16"/>
              </w:rPr>
              <w:t xml:space="preserve">Watch</w:t>
            </w:r>
          </w:p>
        </w:tc>
      </w:tr>
      <w:tr>
        <w:tc>
          <w:tcPr>
            <w:tcW w:type="dxa" w:w="1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3rd Grade</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56%</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F5A623"/>
                <w:sz w:val="22"/>
                <w:szCs w:val="22"/>
              </w:rPr>
              <w:t xml:space="preserve">52%</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On Pace</w:t>
            </w:r>
          </w:p>
        </w:tc>
        <w:tc>
          <w:tcPr>
            <w:tcW w:type="dxa" w:w="2160"/>
            <w:tcBorders>
              <w:top w:val="single" w:color="E2E6ED" w:sz="1"/>
              <w:left w:val="single" w:color="E2E6ED" w:sz="1"/>
              <w:bottom w:val="single" w:color="E2E6ED" w:sz="1"/>
              <w:right w:val="single" w:color="E2E6ED" w:sz="1"/>
            </w:tcBorders>
            <w:shd w:fill="E0F5EC" w:val="clear"/>
            <w:tcMar>
              <w:top w:type="dxa" w:w="80"/>
              <w:left w:type="dxa" w:w="140"/>
              <w:bottom w:type="dxa" w:w="80"/>
              <w:right w:type="dxa" w:w="140"/>
            </w:tcMar>
            <w:vAlign w:val="center"/>
          </w:tcPr>
          <w:p>
            <w:pPr>
              <w:spacing w:line="300"/>
              <w:jc w:val="center"/>
            </w:pPr>
            <w:r>
              <w:rPr>
                <w:rFonts w:ascii="Arial" w:cs="Arial" w:eastAsia="Arial" w:hAnsi="Arial"/>
                <w:b/>
                <w:bCs/>
                <w:color w:val="2ECC87"/>
                <w:sz w:val="16"/>
                <w:szCs w:val="16"/>
              </w:rPr>
              <w:t xml:space="preserve">Rising</w:t>
            </w:r>
          </w:p>
        </w:tc>
      </w:tr>
      <w:tr>
        <w:tc>
          <w:tcPr>
            <w:tcW w:type="dxa" w:w="12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4th Grade</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61%</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58%</w:t>
            </w:r>
          </w:p>
        </w:tc>
        <w:tc>
          <w:tcPr>
            <w:tcW w:type="dxa" w:w="2000"/>
            <w:tcBorders>
              <w:top w:val="single" w:color="E2E6ED" w:sz="1"/>
              <w:left w:val="single" w:color="E2E6ED" w:sz="1"/>
              <w:bottom w:val="single" w:color="E2E6ED" w:sz="1"/>
              <w:right w:val="single" w:color="E2E6ED" w:sz="1"/>
            </w:tcBorders>
            <w:shd w:fill="FFFFFF" w:val="clear"/>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On Pace</w:t>
            </w:r>
          </w:p>
        </w:tc>
        <w:tc>
          <w:tcPr>
            <w:tcW w:type="dxa" w:w="2160"/>
            <w:tcBorders>
              <w:top w:val="single" w:color="E2E6ED" w:sz="1"/>
              <w:left w:val="single" w:color="E2E6ED" w:sz="1"/>
              <w:bottom w:val="single" w:color="E2E6ED" w:sz="1"/>
              <w:right w:val="single" w:color="E2E6ED" w:sz="1"/>
            </w:tcBorders>
            <w:shd w:fill="DFF0FA" w:val="clear"/>
            <w:tcMar>
              <w:top w:type="dxa" w:w="80"/>
              <w:left w:type="dxa" w:w="140"/>
              <w:bottom w:type="dxa" w:w="80"/>
              <w:right w:type="dxa" w:w="140"/>
            </w:tcMar>
            <w:vAlign w:val="center"/>
          </w:tcPr>
          <w:p>
            <w:pPr>
              <w:spacing w:line="300"/>
              <w:jc w:val="center"/>
            </w:pPr>
            <w:r>
              <w:rPr>
                <w:rFonts w:ascii="Arial" w:cs="Arial" w:eastAsia="Arial" w:hAnsi="Arial"/>
                <w:b/>
                <w:bCs/>
                <w:color w:val="5BA4D9"/>
                <w:sz w:val="16"/>
                <w:szCs w:val="16"/>
              </w:rPr>
              <w:t xml:space="preserve">Steady</w:t>
            </w:r>
          </w:p>
        </w:tc>
      </w:tr>
      <w:tr>
        <w:tc>
          <w:tcPr>
            <w:tcW w:type="dxa" w:w="1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5th Grade</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58%</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F5A623"/>
                <w:sz w:val="22"/>
                <w:szCs w:val="22"/>
              </w:rPr>
              <w:t xml:space="preserve">54%</w:t>
            </w:r>
          </w:p>
        </w:tc>
        <w:tc>
          <w:tcPr>
            <w:tcW w:type="dxa" w:w="20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On Pace</w:t>
            </w:r>
          </w:p>
        </w:tc>
        <w:tc>
          <w:tcPr>
            <w:tcW w:type="dxa" w:w="2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spacing w:line="300"/>
              <w:jc w:val="center"/>
            </w:pPr>
            <w:r>
              <w:rPr>
                <w:rFonts w:ascii="Arial" w:cs="Arial" w:eastAsia="Arial" w:hAnsi="Arial"/>
                <w:b/>
                <w:bCs/>
                <w:color w:val="F5A623"/>
                <w:sz w:val="16"/>
                <w:szCs w:val="16"/>
              </w:rPr>
              <w:t xml:space="preserve">Watch</w:t>
            </w:r>
          </w:p>
        </w:tc>
      </w:tr>
    </w:tbl>
    <w:p>
      <w:pPr>
        <w:spacing w:before="160" w:after="0"/>
      </w:pPr>
    </w:p>
    <w:p>
      <w:pPr>
        <w:spacing w:before="0" w:after="140" w:line="340"/>
        <w:jc w:val="left"/>
      </w:pPr>
      <w:r>
        <w:rPr>
          <w:rFonts w:ascii="Georgia" w:cs="Georgia" w:eastAsia="Georgia" w:hAnsi="Georgia"/>
          <w:color w:val="5A6577"/>
          <w:sz w:val="21"/>
          <w:szCs w:val="21"/>
        </w:rPr>
        <w:t xml:space="preserve">Third grade shows the strongest upward trajectory in the building despite having the lowest absolute mastery scores. This cohort’s reading fluency gains accelerated markedly after STEAM-integrated scenarios replaced isolated skill drilling in Week 14. Second grade requires focused attention—the data suggests engagement is strong but conceptual transfer from activities to independent practice is lagging, particularly in mathematics.</w:t>
      </w:r>
    </w:p>
    <w:p>
      <w:pPr>
        <w:spacing w:before="0" w:after="140" w:line="340"/>
        <w:jc w:val="left"/>
      </w:pPr>
      <w:r>
        <w:rPr>
          <w:rFonts w:ascii="Georgia" w:cs="Georgia" w:eastAsia="Georgia" w:hAnsi="Georgia"/>
          <w:color w:val="5A6577"/>
          <w:sz w:val="21"/>
          <w:szCs w:val="21"/>
        </w:rPr>
        <w:t xml:space="preserve">Fifth grade presents a different concern: adequate performance masking declining engagement. Several students show strong academic metrics but behavioral indicators—reduced voluntary participation, declining journal quality—suggest the onset of disengagement that typically accelerates in middle school. The Support Adjustment Recommendations section addresses these students specifically.</w:t>
      </w:r>
    </w:p>
    <w:p>
      <w:r>
        <w:br w:type="page"/>
      </w:r>
    </w:p>
    <w:p>
      <w:pPr>
        <w:pBdr>
          <w:bottom w:val="single" w:color="C9A84C" w:sz="3" w:space="10"/>
        </w:pBdr>
        <w:spacing w:before="420" w:after="200"/>
      </w:pPr>
      <w:r>
        <w:rPr>
          <w:rFonts w:ascii="Georgia" w:cs="Georgia" w:eastAsia="Georgia" w:hAnsi="Georgia"/>
          <w:b/>
          <w:bCs/>
          <w:color w:val="1B2A4A"/>
          <w:spacing w:val="100"/>
          <w:sz w:val="24"/>
          <w:szCs w:val="24"/>
        </w:rPr>
        <w:t xml:space="preserve">READING MASTERY — MIDDLE SCHOOL READINESS</w:t>
      </w:r>
    </w:p>
    <w:p>
      <w:pPr>
        <w:spacing w:before="0" w:after="140" w:line="340"/>
        <w:jc w:val="left"/>
      </w:pPr>
      <w:r>
        <w:rPr>
          <w:rFonts w:ascii="Georgia" w:cs="Georgia" w:eastAsia="Georgia" w:hAnsi="Georgia"/>
          <w:color w:val="5A6577"/>
          <w:sz w:val="21"/>
          <w:szCs w:val="21"/>
        </w:rPr>
        <w:t xml:space="preserve">This section addresses the building’s central strategic priority: ensuring students are not lost or disengaged by middle school due to lack of reading progress. The analysis focuses on 3rd through 5th grade students who will transition to Freedom Middle School within one to three years.</w:t>
      </w:r>
    </w:p>
    <w:p>
      <w:pPr>
        <w:pBdr>
          <w:left w:val="single" w:color="C9A84C" w:sz="6" w:space="12"/>
        </w:pBdr>
        <w:spacing w:before="160" w:after="160" w:line="340"/>
        <w:ind w:left="480" w:right="480"/>
      </w:pPr>
      <w:r>
        <w:rPr>
          <w:rFonts w:ascii="Georgia" w:cs="Georgia" w:eastAsia="Georgia" w:hAnsi="Georgia"/>
          <w:i/>
          <w:iCs/>
          <w:color w:val="2D4270"/>
          <w:sz w:val="21"/>
          <w:szCs w:val="21"/>
        </w:rPr>
        <w:t xml:space="preserve">The question is not whether these students can decode words. The question is whether they will arrive at middle school as confident, engaged readers—or whether they will have already decided that reading is something that happens to them rather than something they do.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Trajectory Category</w:t>
            </w:r>
          </w:p>
        </w:tc>
        <w:tc>
          <w:tcPr>
            <w:tcW w:type="dxa" w:w="14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Students</w:t>
            </w:r>
          </w:p>
        </w:tc>
        <w:tc>
          <w:tcPr>
            <w:tcW w:type="dxa" w:w="14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Building %</w:t>
            </w:r>
          </w:p>
        </w:tc>
        <w:tc>
          <w:tcPr>
            <w:tcW w:type="dxa" w:w="33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Recommended Action</w:t>
            </w:r>
          </w:p>
        </w:tc>
      </w:tr>
      <w:tr>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2ECC87"/>
                <w:sz w:val="20"/>
                <w:szCs w:val="20"/>
              </w:rPr>
              <w:t xml:space="preserve">Accelerating</w:t>
            </w:r>
          </w:p>
          <w:p>
            <w:pPr>
              <w:spacing w:after="0" w:line="280"/>
              <w:jc w:val="left"/>
            </w:pPr>
            <w:r>
              <w:rPr>
                <w:rFonts w:ascii="Georgia" w:cs="Georgia" w:eastAsia="Georgia" w:hAnsi="Georgia"/>
                <w:b w:val="false"/>
                <w:bCs w:val="false"/>
                <w:color w:val="5A6577"/>
                <w:sz w:val="17"/>
                <w:szCs w:val="17"/>
              </w:rPr>
              <w:t xml:space="preserve">Consistent upward movement across 6+ weeks</w:t>
            </w:r>
          </w:p>
        </w:tc>
        <w:tc>
          <w:tcPr>
            <w:tcW w:type="dxa" w:w="14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148</w:t>
            </w:r>
          </w:p>
        </w:tc>
        <w:tc>
          <w:tcPr>
            <w:tcW w:type="dxa" w:w="14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2ECC87"/>
                <w:sz w:val="22"/>
                <w:szCs w:val="22"/>
              </w:rPr>
              <w:t xml:space="preserve">30%</w:t>
            </w:r>
          </w:p>
        </w:tc>
        <w:tc>
          <w:tcPr>
            <w:tcW w:type="dxa" w:w="33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val="false"/>
                <w:bCs w:val="false"/>
                <w:color w:val="5A6577"/>
                <w:sz w:val="18"/>
                <w:szCs w:val="18"/>
              </w:rPr>
              <w:t xml:space="preserve">No intervention needed. System continues enrichment scaffolding.</w:t>
            </w:r>
          </w:p>
        </w:tc>
      </w:tr>
      <w:tr>
        <w:tc>
          <w:tcPr>
            <w:tcW w:type="dxa" w:w="32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after="40" w:line="280"/>
              <w:jc w:val="left"/>
            </w:pPr>
            <w:r>
              <w:rPr>
                <w:rFonts w:ascii="Georgia" w:cs="Georgia" w:eastAsia="Georgia" w:hAnsi="Georgia"/>
                <w:b/>
                <w:bCs/>
                <w:color w:val="5BA4D9"/>
                <w:sz w:val="20"/>
                <w:szCs w:val="20"/>
              </w:rPr>
              <w:t xml:space="preserve">On Track</w:t>
            </w:r>
          </w:p>
          <w:p>
            <w:pPr>
              <w:spacing w:after="0" w:line="280"/>
              <w:jc w:val="left"/>
            </w:pPr>
            <w:r>
              <w:rPr>
                <w:rFonts w:ascii="Georgia" w:cs="Georgia" w:eastAsia="Georgia" w:hAnsi="Georgia"/>
                <w:b w:val="false"/>
                <w:bCs w:val="false"/>
                <w:color w:val="5A6577"/>
                <w:sz w:val="17"/>
                <w:szCs w:val="17"/>
              </w:rPr>
              <w:t xml:space="preserve">Holding at or near grade-level expectations</w:t>
            </w:r>
          </w:p>
        </w:tc>
        <w:tc>
          <w:tcPr>
            <w:tcW w:type="dxa" w:w="14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197</w:t>
            </w:r>
          </w:p>
        </w:tc>
        <w:tc>
          <w:tcPr>
            <w:tcW w:type="dxa" w:w="140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center"/>
            </w:pPr>
            <w:r>
              <w:rPr>
                <w:rFonts w:ascii="Georgia" w:cs="Georgia" w:eastAsia="Georgia" w:hAnsi="Georgia"/>
                <w:b/>
                <w:bCs/>
                <w:color w:val="5BA4D9"/>
                <w:sz w:val="22"/>
                <w:szCs w:val="22"/>
              </w:rPr>
              <w:t xml:space="preserve">41%</w:t>
            </w:r>
          </w:p>
        </w:tc>
        <w:tc>
          <w:tcPr>
            <w:tcW w:type="dxa" w:w="3360"/>
            <w:tcBorders>
              <w:top w:val="single" w:color="E2E6ED" w:sz="1"/>
              <w:left w:val="single" w:color="E2E6ED" w:sz="1"/>
              <w:bottom w:val="single" w:color="E2E6ED" w:sz="1"/>
              <w:right w:val="single" w:color="E2E6ED" w:sz="1"/>
            </w:tcBorders>
            <w:shd w:fill="F4F6F9" w:val="clear"/>
            <w:tcMar>
              <w:top w:type="dxa" w:w="80"/>
              <w:left w:type="dxa" w:w="140"/>
              <w:bottom w:type="dxa" w:w="80"/>
              <w:right w:type="dxa" w:w="140"/>
            </w:tcMar>
            <w:vAlign w:val="center"/>
          </w:tcPr>
          <w:p>
            <w:pPr>
              <w:spacing w:line="300"/>
              <w:jc w:val="left"/>
            </w:pPr>
            <w:r>
              <w:rPr>
                <w:rFonts w:ascii="Georgia" w:cs="Georgia" w:eastAsia="Georgia" w:hAnsi="Georgia"/>
                <w:b w:val="false"/>
                <w:bCs w:val="false"/>
                <w:color w:val="5A6577"/>
                <w:sz w:val="18"/>
                <w:szCs w:val="18"/>
              </w:rPr>
              <w:t xml:space="preserve">Quarterly monitoring. System adjusting complexity to sustain growth.</w:t>
            </w:r>
          </w:p>
        </w:tc>
      </w:tr>
      <w:tr>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F5A623"/>
                <w:sz w:val="20"/>
                <w:szCs w:val="20"/>
              </w:rPr>
              <w:t xml:space="preserve">Progress Stalling</w:t>
            </w:r>
          </w:p>
          <w:p>
            <w:pPr>
              <w:spacing w:after="0" w:line="280"/>
              <w:jc w:val="left"/>
            </w:pPr>
            <w:r>
              <w:rPr>
                <w:rFonts w:ascii="Georgia" w:cs="Georgia" w:eastAsia="Georgia" w:hAnsi="Georgia"/>
                <w:b w:val="false"/>
                <w:bCs w:val="false"/>
                <w:color w:val="5A6577"/>
                <w:sz w:val="17"/>
                <w:szCs w:val="17"/>
              </w:rPr>
              <w:t xml:space="preserve">Growth flattened for 3+ consecutive weeks</w:t>
            </w:r>
          </w:p>
        </w:tc>
        <w:tc>
          <w:tcPr>
            <w:tcW w:type="dxa" w:w="14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98</w:t>
            </w:r>
          </w:p>
        </w:tc>
        <w:tc>
          <w:tcPr>
            <w:tcW w:type="dxa" w:w="14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F5A623"/>
                <w:sz w:val="22"/>
                <w:szCs w:val="22"/>
              </w:rPr>
              <w:t xml:space="preserve">20%</w:t>
            </w:r>
          </w:p>
        </w:tc>
        <w:tc>
          <w:tcPr>
            <w:tcW w:type="dxa" w:w="33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val="false"/>
                <w:bCs w:val="false"/>
                <w:color w:val="5A6577"/>
                <w:sz w:val="18"/>
                <w:szCs w:val="18"/>
              </w:rPr>
              <w:t xml:space="preserve">System has auto-adjusted scaffolding. Teacher review of individual profiles recommended.</w:t>
            </w:r>
          </w:p>
        </w:tc>
      </w:tr>
      <w:tr>
        <w:tc>
          <w:tcPr>
            <w:tcW w:type="dxa" w:w="320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spacing w:after="40" w:line="280"/>
              <w:jc w:val="left"/>
            </w:pPr>
            <w:r>
              <w:rPr>
                <w:rFonts w:ascii="Georgia" w:cs="Georgia" w:eastAsia="Georgia" w:hAnsi="Georgia"/>
                <w:b/>
                <w:bCs/>
                <w:color w:val="E25C6A"/>
                <w:sz w:val="20"/>
                <w:szCs w:val="20"/>
              </w:rPr>
              <w:t xml:space="preserve">Persistent Challenge</w:t>
            </w:r>
          </w:p>
          <w:p>
            <w:pPr>
              <w:spacing w:after="0" w:line="280"/>
              <w:jc w:val="left"/>
            </w:pPr>
            <w:r>
              <w:rPr>
                <w:rFonts w:ascii="Georgia" w:cs="Georgia" w:eastAsia="Georgia" w:hAnsi="Georgia"/>
                <w:b w:val="false"/>
                <w:bCs w:val="false"/>
                <w:color w:val="5A6577"/>
                <w:sz w:val="17"/>
                <w:szCs w:val="17"/>
              </w:rPr>
              <w:t xml:space="preserve">Declining or no measurable progress for 4+ weeks</w:t>
            </w:r>
          </w:p>
        </w:tc>
        <w:tc>
          <w:tcPr>
            <w:tcW w:type="dxa" w:w="140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44</w:t>
            </w:r>
          </w:p>
        </w:tc>
        <w:tc>
          <w:tcPr>
            <w:tcW w:type="dxa" w:w="140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spacing w:line="300"/>
              <w:jc w:val="center"/>
            </w:pPr>
            <w:r>
              <w:rPr>
                <w:rFonts w:ascii="Georgia" w:cs="Georgia" w:eastAsia="Georgia" w:hAnsi="Georgia"/>
                <w:b/>
                <w:bCs/>
                <w:color w:val="E25C6A"/>
                <w:sz w:val="22"/>
                <w:szCs w:val="22"/>
              </w:rPr>
              <w:t xml:space="preserve">9%</w:t>
            </w:r>
          </w:p>
        </w:tc>
        <w:tc>
          <w:tcPr>
            <w:tcW w:type="dxa" w:w="336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spacing w:line="300"/>
              <w:jc w:val="left"/>
            </w:pPr>
            <w:r>
              <w:rPr>
                <w:rFonts w:ascii="Georgia" w:cs="Georgia" w:eastAsia="Georgia" w:hAnsi="Georgia"/>
                <w:b/>
                <w:bCs/>
                <w:color w:val="E25C6A"/>
                <w:sz w:val="18"/>
                <w:szCs w:val="18"/>
              </w:rPr>
              <w:t xml:space="preserve">Support Adjustment Recommendations generated. Administrative approval required.</w:t>
            </w:r>
          </w:p>
        </w:tc>
      </w:tr>
    </w:tbl>
    <w:p>
      <w:pPr>
        <w:spacing w:before="200" w:after="0"/>
      </w:pPr>
    </w:p>
    <w:p>
      <w:pPr>
        <w:spacing w:before="0" w:after="140" w:line="340"/>
        <w:jc w:val="left"/>
      </w:pPr>
      <w:r>
        <w:rPr>
          <w:rFonts w:ascii="Georgia" w:cs="Georgia" w:eastAsia="Georgia" w:hAnsi="Georgia"/>
          <w:color w:val="5A6577"/>
          <w:sz w:val="21"/>
          <w:szCs w:val="21"/>
        </w:rPr>
        <w:t xml:space="preserve">The persistent challenge cohort of 44 students represents the highest-priority group for administrative attention. Individualized Support Adjustment Recommendations have been generated for each student and are presented in the following section. No adjustments will be implemented until approved by building administration.</w:t>
      </w:r>
    </w:p>
    <w:p>
      <w:pPr>
        <w:spacing w:before="0" w:after="140" w:line="340"/>
        <w:jc w:val="left"/>
      </w:pPr>
      <w:r>
        <w:rPr>
          <w:rFonts w:ascii="Georgia" w:cs="Georgia" w:eastAsia="Georgia" w:hAnsi="Georgia"/>
          <w:color w:val="5A6577"/>
          <w:sz w:val="21"/>
          <w:szCs w:val="21"/>
        </w:rPr>
        <w:t xml:space="preserve">Of note: 16 of the 44 persistent challenge students were previously in the “stalling” category and moved into persistent challenge status within the last two weeks. Early indicators suggest these students respond well to collaborative and oral-response activities but disengage during independent written tasks.</w:t>
      </w:r>
    </w:p>
    <w:p>
      <w:r>
        <w:br w:type="page"/>
      </w:r>
    </w:p>
    <w:p>
      <w:pPr>
        <w:pBdr>
          <w:bottom w:val="single" w:color="C9A84C" w:sz="3" w:space="10"/>
        </w:pBdr>
        <w:spacing w:before="420" w:after="200"/>
      </w:pPr>
      <w:r>
        <w:rPr>
          <w:rFonts w:ascii="Georgia" w:cs="Georgia" w:eastAsia="Georgia" w:hAnsi="Georgia"/>
          <w:b/>
          <w:bCs/>
          <w:color w:val="1B2A4A"/>
          <w:spacing w:val="100"/>
          <w:sz w:val="24"/>
          <w:szCs w:val="24"/>
        </w:rPr>
        <w:t xml:space="preserve">SUPPORT ADJUSTMENT RECOMMENDATIONS</w:t>
      </w:r>
    </w:p>
    <w:p>
      <w:pPr>
        <w:spacing w:before="0" w:after="140" w:line="340"/>
        <w:jc w:val="left"/>
      </w:pPr>
      <w:r>
        <w:rPr>
          <w:rFonts w:ascii="Georgia" w:cs="Georgia" w:eastAsia="Georgia" w:hAnsi="Georgia"/>
          <w:color w:val="5A6577"/>
          <w:sz w:val="21"/>
          <w:szCs w:val="21"/>
        </w:rPr>
        <w:t xml:space="preserve">The following recommendations are generated by the Crown’s Eye AI steward based on continuous observation of student learning patterns. Each recommendation identifies what the system has observed, proposes a specific instructional adjustment, and requires administrative approval before implementation.</w:t>
      </w:r>
    </w:p>
    <w:p>
      <w:pPr>
        <w:spacing w:before="0" w:after="140" w:line="340"/>
        <w:jc w:val="left"/>
      </w:pPr>
      <w:r>
        <w:rPr>
          <w:rFonts w:ascii="Georgia" w:cs="Georgia" w:eastAsia="Georgia" w:hAnsi="Georgia"/>
          <w:color w:val="5A6577"/>
          <w:sz w:val="21"/>
          <w:szCs w:val="21"/>
        </w:rPr>
        <w:t xml:space="preserve">These recommendations are designed to replace the manual MTSS documentation cycle with machine-generated, evidence-based proposals that preserve human decision-making authority. The system proposes. The administrator governs.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6ED" w:sz="1"/>
              <w:left w:val="single" w:color="E2E6ED" w:sz="1"/>
              <w:bottom w:val="single" w:color="E2E6ED" w:sz="1"/>
              <w:right w:val="single" w:color="E2E6ED" w:sz="1"/>
            </w:tcBorders>
            <w:shd w:fill="F5EED9" w:val="clear"/>
            <w:tcMar>
              <w:top w:type="dxa" w:w="120"/>
              <w:left w:type="dxa" w:w="180"/>
              <w:bottom w:type="dxa" w:w="120"/>
              <w:right w:type="dxa" w:w="180"/>
            </w:tcMar>
          </w:tcPr>
          <w:p>
            <w:pPr>
              <w:spacing w:after="80"/>
            </w:pPr>
            <w:r>
              <w:rPr>
                <w:rFonts w:ascii="Georgia" w:cs="Georgia" w:eastAsia="Georgia" w:hAnsi="Georgia"/>
                <w:color w:val="C9A84C"/>
                <w:sz w:val="16"/>
                <w:szCs w:val="16"/>
              </w:rPr>
              <w:t xml:space="preserve">◇  </w:t>
            </w:r>
            <w:r>
              <w:rPr>
                <w:rFonts w:ascii="Arial" w:cs="Arial" w:eastAsia="Arial" w:hAnsi="Arial"/>
                <w:b/>
                <w:bCs/>
                <w:color w:val="C9A84C"/>
                <w:spacing w:val="60"/>
                <w:sz w:val="15"/>
                <w:szCs w:val="15"/>
              </w:rPr>
              <w:t xml:space="preserve">GOVERNANCE NOTE</w:t>
            </w:r>
          </w:p>
          <w:p>
            <w:pPr>
              <w:spacing w:line="320"/>
            </w:pPr>
            <w:r>
              <w:rPr>
                <w:rFonts w:ascii="Georgia" w:cs="Georgia" w:eastAsia="Georgia" w:hAnsi="Georgia"/>
                <w:b/>
                <w:bCs/>
                <w:color w:val="1B2A4A"/>
                <w:sz w:val="20"/>
                <w:szCs w:val="20"/>
              </w:rPr>
              <w:t xml:space="preserve">All recommendations below are pending administrative review. </w:t>
            </w:r>
            <w:r>
              <w:rPr>
                <w:rFonts w:ascii="Georgia" w:cs="Georgia" w:eastAsia="Georgia" w:hAnsi="Georgia"/>
                <w:color w:val="1B2A4A"/>
                <w:sz w:val="20"/>
                <w:szCs w:val="20"/>
              </w:rPr>
              <w:t xml:space="preserve">Approved adjustments will be implemented automatically within the student’s Recess experience. Rejected recommendations will be logged with the administrator’s rationale for audit trail purposes. Modified recommendations will be implemented as revised. Every action is recorded in the compliance cascade.</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3200"/>
        <w:gridCol w:w="1160"/>
      </w:tblGrid>
      <w:tr>
        <w:tc>
          <w:tcPr>
            <w:tcW w:type="dxa" w:w="16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Student</w:t>
            </w:r>
          </w:p>
        </w:tc>
        <w:tc>
          <w:tcPr>
            <w:tcW w:type="dxa" w:w="34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System Observation</w:t>
            </w:r>
          </w:p>
        </w:tc>
        <w:tc>
          <w:tcPr>
            <w:tcW w:type="dxa" w:w="32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Recommended Adjustment</w:t>
            </w:r>
          </w:p>
        </w:tc>
        <w:tc>
          <w:tcPr>
            <w:tcW w:type="dxa" w:w="11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Status</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1B2A4A"/>
                <w:sz w:val="20"/>
                <w:szCs w:val="20"/>
              </w:rPr>
              <w:t xml:space="preserve">Jasmine S.</w:t>
            </w:r>
          </w:p>
          <w:p>
            <w:pPr>
              <w:spacing w:after="0" w:line="280"/>
              <w:jc w:val="left"/>
            </w:pPr>
            <w:r>
              <w:rPr>
                <w:rFonts w:ascii="Arial" w:cs="Arial" w:eastAsia="Arial" w:hAnsi="Arial"/>
                <w:b w:val="false"/>
                <w:bCs w:val="false"/>
                <w:color w:val="8A94A6"/>
                <w:sz w:val="16"/>
                <w:szCs w:val="16"/>
              </w:rPr>
              <w:t xml:space="preserve">3rd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Decoding accuracy 91% but fluency plateaued at 72 WPM for 4 weeks. Comprehension on science-contextualized passages is 23% higher than on narrative fiction. Engagement peaks during collaborative STEAM activities.</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Shift 60% of reading activities to informational text with science and engineering themes. Pair with stronger reader during broadcast lesson collaborative phases. Increase oral response opportunities by 40% for next 3 weeks.</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1B2A4A"/>
                <w:sz w:val="20"/>
                <w:szCs w:val="20"/>
              </w:rPr>
              <w:t xml:space="preserve">DeAndre W.</w:t>
            </w:r>
          </w:p>
          <w:p>
            <w:pPr>
              <w:spacing w:after="0" w:line="280"/>
              <w:jc w:val="left"/>
            </w:pPr>
            <w:r>
              <w:rPr>
                <w:rFonts w:ascii="Arial" w:cs="Arial" w:eastAsia="Arial" w:hAnsi="Arial"/>
                <w:b w:val="false"/>
                <w:bCs w:val="false"/>
                <w:color w:val="8A94A6"/>
                <w:sz w:val="16"/>
                <w:szCs w:val="16"/>
              </w:rPr>
              <w:t xml:space="preserve">2nd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Writing output dropped 35% over 3 weeks. Verbal participation in broadcast lessons remains strong. Math and CS performance stable. Pattern suggests fine motor or processing challenge rather than comprehension deficit.</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Introduce voice-to-text response option for written tasks. Maintain current math and CS scaffolding. Flag for occupational therapy screening if writing output does not recover within 2 weeks of adjustment.</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1B2A4A"/>
                <w:sz w:val="20"/>
                <w:szCs w:val="20"/>
              </w:rPr>
              <w:t xml:space="preserve">Marcus T.</w:t>
            </w:r>
          </w:p>
          <w:p>
            <w:pPr>
              <w:spacing w:after="0" w:line="280"/>
              <w:jc w:val="left"/>
            </w:pPr>
            <w:r>
              <w:rPr>
                <w:rFonts w:ascii="Arial" w:cs="Arial" w:eastAsia="Arial" w:hAnsi="Arial"/>
                <w:b w:val="false"/>
                <w:bCs w:val="false"/>
                <w:color w:val="8A94A6"/>
                <w:sz w:val="16"/>
                <w:szCs w:val="16"/>
              </w:rPr>
              <w:t xml:space="preserve">3rd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Consistent use of additive strategies where multiplicative reasoning is expected. Area and perimeter concepts not transferring to novel problems. CS sequencing shows strong logical thinking and spatial reasoning above grade level.</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Leverage CS strength as bridge to multiplication: introduce coding activities requiring repeated grouping. Present area problems through garden design and block coding contexts rather than abstract worksheets.</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1B2A4A"/>
                <w:sz w:val="20"/>
                <w:szCs w:val="20"/>
              </w:rPr>
              <w:t xml:space="preserve">Kayla J.</w:t>
            </w:r>
          </w:p>
          <w:p>
            <w:pPr>
              <w:spacing w:after="0" w:line="280"/>
              <w:jc w:val="left"/>
            </w:pPr>
            <w:r>
              <w:rPr>
                <w:rFonts w:ascii="Arial" w:cs="Arial" w:eastAsia="Arial" w:hAnsi="Arial"/>
                <w:b w:val="false"/>
                <w:bCs w:val="false"/>
                <w:color w:val="8A94A6"/>
                <w:sz w:val="16"/>
                <w:szCs w:val="16"/>
              </w:rPr>
              <w:t xml:space="preserve">5th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Reading comprehension declining for 5 weeks. Was previously on-track. Attendance dropped to 76% concurrent with comprehension decline. When present, engagement in STEAM activities remains high.</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Priority: Attendance conversation with family before instructional adjustment. When present, increase high-engagement collaborative activities to rebuild momentum. System will hold current reading level rather than advancing until attendance stabilizes.</w:t>
            </w:r>
          </w:p>
        </w:tc>
        <w:tc>
          <w:tcPr>
            <w:tcW w:type="dxa" w:w="116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jc w:val="center"/>
            </w:pPr>
            <w:r>
              <w:rPr>
                <w:rFonts w:ascii="Arial" w:cs="Arial" w:eastAsia="Arial" w:hAnsi="Arial"/>
                <w:b/>
                <w:bCs/>
                <w:color w:val="E25C6A"/>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1B2A4A"/>
                <w:sz w:val="20"/>
                <w:szCs w:val="20"/>
              </w:rPr>
              <w:t xml:space="preserve">Tyler R.</w:t>
            </w:r>
          </w:p>
          <w:p>
            <w:pPr>
              <w:spacing w:after="0" w:line="280"/>
              <w:jc w:val="left"/>
            </w:pPr>
            <w:r>
              <w:rPr>
                <w:rFonts w:ascii="Arial" w:cs="Arial" w:eastAsia="Arial" w:hAnsi="Arial"/>
                <w:b w:val="false"/>
                <w:bCs w:val="false"/>
                <w:color w:val="8A94A6"/>
                <w:sz w:val="16"/>
                <w:szCs w:val="16"/>
              </w:rPr>
              <w:t xml:space="preserve">5th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Strong performance across all academic areas but behavioral indicators suggest disengagement: reduced voluntary participation, faster task completion with declining detail, journal entry quality declining over 4 weeks.</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Introduce student leadership role in broadcast lessons (discussion facilitator). Increase challenge level in math and CS to re-engage. Consider enrichment pathway referral if disengagement persists after 2-week adjustment period.</w:t>
            </w:r>
          </w:p>
        </w:tc>
        <w:tc>
          <w:tcPr>
            <w:tcW w:type="dxa" w:w="1160"/>
            <w:tcBorders>
              <w:top w:val="single" w:color="E2E6ED" w:sz="1"/>
              <w:left w:val="single" w:color="E2E6ED" w:sz="1"/>
              <w:bottom w:val="single" w:color="E2E6ED" w:sz="1"/>
              <w:right w:val="single" w:color="E2E6ED" w:sz="1"/>
            </w:tcBorders>
            <w:shd w:fill="FDF3E0" w:val="clear"/>
            <w:tcMar>
              <w:top w:type="dxa" w:w="80"/>
              <w:left w:type="dxa" w:w="140"/>
              <w:bottom w:type="dxa" w:w="80"/>
              <w:right w:type="dxa" w:w="140"/>
            </w:tcMar>
            <w:vAlign w:val="center"/>
          </w:tcPr>
          <w:p>
            <w:pPr>
              <w:jc w:val="center"/>
            </w:pPr>
            <w:r>
              <w:rPr>
                <w:rFonts w:ascii="Arial" w:cs="Arial" w:eastAsia="Arial" w:hAnsi="Arial"/>
                <w:b/>
                <w:bCs/>
                <w:color w:val="F5A623"/>
                <w:sz w:val="15"/>
                <w:szCs w:val="15"/>
              </w:rPr>
              <w:t xml:space="preserve">Pending</w:t>
            </w:r>
          </w:p>
        </w:tc>
      </w:tr>
      <w:tr>
        <w:tc>
          <w:tcPr>
            <w:tcW w:type="dxa" w:w="16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after="40" w:line="280"/>
              <w:jc w:val="left"/>
            </w:pPr>
            <w:r>
              <w:rPr>
                <w:rFonts w:ascii="Georgia" w:cs="Georgia" w:eastAsia="Georgia" w:hAnsi="Georgia"/>
                <w:b/>
                <w:bCs/>
                <w:color w:val="1B2A4A"/>
                <w:sz w:val="20"/>
                <w:szCs w:val="20"/>
              </w:rPr>
              <w:t xml:space="preserve">Amari D.</w:t>
            </w:r>
          </w:p>
          <w:p>
            <w:pPr>
              <w:spacing w:after="0" w:line="280"/>
              <w:jc w:val="left"/>
            </w:pPr>
            <w:r>
              <w:rPr>
                <w:rFonts w:ascii="Arial" w:cs="Arial" w:eastAsia="Arial" w:hAnsi="Arial"/>
                <w:b w:val="false"/>
                <w:bCs w:val="false"/>
                <w:color w:val="8A94A6"/>
                <w:sz w:val="16"/>
                <w:szCs w:val="16"/>
              </w:rPr>
              <w:t xml:space="preserve">4th Grade</w:t>
            </w:r>
          </w:p>
        </w:tc>
        <w:tc>
          <w:tcPr>
            <w:tcW w:type="dxa" w:w="34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5A6577"/>
                <w:sz w:val="18"/>
                <w:szCs w:val="18"/>
              </w:rPr>
              <w:t xml:space="preserve">ELA comprehension approximately 2 years below grade level. Math at grade level. CS above grade level. Traditional reading interventions have not produced measurable gains. Student excels when content is delivered through visual and interactive modalities.</w:t>
            </w:r>
          </w:p>
        </w:tc>
        <w:tc>
          <w:tcPr>
            <w:tcW w:type="dxa" w:w="3200"/>
            <w:tcBorders>
              <w:top w:val="single" w:color="E2E6ED" w:sz="1"/>
              <w:left w:val="single" w:color="E2E6ED" w:sz="1"/>
              <w:bottom w:val="single" w:color="E2E6ED" w:sz="1"/>
              <w:right w:val="single" w:color="E2E6ED" w:sz="1"/>
            </w:tcBorders>
            <w:tcMar>
              <w:top w:type="dxa" w:w="80"/>
              <w:left w:type="dxa" w:w="140"/>
              <w:bottom w:type="dxa" w:w="80"/>
              <w:right w:type="dxa" w:w="140"/>
            </w:tcMar>
          </w:tcPr>
          <w:p>
            <w:pPr>
              <w:spacing w:line="280"/>
            </w:pPr>
            <w:r>
              <w:rPr>
                <w:rFonts w:ascii="Georgia" w:cs="Georgia" w:eastAsia="Georgia" w:hAnsi="Georgia"/>
                <w:color w:val="1B2A4A"/>
                <w:sz w:val="18"/>
                <w:szCs w:val="18"/>
              </w:rPr>
              <w:t xml:space="preserve">Restructure reading exposure through multimedia-first approach: graphic organizers, video-paired text, image-annotated passages. Maintain current math and CS trajectory. Do not reduce STEAM time for additional reading drill.</w:t>
            </w:r>
          </w:p>
        </w:tc>
        <w:tc>
          <w:tcPr>
            <w:tcW w:type="dxa" w:w="1160"/>
            <w:tcBorders>
              <w:top w:val="single" w:color="E2E6ED" w:sz="1"/>
              <w:left w:val="single" w:color="E2E6ED" w:sz="1"/>
              <w:bottom w:val="single" w:color="E2E6ED" w:sz="1"/>
              <w:right w:val="single" w:color="E2E6ED" w:sz="1"/>
            </w:tcBorders>
            <w:shd w:fill="FCE8EA" w:val="clear"/>
            <w:tcMar>
              <w:top w:type="dxa" w:w="80"/>
              <w:left w:type="dxa" w:w="140"/>
              <w:bottom w:type="dxa" w:w="80"/>
              <w:right w:type="dxa" w:w="140"/>
            </w:tcMar>
            <w:vAlign w:val="center"/>
          </w:tcPr>
          <w:p>
            <w:pPr>
              <w:jc w:val="center"/>
            </w:pPr>
            <w:r>
              <w:rPr>
                <w:rFonts w:ascii="Arial" w:cs="Arial" w:eastAsia="Arial" w:hAnsi="Arial"/>
                <w:b/>
                <w:bCs/>
                <w:color w:val="E25C6A"/>
                <w:sz w:val="15"/>
                <w:szCs w:val="15"/>
              </w:rPr>
              <w:t xml:space="preserve">Pending</w:t>
            </w:r>
          </w:p>
        </w:tc>
      </w:tr>
    </w:tbl>
    <w:p>
      <w:pPr>
        <w:spacing w:before="200" w:after="0"/>
      </w:pPr>
    </w:p>
    <w:p>
      <w:pPr>
        <w:spacing w:before="0" w:after="140" w:line="340"/>
        <w:jc w:val="left"/>
      </w:pPr>
      <w:r>
        <w:rPr>
          <w:rFonts w:ascii="Georgia" w:cs="Georgia" w:eastAsia="Georgia" w:hAnsi="Georgia"/>
          <w:color w:val="5A6577"/>
          <w:sz w:val="21"/>
          <w:szCs w:val="21"/>
        </w:rPr>
        <w:t xml:space="preserve">Six representative recommendations are shown above from the 44 students in the persistent challenge category. Complete recommendations for all students are available in the digital report accessible through the Crown’s Eye administrator dashboard, including detailed learning pattern analyses, historical response to previous adjustments, and projected impact timelines.</w:t>
      </w:r>
    </w:p>
    <w:p>
      <w:r>
        <w:br w:type="page"/>
      </w:r>
    </w:p>
    <w:p>
      <w:pPr>
        <w:pBdr>
          <w:bottom w:val="single" w:color="C9A84C" w:sz="3" w:space="10"/>
        </w:pBdr>
        <w:spacing w:before="420" w:after="200"/>
      </w:pPr>
      <w:r>
        <w:rPr>
          <w:rFonts w:ascii="Georgia" w:cs="Georgia" w:eastAsia="Georgia" w:hAnsi="Georgia"/>
          <w:b/>
          <w:bCs/>
          <w:color w:val="1B2A4A"/>
          <w:spacing w:val="100"/>
          <w:sz w:val="24"/>
          <w:szCs w:val="24"/>
        </w:rPr>
        <w:t xml:space="preserve">STEAM STANDARDS COVERAGE</w:t>
      </w:r>
    </w:p>
    <w:p>
      <w:pPr>
        <w:spacing w:before="0" w:after="140" w:line="340"/>
        <w:jc w:val="left"/>
      </w:pPr>
      <w:r>
        <w:rPr>
          <w:rFonts w:ascii="Georgia" w:cs="Georgia" w:eastAsia="Georgia" w:hAnsi="Georgia"/>
          <w:color w:val="5A6577"/>
          <w:sz w:val="21"/>
          <w:szCs w:val="21"/>
        </w:rPr>
        <w:t xml:space="preserve">A central objective of Crown’s Eye implementation at Shadow Rock is building verifiable STEAM integration without requiring significant curricular overhaul or additional staffing. The following tracks progress toward STEAM school certification indicators using existing Georgia Standards of Excellence pacing.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Subject</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Coverage</w:t>
            </w:r>
          </w:p>
        </w:tc>
        <w:tc>
          <w:tcPr>
            <w:tcW w:type="dxa" w:w="200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center"/>
            </w:pPr>
            <w:r>
              <w:rPr>
                <w:rFonts w:ascii="Arial" w:cs="Arial" w:eastAsia="Arial" w:hAnsi="Arial"/>
                <w:b/>
                <w:bCs/>
                <w:color w:val="FFFFFF"/>
                <w:spacing w:val="20"/>
                <w:sz w:val="16"/>
                <w:szCs w:val="16"/>
              </w:rPr>
              <w:t xml:space="preserve">EOY Target</w:t>
            </w:r>
          </w:p>
        </w:tc>
        <w:tc>
          <w:tcPr>
            <w:tcW w:type="dxa" w:w="3560"/>
            <w:tcBorders>
              <w:top w:val="single" w:color="E2E6ED" w:sz="1"/>
              <w:left w:val="single" w:color="E2E6ED" w:sz="1"/>
              <w:bottom w:val="single" w:color="E2E6ED" w:sz="1"/>
              <w:right w:val="single" w:color="E2E6ED" w:sz="1"/>
            </w:tcBorders>
            <w:shd w:fill="1B2A4A" w:val="clear"/>
            <w:tcMar>
              <w:top w:type="dxa" w:w="80"/>
              <w:left w:type="dxa" w:w="140"/>
              <w:bottom w:type="dxa" w:w="80"/>
              <w:right w:type="dxa" w:w="140"/>
            </w:tcMar>
            <w:vAlign w:val="center"/>
          </w:tcPr>
          <w:p>
            <w:pPr>
              <w:jc w:val="left"/>
            </w:pPr>
            <w:r>
              <w:rPr>
                <w:rFonts w:ascii="Arial" w:cs="Arial" w:eastAsia="Arial" w:hAnsi="Arial"/>
                <w:b/>
                <w:bCs/>
                <w:color w:val="FFFFFF"/>
                <w:spacing w:val="20"/>
                <w:sz w:val="16"/>
                <w:szCs w:val="16"/>
              </w:rPr>
              <w:t xml:space="preserve">Status &amp; Notes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ELA</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76%</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90%</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2ECC87"/>
                <w:sz w:val="18"/>
                <w:szCs w:val="18"/>
              </w:rPr>
              <w:t xml:space="preserve">On track. Integrated across all STEAM scenarios.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Mathematics</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71%</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85%</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2ECC87"/>
                <w:sz w:val="18"/>
                <w:szCs w:val="18"/>
              </w:rPr>
              <w:t xml:space="preserve">On track. Measurement and data units accelerating through design challenges.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Science</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52%</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70%</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5BA4D9"/>
                <w:sz w:val="18"/>
                <w:szCs w:val="18"/>
              </w:rPr>
              <w:t xml:space="preserve">On pace. Life science and earth science units launching Q4 scenarios.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Computer Sci</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34%</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55%</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5BA4D9"/>
                <w:sz w:val="18"/>
                <w:szCs w:val="18"/>
              </w:rPr>
              <w:t xml:space="preserve">On pace. Sequential logic and conditionals embedded in weekly scenarios.</w:t>
            </w:r>
          </w:p>
        </w:tc>
      </w:tr>
      <w:tr>
        <w:tc>
          <w:tcPr>
            <w:tcW w:type="dxa" w:w="18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1B2A4A"/>
                <w:sz w:val="20"/>
                <w:szCs w:val="20"/>
              </w:rPr>
              <w:t xml:space="preserve">Engineering</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bCs/>
                <w:color w:val="1B2A4A"/>
                <w:sz w:val="24"/>
                <w:szCs w:val="24"/>
              </w:rPr>
              <w:t xml:space="preserve">28%</w:t>
            </w:r>
          </w:p>
        </w:tc>
        <w:tc>
          <w:tcPr>
            <w:tcW w:type="dxa" w:w="200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center"/>
            </w:pPr>
            <w:r>
              <w:rPr>
                <w:rFonts w:ascii="Georgia" w:cs="Georgia" w:eastAsia="Georgia" w:hAnsi="Georgia"/>
                <w:b w:val="false"/>
                <w:bCs w:val="false"/>
                <w:color w:val="5A6577"/>
                <w:sz w:val="20"/>
                <w:szCs w:val="20"/>
              </w:rPr>
              <w:t xml:space="preserve">45%</w:t>
            </w:r>
          </w:p>
        </w:tc>
        <w:tc>
          <w:tcPr>
            <w:tcW w:type="dxa" w:w="3560"/>
            <w:tcBorders>
              <w:top w:val="single" w:color="E2E6ED" w:sz="1"/>
              <w:left w:val="single" w:color="E2E6ED" w:sz="1"/>
              <w:bottom w:val="single" w:color="E2E6ED" w:sz="1"/>
              <w:right w:val="single" w:color="E2E6ED" w:sz="1"/>
            </w:tcBorders>
            <w:tcMar>
              <w:top w:type="dxa" w:w="80"/>
              <w:left w:type="dxa" w:w="140"/>
              <w:bottom w:type="dxa" w:w="80"/>
              <w:right w:type="dxa" w:w="140"/>
            </w:tcMar>
            <w:vAlign w:val="center"/>
          </w:tcPr>
          <w:p>
            <w:pPr>
              <w:spacing w:line="300"/>
              <w:jc w:val="left"/>
            </w:pPr>
            <w:r>
              <w:rPr>
                <w:rFonts w:ascii="Georgia" w:cs="Georgia" w:eastAsia="Georgia" w:hAnsi="Georgia"/>
                <w:b/>
                <w:bCs/>
                <w:color w:val="F5A623"/>
                <w:sz w:val="18"/>
                <w:szCs w:val="18"/>
              </w:rPr>
              <w:t xml:space="preserve">Early stage. Design thinking challenges increasing frequency in Q4.</w:t>
            </w:r>
          </w:p>
        </w:tc>
      </w:tr>
    </w:tbl>
    <w:p>
      <w:pPr>
        <w:spacing w:before="200" w:after="0"/>
      </w:pPr>
    </w:p>
    <w:p>
      <w:pPr>
        <w:spacing w:before="0" w:after="140" w:line="340"/>
        <w:jc w:val="left"/>
      </w:pPr>
      <w:r>
        <w:rPr>
          <w:rFonts w:ascii="Georgia" w:cs="Georgia" w:eastAsia="Georgia" w:hAnsi="Georgia"/>
          <w:color w:val="5A6577"/>
          <w:sz w:val="21"/>
          <w:szCs w:val="21"/>
        </w:rPr>
        <w:t xml:space="preserve">Shadow Rock currently meets three of five STEAM school certification indicators. Computer Science and Engineering Design coverage are projected to reach threshold by end of year based on current scenario pacing. This progression has been achieved without adding specialized STEM teachers or purchasing separate STEM curriculum—the integration occurs within the existing GSE-aligned pacing through Recess scenario design.</w:t>
      </w:r>
    </w:p>
    <w:p>
      <w:pPr>
        <w:pBdr>
          <w:left w:val="single" w:color="C9A84C" w:sz="6" w:space="12"/>
        </w:pBdr>
        <w:spacing w:before="160" w:after="160" w:line="340"/>
        <w:ind w:left="480" w:right="480"/>
      </w:pPr>
      <w:r>
        <w:rPr>
          <w:rFonts w:ascii="Georgia" w:cs="Georgia" w:eastAsia="Georgia" w:hAnsi="Georgia"/>
          <w:i/>
          <w:iCs/>
          <w:color w:val="2D4270"/>
          <w:sz w:val="21"/>
          <w:szCs w:val="21"/>
        </w:rPr>
        <w:t xml:space="preserve">The path to STEAM certification does not require Shadow Rock to become a different school. It requires Shadow Rock to make visible the cross-subject connections that already exist in rigorous instruction—and to add the Computer Science and Engineering components that current platforms structurally cannot provide.</w:t>
      </w:r>
    </w:p>
    <w:p>
      <w:pPr>
        <w:pBdr>
          <w:bottom w:val="single" w:color="C9A84C" w:sz="3" w:space="10"/>
        </w:pBdr>
        <w:spacing w:before="420" w:after="200"/>
      </w:pPr>
      <w:r>
        <w:rPr>
          <w:rFonts w:ascii="Georgia" w:cs="Georgia" w:eastAsia="Georgia" w:hAnsi="Georgia"/>
          <w:b/>
          <w:bCs/>
          <w:color w:val="1B2A4A"/>
          <w:spacing w:val="100"/>
          <w:sz w:val="24"/>
          <w:szCs w:val="24"/>
        </w:rPr>
        <w:t xml:space="preserve">HORIZON EXIT SUSTAINABILITY ANALYSIS</w:t>
      </w:r>
    </w:p>
    <w:p>
      <w:pPr>
        <w:spacing w:before="0" w:after="140" w:line="340"/>
        <w:jc w:val="left"/>
      </w:pPr>
      <w:r>
        <w:rPr>
          <w:rFonts w:ascii="Georgia" w:cs="Georgia" w:eastAsia="Georgia" w:hAnsi="Georgia"/>
          <w:color w:val="5A6577"/>
          <w:sz w:val="21"/>
          <w:szCs w:val="21"/>
        </w:rPr>
        <w:t xml:space="preserve">Shadow Rock’s removal from the Horizon Schools designation represents years of focused effort by Dr. Rice, the administrative team, and the teaching staff. The risk every turnaround school faces is regression—returning to old patterns once the urgency of the designation fades.</w:t>
      </w:r>
    </w:p>
    <w:p>
      <w:pPr>
        <w:spacing w:before="0" w:after="140" w:line="340"/>
        <w:jc w:val="left"/>
      </w:pPr>
      <w:r>
        <w:rPr>
          <w:rFonts w:ascii="Georgia" w:cs="Georgia" w:eastAsia="Georgia" w:hAnsi="Georgia"/>
          <w:color w:val="5A6577"/>
          <w:sz w:val="21"/>
          <w:szCs w:val="21"/>
        </w:rPr>
        <w:t xml:space="preserve">Crown’s Eye addresses this risk structurally rather than relying on sustained urgency. The platform’s continuous assessment eliminates the diagnostic testing cycle that consumed instructional weeks. The differentiated scaffolding ensures every student receives appropriately leveled instruction regardless of individual teacher capacity. The governance cascade ensures that struggling students are identified and supported through evidence-based recommendations with administrative oversight, not left to chance.</w:t>
      </w:r>
    </w:p>
    <w:p>
      <w:pPr>
        <w:spacing w:before="0" w:after="140" w:line="340"/>
        <w:jc w:val="left"/>
      </w:pPr>
      <w:r>
        <w:rPr>
          <w:rFonts w:ascii="Georgia" w:cs="Georgia" w:eastAsia="Georgia" w:hAnsi="Georgia"/>
          <w:color w:val="5A6577"/>
          <w:sz w:val="21"/>
          <w:szCs w:val="21"/>
        </w:rPr>
        <w:t xml:space="preserve">And the STEAM integration gives Shadow Rock a forward identity—not a school recovering from deficiency, but a school building toward certification. This is the institutional narrative that sustains momentum after the urgency of the list fades.</w:t>
      </w:r>
    </w:p>
    <w:p>
      <w:pPr>
        <w:pBdr>
          <w:left w:val="single" w:color="C9A84C" w:sz="6" w:space="12"/>
        </w:pBdr>
        <w:spacing w:before="160" w:after="160" w:line="340"/>
        <w:ind w:left="480" w:right="480"/>
      </w:pPr>
      <w:r>
        <w:rPr>
          <w:rFonts w:ascii="Georgia" w:cs="Georgia" w:eastAsia="Georgia" w:hAnsi="Georgia"/>
          <w:i/>
          <w:iCs/>
          <w:color w:val="2D4270"/>
          <w:sz w:val="21"/>
          <w:szCs w:val="21"/>
        </w:rPr>
        <w:t xml:space="preserve">This is the difference between a school that was removed from a list and a school that has become something new.</w:t>
      </w:r>
    </w:p>
    <w:p>
      <w:pPr>
        <w:pBdr>
          <w:bottom w:val="single" w:color="C9A84C" w:sz="3" w:space="10"/>
        </w:pBdr>
        <w:spacing w:before="420" w:after="200"/>
      </w:pPr>
      <w:r>
        <w:rPr>
          <w:rFonts w:ascii="Georgia" w:cs="Georgia" w:eastAsia="Georgia" w:hAnsi="Georgia"/>
          <w:b/>
          <w:bCs/>
          <w:color w:val="1B2A4A"/>
          <w:spacing w:val="100"/>
          <w:sz w:val="24"/>
          <w:szCs w:val="24"/>
        </w:rPr>
        <w:t xml:space="preserve">ADMINISTRATIVE ACTIONS REQUIRED</w:t>
      </w:r>
    </w:p>
    <w:p>
      <w:pPr>
        <w:spacing w:before="40" w:after="0"/>
      </w:pPr>
    </w:p>
    <w:p>
      <w:pPr>
        <w:spacing w:after="100" w:line="340"/>
      </w:pPr>
      <w:r>
        <w:rPr>
          <w:rFonts w:ascii="Georgia" w:cs="Georgia" w:eastAsia="Georgia" w:hAnsi="Georgia"/>
          <w:b/>
          <w:bCs/>
          <w:color w:val="1B2A4A"/>
          <w:sz w:val="21"/>
          <w:szCs w:val="21"/>
        </w:rPr>
        <w:t xml:space="preserve">1.  Review and approve or modify </w:t>
      </w:r>
      <w:r>
        <w:rPr>
          <w:rFonts w:ascii="Georgia" w:cs="Georgia" w:eastAsia="Georgia" w:hAnsi="Georgia"/>
          <w:color w:val="5A6577"/>
          <w:sz w:val="21"/>
          <w:szCs w:val="21"/>
        </w:rPr>
        <w:t xml:space="preserve">the 44 Support Adjustment Recommendations in the Crown’s Eye dashboard. Priority: the 6 students flagged in this brief as having persistent reading challenges entering middle school transition years.</w:t>
      </w:r>
    </w:p>
    <w:p>
      <w:pPr>
        <w:spacing w:before="40" w:after="0"/>
      </w:pPr>
    </w:p>
    <w:p>
      <w:pPr>
        <w:spacing w:after="100" w:line="340"/>
      </w:pPr>
      <w:r>
        <w:rPr>
          <w:rFonts w:ascii="Georgia" w:cs="Georgia" w:eastAsia="Georgia" w:hAnsi="Georgia"/>
          <w:b/>
          <w:bCs/>
          <w:color w:val="1B2A4A"/>
          <w:sz w:val="21"/>
          <w:szCs w:val="21"/>
        </w:rPr>
        <w:t xml:space="preserve">2.  Schedule grade-level team reviews </w:t>
      </w:r>
      <w:r>
        <w:rPr>
          <w:rFonts w:ascii="Georgia" w:cs="Georgia" w:eastAsia="Georgia" w:hAnsi="Georgia"/>
          <w:color w:val="5A6577"/>
          <w:sz w:val="21"/>
          <w:szCs w:val="21"/>
        </w:rPr>
        <w:t xml:space="preserve">for 2nd grade mathematics (stalling trajectory) and 5th grade engagement (attendance-correlated decline). Dashboard data is pre-formatted for these conversations.</w:t>
      </w:r>
    </w:p>
    <w:p>
      <w:pPr>
        <w:spacing w:before="40" w:after="0"/>
      </w:pPr>
    </w:p>
    <w:p>
      <w:pPr>
        <w:spacing w:after="100" w:line="340"/>
      </w:pPr>
      <w:r>
        <w:rPr>
          <w:rFonts w:ascii="Georgia" w:cs="Georgia" w:eastAsia="Georgia" w:hAnsi="Georgia"/>
          <w:b/>
          <w:bCs/>
          <w:color w:val="1B2A4A"/>
          <w:sz w:val="21"/>
          <w:szCs w:val="21"/>
        </w:rPr>
        <w:t xml:space="preserve">3.  Confirm Q4 scenario pacing </w:t>
      </w:r>
      <w:r>
        <w:rPr>
          <w:rFonts w:ascii="Georgia" w:cs="Georgia" w:eastAsia="Georgia" w:hAnsi="Georgia"/>
          <w:color w:val="5A6577"/>
          <w:sz w:val="21"/>
          <w:szCs w:val="21"/>
        </w:rPr>
        <w:t xml:space="preserve">with instructional coaches to ensure Science and Engineering coverage targets are achievable within remaining instructional weeks.</w:t>
      </w:r>
    </w:p>
    <w:p>
      <w:pPr>
        <w:spacing w:before="40" w:after="0"/>
      </w:pPr>
    </w:p>
    <w:p>
      <w:pPr>
        <w:spacing w:after="100" w:line="340"/>
      </w:pPr>
      <w:r>
        <w:rPr>
          <w:rFonts w:ascii="Georgia" w:cs="Georgia" w:eastAsia="Georgia" w:hAnsi="Georgia"/>
          <w:b/>
          <w:bCs/>
          <w:color w:val="1B2A4A"/>
          <w:sz w:val="21"/>
          <w:szCs w:val="21"/>
        </w:rPr>
        <w:t xml:space="preserve">4.  Prepare district presentation materials </w:t>
      </w:r>
      <w:r>
        <w:rPr>
          <w:rFonts w:ascii="Georgia" w:cs="Georgia" w:eastAsia="Georgia" w:hAnsi="Georgia"/>
          <w:color w:val="5A6577"/>
          <w:sz w:val="21"/>
          <w:szCs w:val="21"/>
        </w:rPr>
        <w:t xml:space="preserve">using this brief as the foundation. A district-formatted version with aggregated data and redacted student identifiers is available for export.</w:t>
      </w:r>
    </w:p>
    <w:p>
      <w:pPr>
        <w:spacing w:before="40" w:after="0"/>
      </w:pPr>
    </w:p>
    <w:p>
      <w:pPr>
        <w:spacing w:after="100" w:line="340"/>
      </w:pPr>
      <w:r>
        <w:rPr>
          <w:rFonts w:ascii="Georgia" w:cs="Georgia" w:eastAsia="Georgia" w:hAnsi="Georgia"/>
          <w:b/>
          <w:bCs/>
          <w:color w:val="1B2A4A"/>
          <w:sz w:val="21"/>
          <w:szCs w:val="21"/>
        </w:rPr>
        <w:t xml:space="preserve">5.  Schedule family engagement sessions </w:t>
      </w:r>
      <w:r>
        <w:rPr>
          <w:rFonts w:ascii="Georgia" w:cs="Georgia" w:eastAsia="Georgia" w:hAnsi="Georgia"/>
          <w:color w:val="5A6577"/>
          <w:sz w:val="21"/>
          <w:szCs w:val="21"/>
        </w:rPr>
        <w:t xml:space="preserve">for the persistent challenge cohort, with particular attention to students whose attendance patterns correlate with academic decline.</w:t>
      </w:r>
    </w:p>
    <w:p>
      <w:pPr>
        <w:spacing w:before="600" w:after="0"/>
      </w:pPr>
    </w:p>
    <w:p>
      <w:pPr>
        <w:jc w:val="center"/>
      </w:pPr>
      <w:r>
        <w:rPr>
          <w:rFonts w:ascii="Georgia" w:cs="Georgia" w:eastAsia="Georgia" w:hAnsi="Georgia"/>
          <w:color w:val="C9A84C"/>
          <w:sz w:val="20"/>
          <w:szCs w:val="20"/>
        </w:rPr>
        <w:t xml:space="preserve">◇</w:t>
      </w:r>
    </w:p>
    <w:p>
      <w:pPr>
        <w:spacing w:before="80" w:after="0"/>
      </w:pPr>
    </w:p>
    <w:p>
      <w:pPr>
        <w:pBdr>
          <w:top w:val="single" w:color="C9A84C" w:sz="2" w:space="16"/>
        </w:pBdr>
        <w:spacing w:before="100" w:after="60"/>
        <w:jc w:val="center"/>
      </w:pPr>
      <w:r>
        <w:rPr>
          <w:rFonts w:ascii="Arial" w:cs="Arial" w:eastAsia="Arial" w:hAnsi="Arial"/>
          <w:color w:val="5A6577"/>
          <w:sz w:val="17"/>
          <w:szCs w:val="17"/>
        </w:rPr>
        <w:t xml:space="preserve">Crown’s Eye  ·  Recess Education Platform</w:t>
      </w:r>
    </w:p>
    <w:p>
      <w:pPr>
        <w:spacing w:after="40"/>
        <w:jc w:val="center"/>
      </w:pPr>
      <w:r>
        <w:rPr>
          <w:rFonts w:ascii="Arial" w:cs="Arial" w:eastAsia="Arial" w:hAnsi="Arial"/>
          <w:color w:val="8A94A6"/>
          <w:sz w:val="16"/>
          <w:szCs w:val="16"/>
        </w:rPr>
        <w:t xml:space="preserve">Meridia Holdings LLC  ·  Governance as a Service</w:t>
      </w:r>
    </w:p>
    <w:p>
      <w:pPr>
        <w:jc w:val="center"/>
      </w:pPr>
      <w:r>
        <w:rPr>
          <w:rFonts w:ascii="Arial" w:cs="Arial" w:eastAsia="Arial" w:hAnsi="Arial"/>
          <w:color w:val="8A94A6"/>
          <w:sz w:val="14"/>
          <w:szCs w:val="14"/>
        </w:rPr>
        <w:t xml:space="preserve">Report generated March 3, 2026  ·  Data current through Week 26  ·  Next brief: May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1" w:space="8"/>
      </w:pBdr>
      <w:tabs>
        <w:tab w:val="right" w:pos="9026"/>
      </w:tabs>
    </w:pPr>
    <w:r>
      <w:rPr>
        <w:rFonts w:ascii="Arial" w:cs="Arial" w:eastAsia="Arial" w:hAnsi="Arial"/>
        <w:color w:val="8A94A6"/>
        <w:sz w:val="14"/>
        <w:szCs w:val="14"/>
      </w:rPr>
      <w:t xml:space="preserve">Internal — Administrative Review  ·  Crown’s Eye  ·  Meridia Holdings LLC</w:t>
    </w:r>
    <w:r>
      <w:rPr>
        <w:rFonts w:ascii="Arial" w:cs="Arial" w:eastAsia="Arial" w:hAnsi="Arial"/>
        <w:color w:val="8A94A6"/>
        <w:sz w:val="14"/>
        <w:szCs w:val="14"/>
      </w:rPr>
      <w:t xml:space="preserve">	Page </w:t>
    </w:r>
    <w:r>
      <w:rPr>
        <w:rFonts w:ascii="Arial" w:cs="Arial" w:eastAsia="Arial" w:hAnsi="Arial"/>
        <w:color w:val="8A94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6ED" w:sz="1" w:space="8"/>
      </w:pBdr>
      <w:tabs>
        <w:tab w:val="right" w:pos="9026"/>
      </w:tabs>
      <w:spacing w:after="200"/>
    </w:pPr>
    <w:r>
      <w:rPr>
        <w:rFonts w:ascii="Arial" w:cs="Arial" w:eastAsia="Arial" w:hAnsi="Arial"/>
        <w:b/>
        <w:bCs/>
        <w:color w:val="C9A84C"/>
        <w:spacing w:val="80"/>
        <w:sz w:val="14"/>
        <w:szCs w:val="14"/>
      </w:rPr>
      <w:t xml:space="preserve">CROWN’S EYE</w:t>
    </w:r>
    <w:r>
      <w:rPr>
        <w:rFonts w:ascii="Arial" w:cs="Arial" w:eastAsia="Arial" w:hAnsi="Arial"/>
        <w:color w:val="8A94A6"/>
        <w:sz w:val="14"/>
        <w:szCs w:val="14"/>
      </w:rPr>
      <w:t xml:space="preserve">	Shadow Rock Elementary  ·  Q3 Intelligence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Georgia" w:cs="Georgia" w:eastAsia="Georgia" w:hAnsi="Georgia"/>
      <w:b/>
      <w:bCs/>
      <w:color w:val="1B2A4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2026-03-03T18:05:00.351Z</dcterms:created>
  <dcterms:modified xsi:type="dcterms:W3CDTF">2026-03-03T18:05:00.351Z</dcterms:modified>
</cp:coreProperties>
</file>

<file path=docProps/custom.xml><?xml version="1.0" encoding="utf-8"?>
<Properties xmlns="http://schemas.openxmlformats.org/officeDocument/2006/custom-properties" xmlns:vt="http://schemas.openxmlformats.org/officeDocument/2006/docPropsVTypes"/>
</file>