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aramond" w:cs="Garamond" w:eastAsia="Garamond" w:hAnsi="Garamond"/>
          <w:color w:val="C9A84C"/>
          <w:spacing w:val="40"/>
          <w:sz w:val="18"/>
          <w:szCs w:val="18"/>
        </w:rPr>
        <w:t xml:space="preserve">SHADOW ROCK ELEMENTARY  ·  DEKALB COUNTY SCHOOL DISTRICT</w:t>
      </w:r>
    </w:p>
    <w:p>
      <w:pPr>
        <w:spacing w:after="60" w:before="0"/>
      </w:pPr>
      <w:r>
        <w:rPr>
          <w:rFonts w:ascii="Garamond" w:cs="Garamond" w:eastAsia="Garamond" w:hAnsi="Garamond"/>
          <w:b/>
          <w:bCs/>
          <w:color w:val="1A1A2E"/>
          <w:sz w:val="40"/>
          <w:szCs w:val="40"/>
        </w:rPr>
        <w:t xml:space="preserve">Mathematics Assessment Wrap-Up</w:t>
      </w:r>
    </w:p>
    <w:p>
      <w:pPr>
        <w:pBdr>
          <w:bottom w:val="single" w:color="1A1A2E" w:sz="6" w:space="8"/>
        </w:pBdr>
        <w:spacing w:after="280" w:before="0"/>
      </w:pPr>
      <w:r>
        <w:rPr>
          <w:rFonts w:ascii="Garamond" w:cs="Garamond" w:eastAsia="Garamond" w:hAnsi="Garamond"/>
          <w:color w:val="64748B"/>
          <w:sz w:val="20"/>
          <w:szCs w:val="20"/>
        </w:rPr>
        <w:t xml:space="preserve">Georgia Milestones Spring 2026  ·  Grades 3–5  ·  Prepared May 2026</w:t>
      </w:r>
    </w:p>
    <w:p>
      <w:pPr>
        <w:spacing w:after="160" w:before="0"/>
      </w:pPr>
      <w:r>
        <w:rPr>
          <w:rFonts w:ascii="Garamond" w:cs="Garamond" w:eastAsia="Garamond" w:hAnsi="Garamond"/>
          <w:color w:val="1A1A2E"/>
          <w:sz w:val="24"/>
          <w:szCs w:val="24"/>
        </w:rPr>
        <w:t xml:space="preserve">This document summarizes the findings from the Spring 2026 Georgia Milestones mathematics assessment review for Shadow Rock Elementary, covering Grades 3, 4, and 5. It is intended to frame what the data shows, what it means for the students sitting in front of you, and what becomes possible when intervention happens early and consistently.</w:t>
      </w:r>
    </w:p>
    <w:p>
      <w:pPr>
        <w:spacing w:after="160" w:before="0"/>
      </w:pPr>
      <w:r>
        <w:rPr>
          <w:rFonts w:ascii="Garamond" w:cs="Garamond" w:eastAsia="Garamond" w:hAnsi="Garamond"/>
          <w:color w:val="1A1A2E"/>
          <w:sz w:val="24"/>
          <w:szCs w:val="24"/>
        </w:rPr>
        <w:t xml:space="preserve">The analysis reviewed 250 students across three grade levels, examining performance on every assessed math domain. The findings are significant — not because they reveal something new, but because they make visible what experienced teachers already sense: that what looks like a 5th grade problem is rarely a 5th grade problem.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7F5" w:val="clear"/>
            <w:tcMar>
              <w:top w:type="dxa" w:w="100"/>
              <w:left w:type="dxa" w:w="120"/>
              <w:bottom w:type="dxa" w:w="100"/>
              <w:right w:type="dxa" w:w="120"/>
            </w:tcMar>
          </w:tcPr>
          <w:p>
            <w:pPr>
              <w:jc w:val="center"/>
            </w:pPr>
            <w:r>
              <w:rPr>
                <w:rFonts w:ascii="Garamond" w:cs="Garamond" w:eastAsia="Garamond" w:hAnsi="Garamond"/>
                <w:b/>
                <w:bCs/>
                <w:color w:val="1A1A2E"/>
                <w:sz w:val="52"/>
                <w:szCs w:val="52"/>
              </w:rPr>
              <w:t xml:space="preserve">250</w:t>
            </w:r>
          </w:p>
          <w:p>
            <w:pPr>
              <w:jc w:val="center"/>
            </w:pPr>
            <w:r>
              <w:rPr>
                <w:rFonts w:ascii="Garamond" w:cs="Garamond" w:eastAsia="Garamond" w:hAnsi="Garamond"/>
                <w:color w:val="64748B"/>
                <w:sz w:val="18"/>
                <w:szCs w:val="18"/>
              </w:rPr>
              <w:t xml:space="preserve">Students Reviewed</w:t>
            </w:r>
          </w:p>
        </w:tc>
        <w:tc>
          <w:tcPr>
            <w:tcW w:type="dxa" w:w="2340"/>
            <w:tcBorders>
              <w:top w:val="none" w:color="FFFFFF" w:sz="0"/>
              <w:left w:val="none" w:color="FFFFFF" w:sz="0"/>
              <w:bottom w:val="none" w:color="FFFFFF" w:sz="0"/>
              <w:right w:val="none" w:color="FFFFFF" w:sz="0"/>
            </w:tcBorders>
            <w:shd w:fill="F8F7F5" w:val="clear"/>
            <w:tcMar>
              <w:top w:type="dxa" w:w="100"/>
              <w:left w:type="dxa" w:w="120"/>
              <w:bottom w:type="dxa" w:w="100"/>
              <w:right w:type="dxa" w:w="120"/>
            </w:tcMar>
          </w:tcPr>
          <w:p>
            <w:pPr>
              <w:jc w:val="center"/>
            </w:pPr>
            <w:r>
              <w:rPr>
                <w:rFonts w:ascii="Garamond" w:cs="Garamond" w:eastAsia="Garamond" w:hAnsi="Garamond"/>
                <w:b/>
                <w:bCs/>
                <w:color w:val="C0392B"/>
                <w:sz w:val="52"/>
                <w:szCs w:val="52"/>
              </w:rPr>
              <w:t xml:space="preserve">72%</w:t>
            </w:r>
          </w:p>
          <w:p>
            <w:pPr>
              <w:jc w:val="center"/>
            </w:pPr>
            <w:r>
              <w:rPr>
                <w:rFonts w:ascii="Garamond" w:cs="Garamond" w:eastAsia="Garamond" w:hAnsi="Garamond"/>
                <w:color w:val="64748B"/>
                <w:sz w:val="18"/>
                <w:szCs w:val="18"/>
              </w:rPr>
              <w:t xml:space="preserve">Below Target · 5th Gr. Fractions</w:t>
            </w:r>
          </w:p>
        </w:tc>
        <w:tc>
          <w:tcPr>
            <w:tcW w:type="dxa" w:w="2340"/>
            <w:tcBorders>
              <w:top w:val="none" w:color="FFFFFF" w:sz="0"/>
              <w:left w:val="none" w:color="FFFFFF" w:sz="0"/>
              <w:bottom w:val="none" w:color="FFFFFF" w:sz="0"/>
              <w:right w:val="none" w:color="FFFFFF" w:sz="0"/>
            </w:tcBorders>
            <w:shd w:fill="F8F7F5" w:val="clear"/>
            <w:tcMar>
              <w:top w:type="dxa" w:w="100"/>
              <w:left w:type="dxa" w:w="120"/>
              <w:bottom w:type="dxa" w:w="100"/>
              <w:right w:type="dxa" w:w="120"/>
            </w:tcMar>
          </w:tcPr>
          <w:p>
            <w:pPr>
              <w:jc w:val="center"/>
            </w:pPr>
            <w:r>
              <w:rPr>
                <w:rFonts w:ascii="Garamond" w:cs="Garamond" w:eastAsia="Garamond" w:hAnsi="Garamond"/>
                <w:b/>
                <w:bCs/>
                <w:color w:val="D68910"/>
                <w:sz w:val="52"/>
                <w:szCs w:val="52"/>
              </w:rPr>
              <w:t xml:space="preserve">61%</w:t>
            </w:r>
          </w:p>
          <w:p>
            <w:pPr>
              <w:jc w:val="center"/>
            </w:pPr>
            <w:r>
              <w:rPr>
                <w:rFonts w:ascii="Garamond" w:cs="Garamond" w:eastAsia="Garamond" w:hAnsi="Garamond"/>
                <w:color w:val="64748B"/>
                <w:sz w:val="18"/>
                <w:szCs w:val="18"/>
              </w:rPr>
              <w:t xml:space="preserve">Below Target · 3rd Gr. Mult./Div.</w:t>
            </w:r>
          </w:p>
        </w:tc>
        <w:tc>
          <w:tcPr>
            <w:tcW w:type="dxa" w:w="2340"/>
            <w:tcBorders>
              <w:top w:val="none" w:color="FFFFFF" w:sz="0"/>
              <w:left w:val="none" w:color="FFFFFF" w:sz="0"/>
              <w:bottom w:val="none" w:color="FFFFFF" w:sz="0"/>
              <w:right w:val="none" w:color="FFFFFF" w:sz="0"/>
            </w:tcBorders>
            <w:shd w:fill="F8F7F5" w:val="clear"/>
            <w:tcMar>
              <w:top w:type="dxa" w:w="100"/>
              <w:left w:type="dxa" w:w="120"/>
              <w:bottom w:type="dxa" w:w="100"/>
              <w:right w:type="dxa" w:w="120"/>
            </w:tcMar>
          </w:tcPr>
          <w:p>
            <w:pPr>
              <w:jc w:val="center"/>
            </w:pPr>
            <w:r>
              <w:rPr>
                <w:rFonts w:ascii="Garamond" w:cs="Garamond" w:eastAsia="Garamond" w:hAnsi="Garamond"/>
                <w:b/>
                <w:bCs/>
                <w:color w:val="64748B"/>
                <w:sz w:val="52"/>
                <w:szCs w:val="52"/>
              </w:rPr>
              <w:t xml:space="preserve">0</w:t>
            </w:r>
          </w:p>
          <w:p>
            <w:pPr>
              <w:jc w:val="center"/>
            </w:pPr>
            <w:r>
              <w:rPr>
                <w:rFonts w:ascii="Garamond" w:cs="Garamond" w:eastAsia="Garamond" w:hAnsi="Garamond"/>
                <w:color w:val="64748B"/>
                <w:sz w:val="18"/>
                <w:szCs w:val="18"/>
              </w:rPr>
              <w:t xml:space="preserve">Students Exceeded Any Domain</w:t>
            </w:r>
          </w:p>
        </w:tc>
      </w:tr>
    </w:tbl>
    <w:p>
      <w:pPr>
        <w:spacing w:after="0" w:before="200"/>
      </w:pPr>
    </w:p>
    <w:p>
      <w:pPr>
        <w:pStyle w:val="Heading1"/>
        <w:pBdr>
          <w:bottom w:val="single" w:color="C9A84C" w:sz="4" w:space="4"/>
        </w:pBdr>
        <w:spacing w:after="140" w:before="280"/>
      </w:pPr>
      <w:r>
        <w:rPr>
          <w:rFonts w:ascii="Garamond" w:cs="Garamond" w:eastAsia="Garamond" w:hAnsi="Garamond"/>
          <w:b/>
          <w:bCs/>
          <w:color w:val="1A1A2E"/>
          <w:sz w:val="30"/>
          <w:szCs w:val="30"/>
        </w:rPr>
        <w:t xml:space="preserve">What the Data Shows</w:t>
      </w:r>
    </w:p>
    <w:p>
      <w:pPr>
        <w:spacing w:after="160" w:before="0"/>
      </w:pPr>
      <w:r>
        <w:rPr>
          <w:rFonts w:ascii="Garamond" w:cs="Garamond" w:eastAsia="Garamond" w:hAnsi="Garamond"/>
          <w:color w:val="1A1A2E"/>
          <w:sz w:val="24"/>
          <w:szCs w:val="24"/>
        </w:rPr>
        <w:t xml:space="preserve">Across all three grades, the mathematics assessment revealed a consistent pattern: fraction concepts and multiplicative reasoning are the dominant areas of weakness, and that weakness runs through every grade level examined.</w:t>
      </w:r>
    </w:p>
    <w:p>
      <w:pPr>
        <w:pStyle w:val="Heading2"/>
        <w:spacing w:after="140" w:before="280"/>
      </w:pPr>
      <w:r>
        <w:rPr>
          <w:rFonts w:ascii="Garamond" w:cs="Garamond" w:eastAsia="Garamond" w:hAnsi="Garamond"/>
          <w:b/>
          <w:bCs/>
          <w:color w:val="1A1A2E"/>
          <w:sz w:val="26"/>
          <w:szCs w:val="26"/>
        </w:rPr>
        <w:t xml:space="preserve">5th Grade: The Retest Cohort</w:t>
      </w:r>
    </w:p>
    <w:p>
      <w:pPr>
        <w:spacing w:after="160" w:before="0"/>
      </w:pPr>
      <w:r>
        <w:rPr>
          <w:rFonts w:ascii="Garamond" w:cs="Garamond" w:eastAsia="Garamond" w:hAnsi="Garamond"/>
          <w:color w:val="1A1A2E"/>
          <w:sz w:val="24"/>
          <w:szCs w:val="24"/>
        </w:rPr>
        <w:t xml:space="preserve">78 students are retesting. Their average scale score is 478. Not a single student exceeded the target in any of the six assessed domains. The domain with the highest rate of failure — Operations with Fractions — showed 72% of students performing Below Target. Measurement Conversions, the relative bright spot, showed 63% Below Target.</w:t>
      </w:r>
    </w:p>
    <w:p>
      <w:pPr>
        <w:spacing w:after="160" w:before="0"/>
      </w:pPr>
      <w:r>
        <w:rPr>
          <w:rFonts w:ascii="Garamond" w:cs="Garamond" w:eastAsia="Garamond" w:hAnsi="Garamond"/>
          <w:color w:val="1A1A2E"/>
          <w:sz w:val="24"/>
          <w:szCs w:val="24"/>
        </w:rPr>
        <w:t xml:space="preserve">When every domain is dominated by Below Target performance, and no student is exceeding in any area, the data is not describing a skills gap. It is describing a foundational gap — one that began well before 5th grade.</w:t>
      </w:r>
    </w:p>
    <w:p>
      <w:pPr>
        <w:pStyle w:val="Heading2"/>
        <w:spacing w:after="140" w:before="280"/>
      </w:pPr>
      <w:r>
        <w:rPr>
          <w:rFonts w:ascii="Garamond" w:cs="Garamond" w:eastAsia="Garamond" w:hAnsi="Garamond"/>
          <w:b/>
          <w:bCs/>
          <w:color w:val="1A1A2E"/>
          <w:sz w:val="26"/>
          <w:szCs w:val="26"/>
        </w:rPr>
        <w:t xml:space="preserve">4th Grade: The Pipeline Warning</w:t>
      </w:r>
    </w:p>
    <w:p>
      <w:pPr>
        <w:spacing w:after="160" w:before="0"/>
      </w:pPr>
      <w:r>
        <w:rPr>
          <w:rFonts w:ascii="Garamond" w:cs="Garamond" w:eastAsia="Garamond" w:hAnsi="Garamond"/>
          <w:color w:val="1A1A2E"/>
          <w:sz w:val="24"/>
          <w:szCs w:val="24"/>
        </w:rPr>
        <w:t xml:space="preserve">88 students assessed. Fraction addition and subtraction — the direct prerequisite for 5th grade fraction work — showed 60% Below Target. The Decimals and Fractions domain, which feeds directly into 5th grade place value, showed 55% Below Target.</w:t>
      </w:r>
    </w:p>
    <w:p>
      <w:pPr>
        <w:spacing w:after="160" w:before="0"/>
      </w:pPr>
      <w:r>
        <w:rPr>
          <w:rFonts w:ascii="Garamond" w:cs="Garamond" w:eastAsia="Garamond" w:hAnsi="Garamond"/>
          <w:color w:val="1A1A2E"/>
          <w:sz w:val="24"/>
          <w:szCs w:val="24"/>
        </w:rPr>
        <w:t xml:space="preserve">The teacher-level data is the most significant finding in 4th grade. One classroom showed 35% Below Target on fractions. Three others showed 64–83%. The curriculum and the standards are the same. The difference is instructional — and that difference is worth a deeper conversation.</w:t>
      </w:r>
    </w:p>
    <w:p>
      <w:pPr>
        <w:pStyle w:val="Heading2"/>
        <w:spacing w:after="140" w:before="280"/>
      </w:pPr>
      <w:r>
        <w:rPr>
          <w:rFonts w:ascii="Garamond" w:cs="Garamond" w:eastAsia="Garamond" w:hAnsi="Garamond"/>
          <w:b/>
          <w:bCs/>
          <w:color w:val="1A1A2E"/>
          <w:sz w:val="26"/>
          <w:szCs w:val="26"/>
        </w:rPr>
        <w:t xml:space="preserve">3rd Grade: Where It Begins</w:t>
      </w:r>
    </w:p>
    <w:p>
      <w:pPr>
        <w:spacing w:after="160" w:before="0"/>
      </w:pPr>
      <w:r>
        <w:rPr>
          <w:rFonts w:ascii="Garamond" w:cs="Garamond" w:eastAsia="Garamond" w:hAnsi="Garamond"/>
          <w:color w:val="1A1A2E"/>
          <w:sz w:val="24"/>
          <w:szCs w:val="24"/>
        </w:rPr>
        <w:t xml:space="preserve">84 students assessed. Multiplication and Division within 100 — the computational foundation for everything that follows — showed 61% Below Target. Fraction representation, which children need before they can meaningfully access any fraction operation in 4th or 5th grade, showed 38% Below Target.</w:t>
      </w:r>
    </w:p>
    <w:p>
      <w:pPr>
        <w:spacing w:after="160" w:before="0"/>
      </w:pPr>
      <w:r>
        <w:rPr>
          <w:rFonts w:ascii="Garamond" w:cs="Garamond" w:eastAsia="Garamond" w:hAnsi="Garamond"/>
          <w:color w:val="1A1A2E"/>
          <w:sz w:val="24"/>
          <w:szCs w:val="24"/>
        </w:rPr>
        <w:t xml:space="preserve">These are not 3rd grade problems. These are the conditions that produce 5th grade retest cohorts.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8CC" w:sz="1"/>
              <w:left w:val="single" w:color="E0D8CC" w:sz="1"/>
              <w:bottom w:val="single" w:color="E0D8CC" w:sz="1"/>
              <w:right w:val="single" w:color="E0D8CC" w:sz="1"/>
            </w:tcBorders>
            <w:shd w:fill="F5EDD8" w:val="clear"/>
            <w:tcMar>
              <w:top w:type="dxa" w:w="120"/>
              <w:left w:type="dxa" w:w="180"/>
              <w:bottom w:type="dxa" w:w="120"/>
              <w:right w:type="dxa" w:w="180"/>
            </w:tcMar>
          </w:tcPr>
          <w:p>
            <w:pPr>
              <w:jc w:val="left"/>
            </w:pPr>
            <w:r>
              <w:rPr>
                <w:rFonts w:ascii="Garamond" w:cs="Garamond" w:eastAsia="Garamond" w:hAnsi="Garamond"/>
                <w:color w:val="1A1A2E"/>
                <w:sz w:val="22"/>
                <w:szCs w:val="22"/>
              </w:rPr>
              <w:t xml:space="preserve">The fraction prerequisite chain runs from 3rd grade representation through 4th grade operations to 5th grade unlike denominators. Every node in that chain tested Below Target across the cohort. A student who cannot represent fractions in 3rd grade cannot add them in 4th grade and cannot operate on them with unlike denominators in 5th grade. The retest is the end of the chain — not the beginning of the problem.</w:t>
            </w:r>
          </w:p>
        </w:tc>
      </w:tr>
    </w:tbl>
    <w:p>
      <w:pPr>
        <w:spacing w:after="0" w:before="200"/>
      </w:pPr>
    </w:p>
    <w:p>
      <w:pPr>
        <w:pStyle w:val="Heading1"/>
        <w:pBdr>
          <w:bottom w:val="single" w:color="C9A84C" w:sz="4" w:space="4"/>
        </w:pBdr>
        <w:spacing w:after="140" w:before="280"/>
      </w:pPr>
      <w:r>
        <w:rPr>
          <w:rFonts w:ascii="Garamond" w:cs="Garamond" w:eastAsia="Garamond" w:hAnsi="Garamond"/>
          <w:b/>
          <w:bCs/>
          <w:color w:val="1A1A2E"/>
          <w:sz w:val="30"/>
          <w:szCs w:val="30"/>
        </w:rPr>
        <w:t xml:space="preserve">What It Means for This Week</w:t>
      </w:r>
    </w:p>
    <w:p>
      <w:pPr>
        <w:spacing w:after="160" w:before="0"/>
      </w:pPr>
      <w:r>
        <w:rPr>
          <w:rFonts w:ascii="Garamond" w:cs="Garamond" w:eastAsia="Garamond" w:hAnsi="Garamond"/>
          <w:color w:val="1A1A2E"/>
          <w:sz w:val="24"/>
          <w:szCs w:val="24"/>
        </w:rPr>
        <w:t xml:space="preserve">The retest is scheduled in the next week or so. That window is too short to address foundational prerequisite gaps through instruction. What can happen this week:</w:t>
      </w:r>
    </w:p>
    <w:p>
      <w:pPr>
        <w:pStyle w:val="ListParagraph"/>
        <w:numPr>
          <w:ilvl w:val="0"/>
          <w:numId w:val="2"/>
        </w:numPr>
        <w:spacing w:after="80" w:before="0"/>
      </w:pPr>
      <w:r>
        <w:rPr>
          <w:rFonts w:ascii="Garamond" w:cs="Garamond" w:eastAsia="Garamond" w:hAnsi="Garamond"/>
          <w:color w:val="1A1A2E"/>
          <w:sz w:val="24"/>
          <w:szCs w:val="24"/>
        </w:rPr>
        <w:t xml:space="preserve">Verify IEP accommodations for all 10 Special Education students in the Tier 3 (Intensive) group. Extended time, read-aloud, and separate setting must be in place before the retest. This is the highest-leverage action available right now.</w:t>
      </w:r>
    </w:p>
    <w:p>
      <w:pPr>
        <w:pStyle w:val="ListParagraph"/>
        <w:numPr>
          <w:ilvl w:val="0"/>
          <w:numId w:val="2"/>
        </w:numPr>
        <w:spacing w:after="80" w:before="0"/>
      </w:pPr>
      <w:r>
        <w:rPr>
          <w:rFonts w:ascii="Garamond" w:cs="Garamond" w:eastAsia="Garamond" w:hAnsi="Garamond"/>
          <w:color w:val="1A1A2E"/>
          <w:sz w:val="24"/>
          <w:szCs w:val="24"/>
        </w:rPr>
        <w:t xml:space="preserve">Verify language supports for all 11 EL students in the retest cohort. Accommodations documented in their language support plans must be active on retest day.</w:t>
      </w:r>
    </w:p>
    <w:p>
      <w:pPr>
        <w:pStyle w:val="ListParagraph"/>
        <w:numPr>
          <w:ilvl w:val="0"/>
          <w:numId w:val="2"/>
        </w:numPr>
        <w:spacing w:after="80" w:before="0"/>
      </w:pPr>
      <w:r>
        <w:rPr>
          <w:rFonts w:ascii="Garamond" w:cs="Garamond" w:eastAsia="Garamond" w:hAnsi="Garamond"/>
          <w:color w:val="1A1A2E"/>
          <w:sz w:val="24"/>
          <w:szCs w:val="24"/>
        </w:rPr>
        <w:t xml:space="preserve">For the 28 Tier 1 students (scale scores ≥500), a focused review of 1–2 specific prerequisite gaps identified in the routing plan may produce measurable movement. These are the students closest to the threshold.</w:t>
      </w:r>
    </w:p>
    <w:p>
      <w:pPr>
        <w:pStyle w:val="ListParagraph"/>
        <w:numPr>
          <w:ilvl w:val="0"/>
          <w:numId w:val="2"/>
        </w:numPr>
        <w:spacing w:after="80" w:before="0"/>
      </w:pPr>
      <w:r>
        <w:rPr>
          <w:rFonts w:ascii="Garamond" w:cs="Garamond" w:eastAsia="Garamond" w:hAnsi="Garamond"/>
          <w:color w:val="1A1A2E"/>
          <w:sz w:val="24"/>
          <w:szCs w:val="24"/>
        </w:rPr>
        <w:t xml:space="preserve">For Tier 2 and Tier 3 students: honest expectation management. Most will not pass this retest. That is not a failure of preparation this week. It is a consequence of gaps that have been compounding across multiple grade levels. The routing plan is more valuable for what comes after the retest than for the retest itself.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8CC" w:sz="1"/>
              <w:left w:val="single" w:color="E0D8CC" w:sz="1"/>
              <w:bottom w:val="single" w:color="E0D8CC" w:sz="1"/>
              <w:right w:val="single" w:color="E0D8CC" w:sz="1"/>
            </w:tcBorders>
            <w:shd w:fill="FDF0EE" w:val="clear"/>
            <w:tcMar>
              <w:top w:type="dxa" w:w="120"/>
              <w:left w:type="dxa" w:w="180"/>
              <w:bottom w:type="dxa" w:w="120"/>
              <w:right w:type="dxa" w:w="180"/>
            </w:tcMar>
          </w:tcPr>
          <w:p>
            <w:pPr>
              <w:jc w:val="left"/>
            </w:pPr>
            <w:r>
              <w:rPr>
                <w:rFonts w:ascii="Garamond" w:cs="Garamond" w:eastAsia="Garamond" w:hAnsi="Garamond"/>
                <w:color w:val="C0392B"/>
                <w:sz w:val="22"/>
                <w:szCs w:val="22"/>
              </w:rPr>
              <w:t xml:space="preserve">The accommodation verification question for Special Education students should go to the SpEd coordinator today — not next week. This is a compliance and equity obligation that is independent of any instructional decision.</w:t>
            </w:r>
          </w:p>
        </w:tc>
      </w:tr>
    </w:tbl>
    <w:p>
      <w:pPr>
        <w:spacing w:after="0" w:before="200"/>
      </w:pPr>
    </w:p>
    <w:p>
      <w:pPr>
        <w:pStyle w:val="Heading1"/>
        <w:pBdr>
          <w:bottom w:val="single" w:color="C9A84C" w:sz="4" w:space="4"/>
        </w:pBdr>
        <w:spacing w:after="140" w:before="280"/>
      </w:pPr>
      <w:r>
        <w:rPr>
          <w:rFonts w:ascii="Garamond" w:cs="Garamond" w:eastAsia="Garamond" w:hAnsi="Garamond"/>
          <w:b/>
          <w:bCs/>
          <w:color w:val="1A1A2E"/>
          <w:sz w:val="30"/>
          <w:szCs w:val="30"/>
        </w:rPr>
        <w:t xml:space="preserve">What Becomes Possible with Consistent Early Intervention</w:t>
      </w:r>
    </w:p>
    <w:p>
      <w:pPr>
        <w:spacing w:after="160" w:before="0"/>
      </w:pPr>
      <w:r>
        <w:rPr>
          <w:rFonts w:ascii="Garamond" w:cs="Garamond" w:eastAsia="Garamond" w:hAnsi="Garamond"/>
          <w:color w:val="1A1A2E"/>
          <w:sz w:val="24"/>
          <w:szCs w:val="24"/>
        </w:rPr>
        <w:t xml:space="preserve">This is the most important section of this document — not because it describes what is happening now, but because it describes what is possible when the system works differently.</w:t>
      </w:r>
    </w:p>
    <w:p>
      <w:pPr>
        <w:spacing w:after="160" w:before="0"/>
      </w:pPr>
      <w:r>
        <w:rPr>
          <w:rFonts w:ascii="Garamond" w:cs="Garamond" w:eastAsia="Garamond" w:hAnsi="Garamond"/>
          <w:color w:val="1A1A2E"/>
          <w:sz w:val="24"/>
          <w:szCs w:val="24"/>
        </w:rPr>
        <w:t xml:space="preserve">The prerequisite chain we mapped is not inevitable. It is a consequence of identification happening too late and intervention happening too generically. Consider what changes when both of those conditions are addressed:</w:t>
      </w:r>
    </w:p>
    <w:p>
      <w:pPr>
        <w:pStyle w:val="Heading2"/>
        <w:spacing w:after="140" w:before="280"/>
      </w:pPr>
      <w:r>
        <w:rPr>
          <w:rFonts w:ascii="Garamond" w:cs="Garamond" w:eastAsia="Garamond" w:hAnsi="Garamond"/>
          <w:b/>
          <w:bCs/>
          <w:color w:val="1A1A2E"/>
          <w:sz w:val="26"/>
          <w:szCs w:val="26"/>
        </w:rPr>
        <w:t xml:space="preserve">Early Identification Changes Everything</w:t>
      </w:r>
    </w:p>
    <w:p>
      <w:pPr>
        <w:spacing w:after="160" w:before="0"/>
      </w:pPr>
      <w:r>
        <w:rPr>
          <w:rFonts w:ascii="Garamond" w:cs="Garamond" w:eastAsia="Garamond" w:hAnsi="Garamond"/>
          <w:color w:val="1A1A2E"/>
          <w:sz w:val="24"/>
          <w:szCs w:val="24"/>
        </w:rPr>
        <w:t xml:space="preserve">A 3rd grader who is struggling with multiplication fluency (3.OA.C.7) is not yet behind. They are at risk of becoming behind. If that gap is identified in October of 3rd grade rather than May of 5th grade, the intervention window is not 7 days — it is 20 months. The same child who is in the Tier 3 retest cohort in 5th grade could have closed that gap entirely with targeted support in 3rd grade, before the fraction prerequisite chain even began.</w:t>
      </w:r>
    </w:p>
    <w:p>
      <w:pPr>
        <w:spacing w:after="160" w:before="0"/>
      </w:pPr>
      <w:r>
        <w:rPr>
          <w:rFonts w:ascii="Garamond" w:cs="Garamond" w:eastAsia="Garamond" w:hAnsi="Garamond"/>
          <w:color w:val="1A1A2E"/>
          <w:sz w:val="24"/>
          <w:szCs w:val="24"/>
        </w:rPr>
        <w:t xml:space="preserve">The data from this review makes the identification point visible in retrospect. The goal of a sustained intervention system is to make it visible in real time — at the moment the gap opens, not two years after it has compounded.</w:t>
      </w:r>
    </w:p>
    <w:p>
      <w:pPr>
        <w:pStyle w:val="Heading2"/>
        <w:spacing w:after="140" w:before="280"/>
      </w:pPr>
      <w:r>
        <w:rPr>
          <w:rFonts w:ascii="Garamond" w:cs="Garamond" w:eastAsia="Garamond" w:hAnsi="Garamond"/>
          <w:b/>
          <w:bCs/>
          <w:color w:val="1A1A2E"/>
          <w:sz w:val="26"/>
          <w:szCs w:val="26"/>
        </w:rPr>
        <w:t xml:space="preserve">Specific Intervention Outperforms General Re-teaching</w:t>
      </w:r>
    </w:p>
    <w:p>
      <w:pPr>
        <w:spacing w:after="160" w:before="0"/>
      </w:pPr>
      <w:r>
        <w:rPr>
          <w:rFonts w:ascii="Garamond" w:cs="Garamond" w:eastAsia="Garamond" w:hAnsi="Garamond"/>
          <w:color w:val="1A1A2E"/>
          <w:sz w:val="24"/>
          <w:szCs w:val="24"/>
        </w:rPr>
        <w:t xml:space="preserve">The routing plan attached to this review assigns each student to a specific prerequisite standard — not a domain, not a grade level, but a standard. 3.OA.C.7. 4.NF.A.1. 3.NF.A.1. That specificity matters because the instructional target is different for each child, even within the same tier.</w:t>
      </w:r>
    </w:p>
    <w:p>
      <w:pPr>
        <w:spacing w:after="160" w:before="0"/>
      </w:pPr>
      <w:r>
        <w:rPr>
          <w:rFonts w:ascii="Garamond" w:cs="Garamond" w:eastAsia="Garamond" w:hAnsi="Garamond"/>
          <w:color w:val="1A1A2E"/>
          <w:sz w:val="24"/>
          <w:szCs w:val="24"/>
        </w:rPr>
        <w:t xml:space="preserve">When a student who is missing 4.NF.A.1 (equivalent fractions) receives instruction on 5.NF.A.1 (unlike denominators), the instruction does not land. The prerequisite is absent. When that same student receives targeted instruction on 4.NF.A.1 first, the 5th grade standard becomes accessible. The difference is not effort — it is sequence.</w:t>
      </w:r>
    </w:p>
    <w:p>
      <w:pPr>
        <w:pStyle w:val="Heading2"/>
        <w:spacing w:after="140" w:before="280"/>
      </w:pPr>
      <w:r>
        <w:rPr>
          <w:rFonts w:ascii="Garamond" w:cs="Garamond" w:eastAsia="Garamond" w:hAnsi="Garamond"/>
          <w:b/>
          <w:bCs/>
          <w:color w:val="1A1A2E"/>
          <w:sz w:val="26"/>
          <w:szCs w:val="26"/>
        </w:rPr>
        <w:t xml:space="preserve">The 4th Grade Teacher Effect Is Replicable</w:t>
      </w:r>
    </w:p>
    <w:p>
      <w:pPr>
        <w:spacing w:after="160" w:before="0"/>
      </w:pPr>
      <w:r>
        <w:rPr>
          <w:rFonts w:ascii="Garamond" w:cs="Garamond" w:eastAsia="Garamond" w:hAnsi="Garamond"/>
          <w:color w:val="1A1A2E"/>
          <w:sz w:val="24"/>
          <w:szCs w:val="24"/>
        </w:rPr>
        <w:t xml:space="preserve">One 4th grade classroom showed 35% Below Target on fraction operations. Three others showed 64–83%. The students in those classrooms came from the same school, the same curriculum, the same demographic community. The difference is instructional.</w:t>
      </w:r>
    </w:p>
    <w:p>
      <w:pPr>
        <w:spacing w:after="160" w:before="0"/>
      </w:pPr>
      <w:r>
        <w:rPr>
          <w:rFonts w:ascii="Garamond" w:cs="Garamond" w:eastAsia="Garamond" w:hAnsi="Garamond"/>
          <w:color w:val="1A1A2E"/>
          <w:sz w:val="24"/>
          <w:szCs w:val="24"/>
        </w:rPr>
        <w:t xml:space="preserve">That 35% is not a ceiling. It is a proof point. What one classroom achieves is achievable in others — with the right support, the right professional development, and the right data in the hands of the right people at the right time. That is not a criticism of any teacher. It is an observation about what becomes possible when strong practice is visible and transferable.</w:t>
      </w:r>
    </w:p>
    <w:p>
      <w:pPr>
        <w:pStyle w:val="Heading2"/>
        <w:spacing w:after="140" w:before="280"/>
      </w:pPr>
      <w:r>
        <w:rPr>
          <w:rFonts w:ascii="Garamond" w:cs="Garamond" w:eastAsia="Garamond" w:hAnsi="Garamond"/>
          <w:b/>
          <w:bCs/>
          <w:color w:val="1A1A2E"/>
          <w:sz w:val="26"/>
          <w:szCs w:val="26"/>
        </w:rPr>
        <w:t xml:space="preserve">What a Different System Looks Like</w:t>
      </w:r>
    </w:p>
    <w:p>
      <w:pPr>
        <w:spacing w:after="160" w:before="0"/>
      </w:pPr>
      <w:r>
        <w:rPr>
          <w:rFonts w:ascii="Garamond" w:cs="Garamond" w:eastAsia="Garamond" w:hAnsi="Garamond"/>
          <w:color w:val="1A1A2E"/>
          <w:sz w:val="24"/>
          <w:szCs w:val="24"/>
        </w:rPr>
        <w:t xml:space="preserve">Imagine a system where:</w:t>
      </w:r>
    </w:p>
    <w:p>
      <w:pPr>
        <w:pStyle w:val="ListParagraph"/>
        <w:numPr>
          <w:ilvl w:val="0"/>
          <w:numId w:val="2"/>
        </w:numPr>
        <w:spacing w:after="80" w:before="0"/>
      </w:pPr>
      <w:r>
        <w:rPr>
          <w:rFonts w:ascii="Garamond" w:cs="Garamond" w:eastAsia="Garamond" w:hAnsi="Garamond"/>
          <w:color w:val="1A1A2E"/>
          <w:sz w:val="24"/>
          <w:szCs w:val="24"/>
        </w:rPr>
        <w:t xml:space="preserve">Every child enters a new school year with a prerequisite assessment completed in the first two weeks — not a standardized test, a targeted diagnostic mapped to the specific standards that gateway into the year's content.</w:t>
      </w:r>
    </w:p>
    <w:p>
      <w:pPr>
        <w:pStyle w:val="ListParagraph"/>
        <w:numPr>
          <w:ilvl w:val="0"/>
          <w:numId w:val="2"/>
        </w:numPr>
        <w:spacing w:after="80" w:before="0"/>
      </w:pPr>
      <w:r>
        <w:rPr>
          <w:rFonts w:ascii="Garamond" w:cs="Garamond" w:eastAsia="Garamond" w:hAnsi="Garamond"/>
          <w:color w:val="1A1A2E"/>
          <w:sz w:val="24"/>
          <w:szCs w:val="24"/>
        </w:rPr>
        <w:t xml:space="preserve">Intervention groups form around actual gaps, not scale score bands. A child who is missing 3.NF but performing well in everything else is not in a "below-grade" group. They receive targeted support on 3.NF while accessing grade-level content in every other domain.</w:t>
      </w:r>
    </w:p>
    <w:p>
      <w:pPr>
        <w:pStyle w:val="ListParagraph"/>
        <w:numPr>
          <w:ilvl w:val="0"/>
          <w:numId w:val="2"/>
        </w:numPr>
        <w:spacing w:after="80" w:before="0"/>
      </w:pPr>
      <w:r>
        <w:rPr>
          <w:rFonts w:ascii="Garamond" w:cs="Garamond" w:eastAsia="Garamond" w:hAnsi="Garamond"/>
          <w:color w:val="1A1A2E"/>
          <w:sz w:val="24"/>
          <w:szCs w:val="24"/>
        </w:rPr>
        <w:t xml:space="preserve">Teachers see prerequisite maps, not just proficiency levels. The routing plan is not a document produced after a crisis — it is a living tool that updates as students master each prerequisite standard.</w:t>
      </w:r>
    </w:p>
    <w:p>
      <w:pPr>
        <w:pStyle w:val="ListParagraph"/>
        <w:numPr>
          <w:ilvl w:val="0"/>
          <w:numId w:val="2"/>
        </w:numPr>
        <w:spacing w:after="80" w:before="0"/>
      </w:pPr>
      <w:r>
        <w:rPr>
          <w:rFonts w:ascii="Garamond" w:cs="Garamond" w:eastAsia="Garamond" w:hAnsi="Garamond"/>
          <w:color w:val="1A1A2E"/>
          <w:sz w:val="24"/>
          <w:szCs w:val="24"/>
        </w:rPr>
        <w:t xml:space="preserve">Accommodation compliance is verified before assessment, not scrambled for afterward. Every SpEd and EL student enters every assessment with their documented supports in place.</w:t>
      </w:r>
    </w:p>
    <w:p>
      <w:pPr>
        <w:pStyle w:val="ListParagraph"/>
        <w:numPr>
          <w:ilvl w:val="0"/>
          <w:numId w:val="2"/>
        </w:numPr>
        <w:spacing w:after="80" w:before="0"/>
      </w:pPr>
      <w:r>
        <w:rPr>
          <w:rFonts w:ascii="Garamond" w:cs="Garamond" w:eastAsia="Garamond" w:hAnsi="Garamond"/>
          <w:color w:val="1A1A2E"/>
          <w:sz w:val="24"/>
          <w:szCs w:val="24"/>
        </w:rPr>
        <w:t xml:space="preserve">Progress monitoring is anchored to the specific prerequisite each student is working on — not a generic monthly check-in, but a targeted re-assessment of the exact standard in the chain.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D8CC" w:sz="1"/>
              <w:left w:val="single" w:color="E0D8CC" w:sz="1"/>
              <w:bottom w:val="single" w:color="E0D8CC" w:sz="1"/>
              <w:right w:val="single" w:color="E0D8CC" w:sz="1"/>
            </w:tcBorders>
            <w:shd w:fill="F0EBE0" w:val="clear"/>
            <w:tcMar>
              <w:top w:type="dxa" w:w="120"/>
              <w:left w:type="dxa" w:w="180"/>
              <w:bottom w:type="dxa" w:w="120"/>
              <w:right w:type="dxa" w:w="180"/>
            </w:tcMar>
          </w:tcPr>
          <w:p>
            <w:pPr>
              <w:jc w:val="left"/>
            </w:pPr>
            <w:r>
              <w:rPr>
                <w:rFonts w:ascii="Garamond" w:cs="Garamond" w:eastAsia="Garamond" w:hAnsi="Garamond"/>
                <w:color w:val="1A1A2E"/>
                <w:sz w:val="22"/>
                <w:szCs w:val="22"/>
              </w:rPr>
              <w:t xml:space="preserve">The child in your classroom whose behavior is driven by academic frustration — the one who shuts down, acts out, or disengages — is often the child who has been asked to perform a skill they were never taught the prerequisite for. Early intervention does not just improve test scores. It changes the classroom experience for that child before the frustration becomes behavior.</w:t>
            </w:r>
          </w:p>
        </w:tc>
      </w:tr>
    </w:tbl>
    <w:p>
      <w:pPr>
        <w:spacing w:after="0" w:before="200"/>
      </w:pPr>
    </w:p>
    <w:p>
      <w:pPr>
        <w:pStyle w:val="Heading1"/>
        <w:pBdr>
          <w:bottom w:val="single" w:color="C9A84C" w:sz="4" w:space="4"/>
        </w:pBdr>
        <w:spacing w:after="140" w:before="280"/>
      </w:pPr>
      <w:r>
        <w:rPr>
          <w:rFonts w:ascii="Garamond" w:cs="Garamond" w:eastAsia="Garamond" w:hAnsi="Garamond"/>
          <w:b/>
          <w:bCs/>
          <w:color w:val="1A1A2E"/>
          <w:sz w:val="30"/>
          <w:szCs w:val="30"/>
        </w:rPr>
        <w:t xml:space="preserve">Immediate Action Items</w:t>
      </w:r>
    </w:p>
    <w:p>
      <w:pPr>
        <w:spacing w:after="160" w:before="0"/>
      </w:pPr>
      <w:r>
        <w:rPr>
          <w:rFonts w:ascii="Garamond" w:cs="Garamond" w:eastAsia="Garamond" w:hAnsi="Garamond"/>
          <w:color w:val="1A1A2E"/>
          <w:sz w:val="24"/>
          <w:szCs w:val="24"/>
        </w:rPr>
        <w:t xml:space="preserve">Five specific actions, ranked by urgency: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E0D8CC" w:sz="1"/>
              <w:left w:val="single" w:color="E0D8CC" w:sz="1"/>
              <w:bottom w:val="single" w:color="E0D8CC" w:sz="1"/>
              <w:right w:val="single" w:color="E0D8CC" w:sz="1"/>
            </w:tcBorders>
            <w:shd w:fill="1A1A2E" w:val="clear"/>
            <w:tcMar>
              <w:top w:type="dxa" w:w="80"/>
              <w:left w:type="dxa" w:w="120"/>
              <w:bottom w:type="dxa" w:w="80"/>
              <w:right w:type="dxa" w:w="120"/>
            </w:tcMar>
          </w:tcPr>
          <w:p>
            <w:pPr>
              <w:jc w:val="center"/>
            </w:pPr>
            <w:r>
              <w:rPr>
                <w:rFonts w:ascii="Garamond" w:cs="Garamond" w:eastAsia="Garamond" w:hAnsi="Garamond"/>
                <w:b/>
                <w:bCs/>
                <w:color w:val="FFFFFF"/>
                <w:sz w:val="20"/>
                <w:szCs w:val="20"/>
              </w:rPr>
              <w:t xml:space="preserve">Priority</w:t>
            </w:r>
          </w:p>
        </w:tc>
        <w:tc>
          <w:tcPr>
            <w:tcW w:type="dxa" w:w="6460"/>
            <w:tcBorders>
              <w:top w:val="single" w:color="E0D8CC" w:sz="1"/>
              <w:left w:val="single" w:color="E0D8CC" w:sz="1"/>
              <w:bottom w:val="single" w:color="E0D8CC" w:sz="1"/>
              <w:right w:val="single" w:color="E0D8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Action</w:t>
            </w:r>
          </w:p>
        </w:tc>
        <w:tc>
          <w:tcPr>
            <w:tcW w:type="dxa" w:w="2000"/>
            <w:tcBorders>
              <w:top w:val="single" w:color="E0D8CC" w:sz="1"/>
              <w:left w:val="single" w:color="E0D8CC" w:sz="1"/>
              <w:bottom w:val="single" w:color="E0D8CC" w:sz="1"/>
              <w:right w:val="single" w:color="E0D8CC" w:sz="1"/>
            </w:tcBorders>
            <w:shd w:fill="1A1A2E" w:val="clear"/>
            <w:tcMar>
              <w:top w:type="dxa" w:w="80"/>
              <w:left w:type="dxa" w:w="120"/>
              <w:bottom w:type="dxa" w:w="80"/>
              <w:right w:type="dxa" w:w="120"/>
            </w:tcMar>
          </w:tcPr>
          <w:p>
            <w:r>
              <w:rPr>
                <w:rFonts w:ascii="Garamond" w:cs="Garamond" w:eastAsia="Garamond" w:hAnsi="Garamond"/>
                <w:b/>
                <w:bCs/>
                <w:color w:val="FFFFFF"/>
                <w:sz w:val="20"/>
                <w:szCs w:val="20"/>
              </w:rPr>
              <w:t xml:space="preserve">Timing</w:t>
            </w:r>
          </w:p>
        </w:tc>
      </w:tr>
      <w:tr>
        <w:tc>
          <w:tcPr>
            <w:tcW w:type="dxa" w:w="900"/>
            <w:tcBorders>
              <w:top w:val="single" w:color="E0D8CC" w:sz="1"/>
              <w:left w:val="single" w:color="E0D8CC" w:sz="1"/>
              <w:bottom w:val="single" w:color="E0D8CC" w:sz="1"/>
              <w:right w:val="single" w:color="E0D8CC" w:sz="1"/>
            </w:tcBorders>
            <w:shd w:fill="FDF0EE" w:val="clear"/>
            <w:tcMar>
              <w:top w:type="dxa" w:w="80"/>
              <w:left w:type="dxa" w:w="120"/>
              <w:bottom w:type="dxa" w:w="80"/>
              <w:right w:type="dxa" w:w="120"/>
            </w:tcMar>
            <w:vAlign w:val="center"/>
          </w:tcPr>
          <w:p>
            <w:pPr>
              <w:jc w:val="center"/>
            </w:pPr>
            <w:r>
              <w:rPr>
                <w:rFonts w:ascii="Garamond" w:cs="Garamond" w:eastAsia="Garamond" w:hAnsi="Garamond"/>
                <w:b/>
                <w:bCs/>
                <w:color w:val="C0392B"/>
                <w:sz w:val="28"/>
                <w:szCs w:val="28"/>
              </w:rPr>
              <w:t xml:space="preserve">1</w:t>
            </w:r>
          </w:p>
        </w:tc>
        <w:tc>
          <w:tcPr>
            <w:tcW w:type="dxa" w:w="6460"/>
            <w:tcBorders>
              <w:top w:val="single" w:color="E0D8CC" w:sz="1"/>
              <w:left w:val="single" w:color="E0D8CC" w:sz="1"/>
              <w:bottom w:val="single" w:color="E0D8CC" w:sz="1"/>
              <w:right w:val="single" w:color="E0D8CC" w:sz="1"/>
            </w:tcBorders>
            <w:shd w:fill="FDF0EE" w:val="clear"/>
            <w:tcMar>
              <w:top w:type="dxa" w:w="100"/>
              <w:left w:type="dxa" w:w="120"/>
              <w:bottom w:type="dxa" w:w="100"/>
              <w:right w:type="dxa" w:w="120"/>
            </w:tcMar>
          </w:tcPr>
          <w:p>
            <w:r>
              <w:rPr>
                <w:rFonts w:ascii="Garamond" w:cs="Garamond" w:eastAsia="Garamond" w:hAnsi="Garamond"/>
                <w:color w:val="1A1A2E"/>
                <w:sz w:val="22"/>
                <w:szCs w:val="22"/>
              </w:rPr>
              <w:t xml:space="preserve">Verify IEP accommodations for all 10 Special Ed students in Tier 3. Confirm extended time, read-aloud, and separate setting are active for the retest.</w:t>
            </w:r>
          </w:p>
        </w:tc>
        <w:tc>
          <w:tcPr>
            <w:tcW w:type="dxa" w:w="2000"/>
            <w:tcBorders>
              <w:top w:val="single" w:color="E0D8CC" w:sz="1"/>
              <w:left w:val="single" w:color="E0D8CC" w:sz="1"/>
              <w:bottom w:val="single" w:color="E0D8CC" w:sz="1"/>
              <w:right w:val="single" w:color="E0D8CC" w:sz="1"/>
            </w:tcBorders>
            <w:shd w:fill="FDF0EE" w:val="clear"/>
            <w:tcMar>
              <w:top w:type="dxa" w:w="80"/>
              <w:left w:type="dxa" w:w="120"/>
              <w:bottom w:type="dxa" w:w="80"/>
              <w:right w:type="dxa" w:w="120"/>
            </w:tcMar>
            <w:vAlign w:val="center"/>
          </w:tcPr>
          <w:p>
            <w:r>
              <w:rPr>
                <w:rFonts w:ascii="Garamond" w:cs="Garamond" w:eastAsia="Garamond" w:hAnsi="Garamond"/>
                <w:b/>
                <w:bCs/>
                <w:color w:val="C0392B"/>
                <w:sz w:val="22"/>
                <w:szCs w:val="22"/>
              </w:rPr>
              <w:t xml:space="preserve">Today</w:t>
            </w:r>
          </w:p>
        </w:tc>
      </w:tr>
      <w:tr>
        <w:tc>
          <w:tcPr>
            <w:tcW w:type="dxa" w:w="900"/>
            <w:tcBorders>
              <w:top w:val="single" w:color="E0D8CC" w:sz="1"/>
              <w:left w:val="single" w:color="E0D8CC" w:sz="1"/>
              <w:bottom w:val="single" w:color="E0D8CC" w:sz="1"/>
              <w:right w:val="single" w:color="E0D8CC" w:sz="1"/>
            </w:tcBorders>
            <w:shd w:fill="FDF0EE" w:val="clear"/>
            <w:tcMar>
              <w:top w:type="dxa" w:w="80"/>
              <w:left w:type="dxa" w:w="120"/>
              <w:bottom w:type="dxa" w:w="80"/>
              <w:right w:type="dxa" w:w="120"/>
            </w:tcMar>
            <w:vAlign w:val="center"/>
          </w:tcPr>
          <w:p>
            <w:pPr>
              <w:jc w:val="center"/>
            </w:pPr>
            <w:r>
              <w:rPr>
                <w:rFonts w:ascii="Garamond" w:cs="Garamond" w:eastAsia="Garamond" w:hAnsi="Garamond"/>
                <w:b/>
                <w:bCs/>
                <w:color w:val="C0392B"/>
                <w:sz w:val="28"/>
                <w:szCs w:val="28"/>
              </w:rPr>
              <w:t xml:space="preserve">2</w:t>
            </w:r>
          </w:p>
        </w:tc>
        <w:tc>
          <w:tcPr>
            <w:tcW w:type="dxa" w:w="6460"/>
            <w:tcBorders>
              <w:top w:val="single" w:color="E0D8CC" w:sz="1"/>
              <w:left w:val="single" w:color="E0D8CC" w:sz="1"/>
              <w:bottom w:val="single" w:color="E0D8CC" w:sz="1"/>
              <w:right w:val="single" w:color="E0D8CC" w:sz="1"/>
            </w:tcBorders>
            <w:shd w:fill="FDF0EE" w:val="clear"/>
            <w:tcMar>
              <w:top w:type="dxa" w:w="100"/>
              <w:left w:type="dxa" w:w="120"/>
              <w:bottom w:type="dxa" w:w="100"/>
              <w:right w:type="dxa" w:w="120"/>
            </w:tcMar>
          </w:tcPr>
          <w:p>
            <w:r>
              <w:rPr>
                <w:rFonts w:ascii="Garamond" w:cs="Garamond" w:eastAsia="Garamond" w:hAnsi="Garamond"/>
                <w:color w:val="1A1A2E"/>
                <w:sz w:val="22"/>
                <w:szCs w:val="22"/>
              </w:rPr>
              <w:t xml:space="preserve">Verify EL language supports for all 11 EL students in the retest cohort.</w:t>
            </w:r>
          </w:p>
        </w:tc>
        <w:tc>
          <w:tcPr>
            <w:tcW w:type="dxa" w:w="2000"/>
            <w:tcBorders>
              <w:top w:val="single" w:color="E0D8CC" w:sz="1"/>
              <w:left w:val="single" w:color="E0D8CC" w:sz="1"/>
              <w:bottom w:val="single" w:color="E0D8CC" w:sz="1"/>
              <w:right w:val="single" w:color="E0D8CC" w:sz="1"/>
            </w:tcBorders>
            <w:shd w:fill="FDF0EE" w:val="clear"/>
            <w:tcMar>
              <w:top w:type="dxa" w:w="80"/>
              <w:left w:type="dxa" w:w="120"/>
              <w:bottom w:type="dxa" w:w="80"/>
              <w:right w:type="dxa" w:w="120"/>
            </w:tcMar>
            <w:vAlign w:val="center"/>
          </w:tcPr>
          <w:p>
            <w:r>
              <w:rPr>
                <w:rFonts w:ascii="Garamond" w:cs="Garamond" w:eastAsia="Garamond" w:hAnsi="Garamond"/>
                <w:b/>
                <w:bCs/>
                <w:color w:val="C0392B"/>
                <w:sz w:val="22"/>
                <w:szCs w:val="22"/>
              </w:rPr>
              <w:t xml:space="preserve">Today</w:t>
            </w:r>
          </w:p>
        </w:tc>
      </w:tr>
      <w:tr>
        <w:tc>
          <w:tcPr>
            <w:tcW w:type="dxa" w:w="900"/>
            <w:tcBorders>
              <w:top w:val="single" w:color="E0D8CC" w:sz="1"/>
              <w:left w:val="single" w:color="E0D8CC" w:sz="1"/>
              <w:bottom w:val="single" w:color="E0D8CC" w:sz="1"/>
              <w:right w:val="single" w:color="E0D8CC" w:sz="1"/>
            </w:tcBorders>
            <w:shd w:fill="FEF9EE" w:val="clear"/>
            <w:tcMar>
              <w:top w:type="dxa" w:w="80"/>
              <w:left w:type="dxa" w:w="120"/>
              <w:bottom w:type="dxa" w:w="80"/>
              <w:right w:type="dxa" w:w="120"/>
            </w:tcMar>
            <w:vAlign w:val="center"/>
          </w:tcPr>
          <w:p>
            <w:pPr>
              <w:jc w:val="center"/>
            </w:pPr>
            <w:r>
              <w:rPr>
                <w:rFonts w:ascii="Garamond" w:cs="Garamond" w:eastAsia="Garamond" w:hAnsi="Garamond"/>
                <w:b/>
                <w:bCs/>
                <w:color w:val="D68910"/>
                <w:sz w:val="28"/>
                <w:szCs w:val="28"/>
              </w:rPr>
              <w:t xml:space="preserve">3</w:t>
            </w:r>
          </w:p>
        </w:tc>
        <w:tc>
          <w:tcPr>
            <w:tcW w:type="dxa" w:w="6460"/>
            <w:tcBorders>
              <w:top w:val="single" w:color="E0D8CC" w:sz="1"/>
              <w:left w:val="single" w:color="E0D8CC" w:sz="1"/>
              <w:bottom w:val="single" w:color="E0D8CC" w:sz="1"/>
              <w:right w:val="single" w:color="E0D8CC" w:sz="1"/>
            </w:tcBorders>
            <w:shd w:fill="FEF9EE" w:val="clear"/>
            <w:tcMar>
              <w:top w:type="dxa" w:w="100"/>
              <w:left w:type="dxa" w:w="120"/>
              <w:bottom w:type="dxa" w:w="100"/>
              <w:right w:type="dxa" w:w="120"/>
            </w:tcMar>
          </w:tcPr>
          <w:p>
            <w:r>
              <w:rPr>
                <w:rFonts w:ascii="Garamond" w:cs="Garamond" w:eastAsia="Garamond" w:hAnsi="Garamond"/>
                <w:color w:val="1A1A2E"/>
                <w:sz w:val="22"/>
                <w:szCs w:val="22"/>
              </w:rPr>
              <w:t xml:space="preserve">Use the routing plan to identify Tier 1 students (score ≥500) and schedule one focused prerequisite review session before the retest.</w:t>
            </w:r>
          </w:p>
        </w:tc>
        <w:tc>
          <w:tcPr>
            <w:tcW w:type="dxa" w:w="2000"/>
            <w:tcBorders>
              <w:top w:val="single" w:color="E0D8CC" w:sz="1"/>
              <w:left w:val="single" w:color="E0D8CC" w:sz="1"/>
              <w:bottom w:val="single" w:color="E0D8CC" w:sz="1"/>
              <w:right w:val="single" w:color="E0D8CC" w:sz="1"/>
            </w:tcBorders>
            <w:shd w:fill="FEF9EE" w:val="clear"/>
            <w:tcMar>
              <w:top w:type="dxa" w:w="80"/>
              <w:left w:type="dxa" w:w="120"/>
              <w:bottom w:type="dxa" w:w="80"/>
              <w:right w:type="dxa" w:w="120"/>
            </w:tcMar>
            <w:vAlign w:val="center"/>
          </w:tcPr>
          <w:p>
            <w:r>
              <w:rPr>
                <w:rFonts w:ascii="Garamond" w:cs="Garamond" w:eastAsia="Garamond" w:hAnsi="Garamond"/>
                <w:b/>
                <w:bCs/>
                <w:color w:val="D68910"/>
                <w:sz w:val="22"/>
                <w:szCs w:val="22"/>
              </w:rPr>
              <w:t xml:space="preserve">This week</w:t>
            </w:r>
          </w:p>
        </w:tc>
      </w:tr>
      <w:tr>
        <w:tc>
          <w:tcPr>
            <w:tcW w:type="dxa" w:w="900"/>
            <w:tcBorders>
              <w:top w:val="single" w:color="E0D8CC" w:sz="1"/>
              <w:left w:val="single" w:color="E0D8CC" w:sz="1"/>
              <w:bottom w:val="single" w:color="E0D8CC" w:sz="1"/>
              <w:right w:val="single" w:color="E0D8CC" w:sz="1"/>
            </w:tcBorders>
            <w:shd w:fill="FEF9EE" w:val="clear"/>
            <w:tcMar>
              <w:top w:type="dxa" w:w="80"/>
              <w:left w:type="dxa" w:w="120"/>
              <w:bottom w:type="dxa" w:w="80"/>
              <w:right w:type="dxa" w:w="120"/>
            </w:tcMar>
            <w:vAlign w:val="center"/>
          </w:tcPr>
          <w:p>
            <w:pPr>
              <w:jc w:val="center"/>
            </w:pPr>
            <w:r>
              <w:rPr>
                <w:rFonts w:ascii="Garamond" w:cs="Garamond" w:eastAsia="Garamond" w:hAnsi="Garamond"/>
                <w:b/>
                <w:bCs/>
                <w:color w:val="D68910"/>
                <w:sz w:val="28"/>
                <w:szCs w:val="28"/>
              </w:rPr>
              <w:t xml:space="preserve">4</w:t>
            </w:r>
          </w:p>
        </w:tc>
        <w:tc>
          <w:tcPr>
            <w:tcW w:type="dxa" w:w="6460"/>
            <w:tcBorders>
              <w:top w:val="single" w:color="E0D8CC" w:sz="1"/>
              <w:left w:val="single" w:color="E0D8CC" w:sz="1"/>
              <w:bottom w:val="single" w:color="E0D8CC" w:sz="1"/>
              <w:right w:val="single" w:color="E0D8CC" w:sz="1"/>
            </w:tcBorders>
            <w:shd w:fill="FEF9EE" w:val="clear"/>
            <w:tcMar>
              <w:top w:type="dxa" w:w="100"/>
              <w:left w:type="dxa" w:w="120"/>
              <w:bottom w:type="dxa" w:w="100"/>
              <w:right w:type="dxa" w:w="120"/>
            </w:tcMar>
          </w:tcPr>
          <w:p>
            <w:r>
              <w:rPr>
                <w:rFonts w:ascii="Garamond" w:cs="Garamond" w:eastAsia="Garamond" w:hAnsi="Garamond"/>
                <w:color w:val="1A1A2E"/>
                <w:sz w:val="22"/>
                <w:szCs w:val="22"/>
              </w:rPr>
              <w:t xml:space="preserve">Share the 4th grade teacher comparison with the instructional lead. Brown's class at 35% is a proof point for what is possible — that conversation should happen before next year's planning.</w:t>
            </w:r>
          </w:p>
        </w:tc>
        <w:tc>
          <w:tcPr>
            <w:tcW w:type="dxa" w:w="2000"/>
            <w:tcBorders>
              <w:top w:val="single" w:color="E0D8CC" w:sz="1"/>
              <w:left w:val="single" w:color="E0D8CC" w:sz="1"/>
              <w:bottom w:val="single" w:color="E0D8CC" w:sz="1"/>
              <w:right w:val="single" w:color="E0D8CC" w:sz="1"/>
            </w:tcBorders>
            <w:shd w:fill="FEF9EE" w:val="clear"/>
            <w:tcMar>
              <w:top w:type="dxa" w:w="80"/>
              <w:left w:type="dxa" w:w="120"/>
              <w:bottom w:type="dxa" w:w="80"/>
              <w:right w:type="dxa" w:w="120"/>
            </w:tcMar>
            <w:vAlign w:val="center"/>
          </w:tcPr>
          <w:p>
            <w:r>
              <w:rPr>
                <w:rFonts w:ascii="Garamond" w:cs="Garamond" w:eastAsia="Garamond" w:hAnsi="Garamond"/>
                <w:b/>
                <w:bCs/>
                <w:color w:val="D68910"/>
                <w:sz w:val="22"/>
                <w:szCs w:val="22"/>
              </w:rPr>
              <w:t xml:space="preserve">Before EOY</w:t>
            </w:r>
          </w:p>
        </w:tc>
      </w:tr>
      <w:tr>
        <w:tc>
          <w:tcPr>
            <w:tcW w:type="dxa" w:w="900"/>
            <w:tcBorders>
              <w:top w:val="single" w:color="E0D8CC" w:sz="1"/>
              <w:left w:val="single" w:color="E0D8CC" w:sz="1"/>
              <w:bottom w:val="single" w:color="E0D8CC" w:sz="1"/>
              <w:right w:val="single" w:color="E0D8CC" w:sz="1"/>
            </w:tcBorders>
            <w:shd w:fill="EEF8F3" w:val="clear"/>
            <w:tcMar>
              <w:top w:type="dxa" w:w="80"/>
              <w:left w:type="dxa" w:w="120"/>
              <w:bottom w:type="dxa" w:w="80"/>
              <w:right w:type="dxa" w:w="120"/>
            </w:tcMar>
            <w:vAlign w:val="center"/>
          </w:tcPr>
          <w:p>
            <w:pPr>
              <w:jc w:val="center"/>
            </w:pPr>
            <w:r>
              <w:rPr>
                <w:rFonts w:ascii="Garamond" w:cs="Garamond" w:eastAsia="Garamond" w:hAnsi="Garamond"/>
                <w:b/>
                <w:bCs/>
                <w:color w:val="1A7A4A"/>
                <w:sz w:val="28"/>
                <w:szCs w:val="28"/>
              </w:rPr>
              <w:t xml:space="preserve">5</w:t>
            </w:r>
          </w:p>
        </w:tc>
        <w:tc>
          <w:tcPr>
            <w:tcW w:type="dxa" w:w="6460"/>
            <w:tcBorders>
              <w:top w:val="single" w:color="E0D8CC" w:sz="1"/>
              <w:left w:val="single" w:color="E0D8CC" w:sz="1"/>
              <w:bottom w:val="single" w:color="E0D8CC" w:sz="1"/>
              <w:right w:val="single" w:color="E0D8CC" w:sz="1"/>
            </w:tcBorders>
            <w:shd w:fill="EEF8F3" w:val="clear"/>
            <w:tcMar>
              <w:top w:type="dxa" w:w="100"/>
              <w:left w:type="dxa" w:w="120"/>
              <w:bottom w:type="dxa" w:w="100"/>
              <w:right w:type="dxa" w:w="120"/>
            </w:tcMar>
          </w:tcPr>
          <w:p>
            <w:r>
              <w:rPr>
                <w:rFonts w:ascii="Garamond" w:cs="Garamond" w:eastAsia="Garamond" w:hAnsi="Garamond"/>
                <w:color w:val="1A1A2E"/>
                <w:sz w:val="22"/>
                <w:szCs w:val="22"/>
              </w:rPr>
              <w:t xml:space="preserve">Use the prerequisite chain map and routing plan to anchor next year's 3rd, 4th, and 5th grade intervention planning. The retest result is less important than what comes after it.</w:t>
            </w:r>
          </w:p>
        </w:tc>
        <w:tc>
          <w:tcPr>
            <w:tcW w:type="dxa" w:w="2000"/>
            <w:tcBorders>
              <w:top w:val="single" w:color="E0D8CC" w:sz="1"/>
              <w:left w:val="single" w:color="E0D8CC" w:sz="1"/>
              <w:bottom w:val="single" w:color="E0D8CC" w:sz="1"/>
              <w:right w:val="single" w:color="E0D8CC" w:sz="1"/>
            </w:tcBorders>
            <w:shd w:fill="EEF8F3" w:val="clear"/>
            <w:tcMar>
              <w:top w:type="dxa" w:w="80"/>
              <w:left w:type="dxa" w:w="120"/>
              <w:bottom w:type="dxa" w:w="80"/>
              <w:right w:type="dxa" w:w="120"/>
            </w:tcMar>
            <w:vAlign w:val="center"/>
          </w:tcPr>
          <w:p>
            <w:r>
              <w:rPr>
                <w:rFonts w:ascii="Garamond" w:cs="Garamond" w:eastAsia="Garamond" w:hAnsi="Garamond"/>
                <w:b/>
                <w:bCs/>
                <w:color w:val="1A7A4A"/>
                <w:sz w:val="22"/>
                <w:szCs w:val="22"/>
              </w:rPr>
              <w:t xml:space="preserve">Planning cycle</w:t>
            </w:r>
          </w:p>
        </w:tc>
      </w:tr>
    </w:tbl>
    <w:p>
      <w:pPr>
        <w:spacing w:after="0" w:before="280"/>
      </w:pPr>
    </w:p>
    <w:p>
      <w:pPr>
        <w:pStyle w:val="Heading1"/>
        <w:pBdr>
          <w:bottom w:val="single" w:color="C9A84C" w:sz="4" w:space="4"/>
        </w:pBdr>
        <w:spacing w:after="140" w:before="280"/>
      </w:pPr>
      <w:r>
        <w:rPr>
          <w:rFonts w:ascii="Garamond" w:cs="Garamond" w:eastAsia="Garamond" w:hAnsi="Garamond"/>
          <w:b/>
          <w:bCs/>
          <w:color w:val="1A1A2E"/>
          <w:sz w:val="30"/>
          <w:szCs w:val="30"/>
        </w:rPr>
        <w:t xml:space="preserve">Closing</w:t>
      </w:r>
    </w:p>
    <w:p>
      <w:pPr>
        <w:spacing w:after="160" w:before="0"/>
      </w:pPr>
      <w:r>
        <w:rPr>
          <w:rFonts w:ascii="Garamond" w:cs="Garamond" w:eastAsia="Garamond" w:hAnsi="Garamond"/>
          <w:color w:val="1A1A2E"/>
          <w:sz w:val="24"/>
          <w:szCs w:val="24"/>
        </w:rPr>
        <w:t xml:space="preserve">The data in this review is not a verdict. It is a map. It shows where the gaps are, how they formed, and how they compound — but it also shows exactly where intervention would have made a difference, and where it still can.</w:t>
      </w:r>
    </w:p>
    <w:p>
      <w:pPr>
        <w:spacing w:after="160" w:before="0"/>
      </w:pPr>
      <w:r>
        <w:rPr>
          <w:rFonts w:ascii="Garamond" w:cs="Garamond" w:eastAsia="Garamond" w:hAnsi="Garamond"/>
          <w:color w:val="1A1A2E"/>
          <w:sz w:val="24"/>
          <w:szCs w:val="24"/>
        </w:rPr>
        <w:t xml:space="preserve">The 78 students retesting this week are not defined by this assessment. They are defined by what happens after it — whether the adults in the building use what the data shows to route them to the right content, in the right sequence, with the right support in place.</w:t>
      </w:r>
    </w:p>
    <w:p>
      <w:pPr>
        <w:spacing w:after="160" w:before="0"/>
      </w:pPr>
      <w:r>
        <w:rPr>
          <w:rFonts w:ascii="Garamond" w:cs="Garamond" w:eastAsia="Garamond" w:hAnsi="Garamond"/>
          <w:b/>
          <w:bCs/>
          <w:color w:val="1A1A2E"/>
          <w:sz w:val="24"/>
          <w:szCs w:val="24"/>
        </w:rPr>
        <w:t xml:space="preserve">The prerequisite chain is real. So is the possibility of breaking it.</w:t>
      </w:r>
    </w:p>
    <w:p>
      <w:pPr>
        <w:pBdr>
          <w:top w:val="single" w:color="E0D8CC" w:sz="4" w:space="8"/>
        </w:pBdr>
        <w:spacing w:after="80" w:before="280"/>
      </w:pPr>
      <w:r>
        <w:rPr>
          <w:rFonts w:ascii="Garamond" w:cs="Garamond" w:eastAsia="Garamond" w:hAnsi="Garamond"/>
          <w:sz w:val="24"/>
          <w:szCs w:val="24"/>
        </w:rPr>
        <w:t xml:space="preserve"> </w:t>
      </w:r>
    </w:p>
    <w:p>
      <w:pPr>
        <w:spacing w:after="40" w:before="0"/>
      </w:pPr>
      <w:r>
        <w:rPr>
          <w:rFonts w:ascii="Garamond" w:cs="Garamond" w:eastAsia="Garamond" w:hAnsi="Garamond"/>
          <w:color w:val="64748B"/>
          <w:sz w:val="18"/>
          <w:szCs w:val="18"/>
        </w:rPr>
        <w:t xml:space="preserve">Shadow Rock Elementary  ·  DeKalb County School District  ·  Georgia Milestones Spring 2026</w:t>
      </w:r>
    </w:p>
    <w:p>
      <w:r>
        <w:rPr>
          <w:rFonts w:ascii="Garamond" w:cs="Garamond" w:eastAsia="Garamond" w:hAnsi="Garamond"/>
          <w:color w:val="C9A84C"/>
          <w:sz w:val="18"/>
          <w:szCs w:val="18"/>
        </w:rPr>
        <w:t xml:space="preserve">Prepared May 2026  ·  Meridia  ·  Crown's Eye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00" w:before="200"/>
      <w:outlineLvl w:val="1"/>
    </w:pPr>
    <w:rPr>
      <w:rFonts w:ascii="Garamond" w:cs="Garamond" w:eastAsia="Garamond" w:hAnsi="Garamond"/>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2026-05-04T04:31:19.427Z</dcterms:created>
  <dcterms:modified xsi:type="dcterms:W3CDTF">2026-05-04T04:31:19.454Z</dcterms:modified>
</cp:coreProperties>
</file>

<file path=docProps/custom.xml><?xml version="1.0" encoding="utf-8"?>
<Properties xmlns="http://schemas.openxmlformats.org/officeDocument/2006/custom-properties" xmlns:vt="http://schemas.openxmlformats.org/officeDocument/2006/docPropsVTypes"/>
</file>