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68A0" w14:textId="77777777" w:rsidR="00AF55BB" w:rsidRDefault="00AF55BB" w:rsidP="00AF55BB">
      <w:r>
        <w:t># AEGIS GLOBAL INSTITUTIONAL INFRASTRUCTURE</w:t>
      </w:r>
    </w:p>
    <w:p w14:paraId="09E3ADA7" w14:textId="77777777" w:rsidR="00AF55BB" w:rsidRDefault="00AF55BB" w:rsidP="00AF55BB"/>
    <w:p w14:paraId="7E8985F4" w14:textId="77777777" w:rsidR="00AF55BB" w:rsidRDefault="00AF55BB" w:rsidP="00AF55BB">
      <w:r>
        <w:t>## Mission</w:t>
      </w:r>
    </w:p>
    <w:p w14:paraId="7CE4DADF" w14:textId="77777777" w:rsidR="00AF55BB" w:rsidRDefault="00AF55BB" w:rsidP="00AF55BB">
      <w:r>
        <w:t>Build sovereign wealth infrastructure for institutions through:</w:t>
      </w:r>
    </w:p>
    <w:p w14:paraId="72AD9951" w14:textId="77777777" w:rsidR="00AF55BB" w:rsidRDefault="00AF55BB" w:rsidP="00AF55BB">
      <w:r>
        <w:t>1. Domestic institutional cross-collateral (U.S. NGE Trust)</w:t>
      </w:r>
    </w:p>
    <w:p w14:paraId="08DF9F75" w14:textId="77777777" w:rsidR="00AF55BB" w:rsidRDefault="00AF55BB" w:rsidP="00AF55BB">
      <w:r>
        <w:t>2. International mirror jurisdictions (USVI, Malta, Belize, Vietnam, BVI)</w:t>
      </w:r>
    </w:p>
    <w:p w14:paraId="05F4F5B1" w14:textId="77777777" w:rsidR="00AF55BB" w:rsidRDefault="00AF55BB" w:rsidP="00AF55BB">
      <w:r>
        <w:t>3. Tax-optimized trust architecture</w:t>
      </w:r>
    </w:p>
    <w:p w14:paraId="218244E5" w14:textId="77777777" w:rsidR="00AF55BB" w:rsidRDefault="00AF55BB" w:rsidP="00AF55BB">
      <w:r>
        <w:t>4. Multi-currency corpus pools</w:t>
      </w:r>
    </w:p>
    <w:p w14:paraId="1D99C482" w14:textId="77777777" w:rsidR="00AF55BB" w:rsidRDefault="00AF55BB" w:rsidP="00AF55BB">
      <w:r>
        <w:t>5. Jurisdictional arbitrage for institutional clients</w:t>
      </w:r>
    </w:p>
    <w:p w14:paraId="2F14755C" w14:textId="77777777" w:rsidR="00AF55BB" w:rsidRDefault="00AF55BB" w:rsidP="00AF55BB"/>
    <w:p w14:paraId="3EE724DC" w14:textId="77777777" w:rsidR="00AF55BB" w:rsidRDefault="00AF55BB" w:rsidP="00AF55BB">
      <w:r>
        <w:t>## Core Components</w:t>
      </w:r>
    </w:p>
    <w:p w14:paraId="447DEEFA" w14:textId="77777777" w:rsidR="00AF55BB" w:rsidRDefault="00AF55BB" w:rsidP="00AF55BB"/>
    <w:p w14:paraId="2E45CB9B" w14:textId="77777777" w:rsidR="00AF55BB" w:rsidRDefault="00AF55BB" w:rsidP="00AF55BB">
      <w:r>
        <w:t>### Domestic Layer (U.S.)</w:t>
      </w:r>
    </w:p>
    <w:p w14:paraId="46A0CA88" w14:textId="77777777" w:rsidR="00AF55BB" w:rsidRDefault="00AF55BB" w:rsidP="00AF55BB">
      <w:r>
        <w:t>- NGE Trust (Delaware) - Primary operating entity</w:t>
      </w:r>
    </w:p>
    <w:p w14:paraId="2186995A" w14:textId="77777777" w:rsidR="00AF55BB" w:rsidRDefault="00AF55BB" w:rsidP="00AF55BB">
      <w:r>
        <w:t>- Institutional IWS policies</w:t>
      </w:r>
    </w:p>
    <w:p w14:paraId="43B5D249" w14:textId="77777777" w:rsidR="00AF55BB" w:rsidRDefault="00AF55BB" w:rsidP="00AF55BB">
      <w:r>
        <w:t>- Keyman governance policies</w:t>
      </w:r>
    </w:p>
    <w:p w14:paraId="31510407" w14:textId="77777777" w:rsidR="00AF55BB" w:rsidRDefault="00AF55BB" w:rsidP="00AF55BB">
      <w:r>
        <w:t>- Aegis Discount Window</w:t>
      </w:r>
    </w:p>
    <w:p w14:paraId="0C143B4A" w14:textId="77777777" w:rsidR="00AF55BB" w:rsidRDefault="00AF55BB" w:rsidP="00AF55BB">
      <w:r>
        <w:t>- Cross-institutional corpus pooling</w:t>
      </w:r>
    </w:p>
    <w:p w14:paraId="7F3348F1" w14:textId="77777777" w:rsidR="00AF55BB" w:rsidRDefault="00AF55BB" w:rsidP="00AF55BB"/>
    <w:p w14:paraId="6D823531" w14:textId="77777777" w:rsidR="00AF55BB" w:rsidRDefault="00AF55BB" w:rsidP="00AF55BB">
      <w:r>
        <w:t>### International Layer (Mirror Jurisdictions)</w:t>
      </w:r>
    </w:p>
    <w:p w14:paraId="373F8B84" w14:textId="77777777" w:rsidR="00AF55BB" w:rsidRDefault="00AF55BB" w:rsidP="00AF55BB">
      <w:r>
        <w:t>- USVI: Tax arbitrage for U.S. institutions (EDC-qualified)</w:t>
      </w:r>
    </w:p>
    <w:p w14:paraId="1BD82464" w14:textId="77777777" w:rsidR="00AF55BB" w:rsidRDefault="00AF55BB" w:rsidP="00AF55BB">
      <w:r>
        <w:t>- Malta: EU market access, banking passport</w:t>
      </w:r>
    </w:p>
    <w:p w14:paraId="4DF8D736" w14:textId="77777777" w:rsidR="00AF55BB" w:rsidRDefault="00AF55BB" w:rsidP="00AF55BB">
      <w:r>
        <w:t>- Belize: Asset protection, multi-currency</w:t>
      </w:r>
    </w:p>
    <w:p w14:paraId="5E650603" w14:textId="77777777" w:rsidR="00AF55BB" w:rsidRDefault="00AF55BB" w:rsidP="00AF55BB">
      <w:r>
        <w:t>- Vietnam: Asia-Pacific growth, IFC access</w:t>
      </w:r>
    </w:p>
    <w:p w14:paraId="64A4814C" w14:textId="77777777" w:rsidR="00AF55BB" w:rsidRDefault="00AF55BB" w:rsidP="00AF55BB">
      <w:r>
        <w:t>- BVI: International wealth management</w:t>
      </w:r>
    </w:p>
    <w:p w14:paraId="16012325" w14:textId="77777777" w:rsidR="00AF55BB" w:rsidRDefault="00AF55BB" w:rsidP="00AF55BB"/>
    <w:p w14:paraId="44ADF073" w14:textId="77777777" w:rsidR="00AF55BB" w:rsidRDefault="00AF55BB" w:rsidP="00AF55BB">
      <w:r>
        <w:lastRenderedPageBreak/>
        <w:t>### Control Structure</w:t>
      </w:r>
    </w:p>
    <w:p w14:paraId="5FEE337B" w14:textId="77777777" w:rsidR="00AF55BB" w:rsidRDefault="00AF55BB" w:rsidP="00AF55BB">
      <w:r>
        <w:t>- All entities owned by Eden Crown Dynasty Spendthrift Trust</w:t>
      </w:r>
    </w:p>
    <w:p w14:paraId="5039EF5E" w14:textId="77777777" w:rsidR="00AF55BB" w:rsidRDefault="00AF55BB" w:rsidP="00AF55BB">
      <w:r>
        <w:t>- IP licensed from Eden Crown to all mirrors</w:t>
      </w:r>
    </w:p>
    <w:p w14:paraId="59A0C263" w14:textId="77777777" w:rsidR="00AF55BB" w:rsidRDefault="00AF55BB" w:rsidP="00AF55BB">
      <w:r>
        <w:t>- Cross-collateralization across jurisdictions</w:t>
      </w:r>
    </w:p>
    <w:p w14:paraId="074E369F" w14:textId="77777777" w:rsidR="00AF55BB" w:rsidRDefault="00AF55BB" w:rsidP="00AF55BB">
      <w:r>
        <w:t>- White-labeled for regional markets</w:t>
      </w:r>
    </w:p>
    <w:p w14:paraId="5E921F64" w14:textId="77777777" w:rsidR="00AF55BB" w:rsidRDefault="00AF55BB" w:rsidP="00AF55BB"/>
    <w:p w14:paraId="26CB30EC" w14:textId="77777777" w:rsidR="00AF55BB" w:rsidRDefault="00AF55BB" w:rsidP="00AF55BB">
      <w:r>
        <w:t>## Strategic Priorities</w:t>
      </w:r>
    </w:p>
    <w:p w14:paraId="5C208F4C" w14:textId="77777777" w:rsidR="00AF55BB" w:rsidRDefault="00AF55BB" w:rsidP="00AF55BB">
      <w:r>
        <w:t>1. Build U.S. pilot (5-10 credit unions, proof of concept)</w:t>
      </w:r>
    </w:p>
    <w:p w14:paraId="68262DF9" w14:textId="77777777" w:rsidR="00AF55BB" w:rsidRDefault="00AF55BB" w:rsidP="00AF55BB">
      <w:r>
        <w:t>2. Establish USVI mirror (tax optimization for U.S. clients)</w:t>
      </w:r>
    </w:p>
    <w:p w14:paraId="1BBEA1B8" w14:textId="77777777" w:rsidR="00AF55BB" w:rsidRPr="00AF55BB" w:rsidRDefault="00AF55BB" w:rsidP="00AF55BB">
      <w:pPr>
        <w:rPr>
          <w:lang w:val="fr-FR"/>
        </w:rPr>
      </w:pPr>
      <w:r w:rsidRPr="00AF55BB">
        <w:rPr>
          <w:lang w:val="fr-FR"/>
        </w:rPr>
        <w:t>3. Malta presence (EU market access)</w:t>
      </w:r>
    </w:p>
    <w:p w14:paraId="7B4ED7C6" w14:textId="77777777" w:rsidR="00AF55BB" w:rsidRDefault="00AF55BB" w:rsidP="00AF55BB">
      <w:r>
        <w:t>4. Scale remaining jurisdictions based on client demand</w:t>
      </w:r>
    </w:p>
    <w:p w14:paraId="1AB8AF28" w14:textId="77777777" w:rsidR="00AF55BB" w:rsidRDefault="00AF55BB" w:rsidP="00AF55BB">
      <w:r>
        <w:t>5. Document FULL architecture (legal, technical, financial)</w:t>
      </w:r>
    </w:p>
    <w:p w14:paraId="3A245E7C" w14:textId="77777777" w:rsidR="00AF55BB" w:rsidRDefault="00AF55BB" w:rsidP="00AF55BB"/>
    <w:p w14:paraId="2049836E" w14:textId="77777777" w:rsidR="00AF55BB" w:rsidRDefault="00AF55BB" w:rsidP="00AF55BB">
      <w:r>
        <w:t>## Guardrails</w:t>
      </w:r>
    </w:p>
    <w:p w14:paraId="3F43D845" w14:textId="77777777" w:rsidR="00AF55BB" w:rsidRDefault="00AF55BB" w:rsidP="00AF55BB">
      <w:r>
        <w:t>- 100% legal compliance in all jurisdictions</w:t>
      </w:r>
    </w:p>
    <w:p w14:paraId="28CCA995" w14:textId="77777777" w:rsidR="00AF55BB" w:rsidRDefault="00AF55BB" w:rsidP="00AF55BB">
      <w:r>
        <w:t>- Transparent tax optimization (not evasion)</w:t>
      </w:r>
    </w:p>
    <w:p w14:paraId="4E927CCA" w14:textId="77777777" w:rsidR="00AF55BB" w:rsidRDefault="00AF55BB" w:rsidP="00AF55BB">
      <w:r>
        <w:t>- Institutional-grade governance</w:t>
      </w:r>
    </w:p>
    <w:p w14:paraId="64CA2C0B" w14:textId="77777777" w:rsidR="00AF55BB" w:rsidRDefault="00AF55BB" w:rsidP="00AF55BB">
      <w:r>
        <w:t>- Fiduciary duty to all clients</w:t>
      </w:r>
    </w:p>
    <w:p w14:paraId="3F79906C" w14:textId="3B0899F5" w:rsidR="00905A74" w:rsidRDefault="00AF55BB" w:rsidP="00AF55BB">
      <w:r>
        <w:t>- Stewardship over extraction</w:t>
      </w:r>
    </w:p>
    <w:sectPr w:rsidR="0090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BB"/>
    <w:rsid w:val="00605FE4"/>
    <w:rsid w:val="00874377"/>
    <w:rsid w:val="00905A74"/>
    <w:rsid w:val="00AF55BB"/>
    <w:rsid w:val="00B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5780"/>
  <w15:chartTrackingRefBased/>
  <w15:docId w15:val="{D0D0568D-1AA9-4DC7-A903-EB48DE62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2026-01-25T03:28:00Z</dcterms:created>
  <dcterms:modified xsi:type="dcterms:W3CDTF">2026-01-25T03:30:00Z</dcterms:modified>
</cp:coreProperties>
</file>