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96C6" w14:textId="77777777" w:rsidR="007B3F6C" w:rsidRPr="007B3F6C" w:rsidRDefault="007B3F6C" w:rsidP="007B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H – Trust, Capital &amp; Reassurance Stack (ECS / NGE)</w:t>
      </w:r>
    </w:p>
    <w:p w14:paraId="6E72CB92" w14:textId="77777777" w:rsidR="007B3F6C" w:rsidRPr="007B3F6C" w:rsidRDefault="007B3F6C" w:rsidP="007B3F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H.0 Purpose &amp; Audience</w:t>
      </w:r>
    </w:p>
    <w:p w14:paraId="44F88F3C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This appendix describes how the Eden Crown / Sentiarch / WayPoint ecosystem handles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trusts, capital, and reassurance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at the structural level.</w:t>
      </w:r>
    </w:p>
    <w:p w14:paraId="0E9BB98E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It is written for:</w:t>
      </w:r>
    </w:p>
    <w:p w14:paraId="072A3E60" w14:textId="77777777" w:rsidR="007B3F6C" w:rsidRPr="007B3F6C" w:rsidRDefault="007B3F6C" w:rsidP="007B3F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FO principals and their advisors</w:t>
      </w:r>
    </w:p>
    <w:p w14:paraId="7AA7AEC8" w14:textId="77777777" w:rsidR="007B3F6C" w:rsidRPr="007B3F6C" w:rsidRDefault="007B3F6C" w:rsidP="007B3F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Structuring counsel</w:t>
      </w:r>
    </w:p>
    <w:p w14:paraId="0DE91A8E" w14:textId="77777777" w:rsidR="007B3F6C" w:rsidRPr="007B3F6C" w:rsidRDefault="007B3F6C" w:rsidP="007B3F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Institutional partners (banks, insurers, asset managers)</w:t>
      </w:r>
    </w:p>
    <w:p w14:paraId="42AC82A4" w14:textId="77777777" w:rsidR="007B3F6C" w:rsidRPr="007B3F6C" w:rsidRDefault="007B3F6C" w:rsidP="007B3F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Internal treasury, risk, and product teams</w:t>
      </w:r>
    </w:p>
    <w:p w14:paraId="6F1CAB3C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The goal is to show:</w:t>
      </w:r>
    </w:p>
    <w:p w14:paraId="39E21EF3" w14:textId="77777777" w:rsidR="007B3F6C" w:rsidRPr="007B3F6C" w:rsidRDefault="007B3F6C" w:rsidP="007B3F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how we separate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corpus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rails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gramStart"/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risk-taking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32CA1763" w14:textId="77777777" w:rsidR="007B3F6C" w:rsidRPr="007B3F6C" w:rsidRDefault="007B3F6C" w:rsidP="007B3F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how we grow and deploy capital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endangering the core corpus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; and</w:t>
      </w:r>
    </w:p>
    <w:p w14:paraId="0DEFF2E8" w14:textId="77777777" w:rsidR="007B3F6C" w:rsidRPr="007B3F6C" w:rsidRDefault="007B3F6C" w:rsidP="007B3F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how we create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reassurance mechanisms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that stabilize pilots and partnerships without promising outcomes we cannot control.</w:t>
      </w:r>
    </w:p>
    <w:p w14:paraId="49465BC3" w14:textId="77777777" w:rsidR="007B3F6C" w:rsidRPr="007B3F6C" w:rsidRDefault="007B3F6C" w:rsidP="007B3F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pict w14:anchorId="42F48A44">
          <v:rect id="_x0000_i1247" style="width:0;height:1.5pt" o:hralign="center" o:hrstd="t" o:hr="t" fillcolor="#a0a0a0" stroked="f"/>
        </w:pict>
      </w:r>
    </w:p>
    <w:p w14:paraId="2B3B2B7F" w14:textId="77777777" w:rsidR="007B3F6C" w:rsidRPr="007B3F6C" w:rsidRDefault="007B3F6C" w:rsidP="007B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H.1 Design Principles</w:t>
      </w:r>
    </w:p>
    <w:p w14:paraId="180070F2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The trust and capital stack is built on a few non-negotiable principles:</w:t>
      </w:r>
    </w:p>
    <w:p w14:paraId="63F9A42B" w14:textId="77777777" w:rsidR="007B3F6C" w:rsidRPr="007B3F6C" w:rsidRDefault="007B3F6C" w:rsidP="007B3F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Corpus First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br/>
        <w:t>The primary trust corpus (Eden Crown Sovereign, or ECS) must be structurally insulated from day-to-day operating risks. It exists to provide stability, not to “chase returns.”</w:t>
      </w:r>
    </w:p>
    <w:p w14:paraId="7B1BDE8F" w14:textId="77777777" w:rsidR="007B3F6C" w:rsidRPr="007B3F6C" w:rsidRDefault="007B3F6C" w:rsidP="007B3F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Separation of Roles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br/>
        <w:t>The entity that holds IP and strategic control (</w:t>
      </w:r>
      <w:proofErr w:type="spell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TechCo</w:t>
      </w:r>
      <w:proofErr w:type="spell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), the entity that runs rails (NGE / </w:t>
      </w:r>
      <w:proofErr w:type="spell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RailCo</w:t>
      </w:r>
      <w:proofErr w:type="spell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), and the entity that holds corpus (ECS) are distinct, with clear agreements between them.</w:t>
      </w:r>
    </w:p>
    <w:p w14:paraId="77360517" w14:textId="77777777" w:rsidR="007B3F6C" w:rsidRPr="007B3F6C" w:rsidRDefault="007B3F6C" w:rsidP="007B3F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Reassurance, Not Guarantee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Capital and structures may be used to </w:t>
      </w:r>
      <w:r w:rsidRPr="007B3F6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reassure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partners (through risk-sharing, first-loss tranches, or subordinated capital), but they do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guarantee against loss. Every stakeholder retains skin in the game.</w:t>
      </w:r>
    </w:p>
    <w:p w14:paraId="6E6E27FB" w14:textId="77777777" w:rsidR="007B3F6C" w:rsidRPr="007B3F6C" w:rsidRDefault="007B3F6C" w:rsidP="007B3F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Regulator-Friendly by Default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br/>
        <w:t>Structures should be explainable to supervisors: who holds deposits, who holds credit risk, who holds securitized interests, and how unwind paths work under stress.</w:t>
      </w:r>
    </w:p>
    <w:p w14:paraId="1300C64A" w14:textId="77777777" w:rsidR="007B3F6C" w:rsidRPr="007B3F6C" w:rsidRDefault="007B3F6C" w:rsidP="007B3F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 &amp; Reversible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must be feasible to start small (pilot, sandbox, SPV) and scale up without rewriting the whole stack,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and also</w:t>
      </w:r>
      <w:proofErr w:type="gram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to wind down specific initiatives without damaging the core corpus.</w:t>
      </w:r>
    </w:p>
    <w:p w14:paraId="1FC3D356" w14:textId="77777777" w:rsidR="007B3F6C" w:rsidRPr="007B3F6C" w:rsidRDefault="007B3F6C" w:rsidP="007B3F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pict w14:anchorId="3A6932E9">
          <v:rect id="_x0000_i1248" style="width:0;height:1.5pt" o:hralign="center" o:hrstd="t" o:hr="t" fillcolor="#a0a0a0" stroked="f"/>
        </w:pict>
      </w:r>
    </w:p>
    <w:p w14:paraId="368F448A" w14:textId="77777777" w:rsidR="007B3F6C" w:rsidRPr="007B3F6C" w:rsidRDefault="007B3F6C" w:rsidP="007B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H.2 Entity Overview</w:t>
      </w:r>
    </w:p>
    <w:p w14:paraId="314521C0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At minimum, the stack includes:</w:t>
      </w:r>
    </w:p>
    <w:p w14:paraId="442C7E65" w14:textId="77777777" w:rsidR="007B3F6C" w:rsidRPr="007B3F6C" w:rsidRDefault="007B3F6C" w:rsidP="007B3F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ECS Trust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– the primary, South Dakota-style dynasty / spendthrift trust that holds the long-term corpus and key strategic assets.</w:t>
      </w:r>
    </w:p>
    <w:p w14:paraId="79F9B2A4" w14:textId="77777777" w:rsidR="007B3F6C" w:rsidRPr="007B3F6C" w:rsidRDefault="007B3F6C" w:rsidP="007B3F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TechCo</w:t>
      </w:r>
      <w:proofErr w:type="spellEnd"/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(Sentiarch / Eden Crown Technologies LLC, for example)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– the operating technology company that owns IP, employs people, and licenses the platform to partners.</w:t>
      </w:r>
    </w:p>
    <w:p w14:paraId="7B47487E" w14:textId="77777777" w:rsidR="007B3F6C" w:rsidRPr="007B3F6C" w:rsidRDefault="007B3F6C" w:rsidP="007B3F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NGE / </w:t>
      </w:r>
      <w:proofErr w:type="spellStart"/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RailCo</w:t>
      </w:r>
      <w:proofErr w:type="spellEnd"/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(Next Generation Envoy, LLC)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– the rail and BaaS overlay entity that contracts with banks, BaaS providers, and institutions for WayPoint services.</w:t>
      </w:r>
    </w:p>
    <w:p w14:paraId="78B500FB" w14:textId="77777777" w:rsidR="007B3F6C" w:rsidRPr="007B3F6C" w:rsidRDefault="007B3F6C" w:rsidP="007B3F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Edge/Renaissance Trust(s)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– optional satellite trusts that allocate capital specifically to higher-volatility or experimental verticals (WayPoint Edge, Renaissance tiers).</w:t>
      </w:r>
    </w:p>
    <w:p w14:paraId="52F39D16" w14:textId="77777777" w:rsidR="007B3F6C" w:rsidRPr="007B3F6C" w:rsidRDefault="007B3F6C" w:rsidP="007B3F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SPVs &amp; JV Entities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– special-purpose vehicles for securitizations, joint ventures, and deal-specific capital pools.</w:t>
      </w:r>
    </w:p>
    <w:p w14:paraId="66DE313A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From a family office or UHNW perspective, ECS sits at the top, </w:t>
      </w:r>
      <w:proofErr w:type="spell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TechCo</w:t>
      </w:r>
      <w:proofErr w:type="spell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and NGE sit in the operating layer, and SPVs/JVs hang off NGE where needed.</w:t>
      </w:r>
    </w:p>
    <w:p w14:paraId="75136EE9" w14:textId="77777777" w:rsidR="007B3F6C" w:rsidRPr="007B3F6C" w:rsidRDefault="007B3F6C" w:rsidP="007B3F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pict w14:anchorId="70D2F72C">
          <v:rect id="_x0000_i1249" style="width:0;height:1.5pt" o:hralign="center" o:hrstd="t" o:hr="t" fillcolor="#a0a0a0" stroked="f"/>
        </w:pict>
      </w:r>
    </w:p>
    <w:p w14:paraId="0592CF9E" w14:textId="77777777" w:rsidR="007B3F6C" w:rsidRPr="007B3F6C" w:rsidRDefault="007B3F6C" w:rsidP="007B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H.3 ECS Trust – The Corpus &amp; Sovereign Layer</w:t>
      </w:r>
    </w:p>
    <w:p w14:paraId="6C339452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H.3.1 Role &amp; Mandate</w:t>
      </w:r>
    </w:p>
    <w:p w14:paraId="11CE0946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ECS is designed as an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irrevocable dynasty trust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(e.g., South Dakota jurisdiction) with:</w:t>
      </w:r>
    </w:p>
    <w:p w14:paraId="28468318" w14:textId="77777777" w:rsidR="007B3F6C" w:rsidRPr="007B3F6C" w:rsidRDefault="007B3F6C" w:rsidP="007B3F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long horizon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(multi-generational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34200031" w14:textId="77777777" w:rsidR="007B3F6C" w:rsidRPr="007B3F6C" w:rsidRDefault="007B3F6C" w:rsidP="007B3F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strong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spendthrift provisions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to protect beneficiaries from creditors and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themselves;</w:t>
      </w:r>
      <w:proofErr w:type="gramEnd"/>
    </w:p>
    <w:p w14:paraId="4AB434C9" w14:textId="77777777" w:rsidR="007B3F6C" w:rsidRPr="007B3F6C" w:rsidRDefault="007B3F6C" w:rsidP="007B3F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a mandate that blends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preservation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measured growth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(impact, philanthropy, community).</w:t>
      </w:r>
    </w:p>
    <w:p w14:paraId="7E59ECD1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For the Sentiarch/WayPoint ecosystem, ECS:</w:t>
      </w:r>
    </w:p>
    <w:p w14:paraId="5ADEFA0C" w14:textId="77777777" w:rsidR="007B3F6C" w:rsidRPr="007B3F6C" w:rsidRDefault="007B3F6C" w:rsidP="007B3F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holds the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corpus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that anchors the entire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project;</w:t>
      </w:r>
      <w:proofErr w:type="gramEnd"/>
    </w:p>
    <w:p w14:paraId="372B7C65" w14:textId="77777777" w:rsidR="007B3F6C" w:rsidRPr="007B3F6C" w:rsidRDefault="007B3F6C" w:rsidP="007B3F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may hold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(directly or indirectly via </w:t>
      </w:r>
      <w:proofErr w:type="spell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TechCo</w:t>
      </w:r>
      <w:proofErr w:type="spell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) and key equity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stakes;</w:t>
      </w:r>
      <w:proofErr w:type="gramEnd"/>
    </w:p>
    <w:p w14:paraId="1A5006F6" w14:textId="77777777" w:rsidR="007B3F6C" w:rsidRPr="007B3F6C" w:rsidRDefault="007B3F6C" w:rsidP="007B3F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can provide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capital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TechCo</w:t>
      </w:r>
      <w:proofErr w:type="spell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and NGE under arm’s-length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agreements;</w:t>
      </w:r>
      <w:proofErr w:type="gramEnd"/>
    </w:p>
    <w:p w14:paraId="0B27BDCC" w14:textId="77777777" w:rsidR="007B3F6C" w:rsidRPr="007B3F6C" w:rsidRDefault="007B3F6C" w:rsidP="007B3F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may be the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 investor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in certain SPVs / securitizations, where appropriate.</w:t>
      </w:r>
    </w:p>
    <w:p w14:paraId="0EA8F7F4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ECS is </w:t>
      </w:r>
      <w:r w:rsidRPr="007B3F6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day-to-day operating bank. It does not take deposits, issue cards, or hold loans on its own book.</w:t>
      </w:r>
    </w:p>
    <w:p w14:paraId="033D1201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H.3.2 Assets &amp; Liabilities</w:t>
      </w:r>
    </w:p>
    <w:p w14:paraId="58E852FB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Typical assets:</w:t>
      </w:r>
    </w:p>
    <w:p w14:paraId="63C43DE0" w14:textId="77777777" w:rsidR="007B3F6C" w:rsidRPr="007B3F6C" w:rsidRDefault="007B3F6C" w:rsidP="007B3F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Cash and liquid reserves (treasury ladder, money markets)</w:t>
      </w:r>
    </w:p>
    <w:p w14:paraId="7A86B148" w14:textId="77777777" w:rsidR="007B3F6C" w:rsidRPr="007B3F6C" w:rsidRDefault="007B3F6C" w:rsidP="007B3F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Public and private investment portfolios</w:t>
      </w:r>
    </w:p>
    <w:p w14:paraId="1C4C217A" w14:textId="77777777" w:rsidR="007B3F6C" w:rsidRPr="007B3F6C" w:rsidRDefault="007B3F6C" w:rsidP="007B3F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Equity in </w:t>
      </w:r>
      <w:proofErr w:type="spell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TechCo</w:t>
      </w:r>
      <w:proofErr w:type="spell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RailCo</w:t>
      </w:r>
      <w:proofErr w:type="spell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, potentially via a holding company</w:t>
      </w:r>
    </w:p>
    <w:p w14:paraId="2FAD04C9" w14:textId="77777777" w:rsidR="007B3F6C" w:rsidRPr="007B3F6C" w:rsidRDefault="007B3F6C" w:rsidP="007B3F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Units in SPVs created for specific verticals or pilots</w:t>
      </w:r>
    </w:p>
    <w:p w14:paraId="1B9D6717" w14:textId="77777777" w:rsidR="007B3F6C" w:rsidRPr="007B3F6C" w:rsidRDefault="007B3F6C" w:rsidP="007B3F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Real assets (if aligned with family mandate)</w:t>
      </w:r>
    </w:p>
    <w:p w14:paraId="0088AF8E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Liabilities are limited and deliberate:</w:t>
      </w:r>
    </w:p>
    <w:p w14:paraId="16C39808" w14:textId="77777777" w:rsidR="007B3F6C" w:rsidRPr="007B3F6C" w:rsidRDefault="007B3F6C" w:rsidP="007B3F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No operating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debt;</w:t>
      </w:r>
      <w:proofErr w:type="gram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only carefully structured inter-entity agreements (e.g., committed capital facilities, co-investment vehicles).</w:t>
      </w:r>
    </w:p>
    <w:p w14:paraId="68AC1C48" w14:textId="77777777" w:rsidR="007B3F6C" w:rsidRPr="007B3F6C" w:rsidRDefault="007B3F6C" w:rsidP="007B3F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Distribution obligations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defined</w:t>
      </w:r>
      <w:proofErr w:type="gram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in trust instruments and policies.</w:t>
      </w:r>
    </w:p>
    <w:p w14:paraId="2DC5F666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H.3.3 Capital Deployment Rules</w:t>
      </w:r>
    </w:p>
    <w:p w14:paraId="1E8A68FE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To prevent the “ATM trust” problem, ECS adopts explicit deployment rules, such as:</w:t>
      </w:r>
    </w:p>
    <w:p w14:paraId="3EEAAC1E" w14:textId="77777777" w:rsidR="007B3F6C" w:rsidRPr="007B3F6C" w:rsidRDefault="007B3F6C" w:rsidP="007B3F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allocation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to operating ventures (e.g., </w:t>
      </w:r>
      <w:proofErr w:type="spell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TechCo</w:t>
      </w:r>
      <w:proofErr w:type="spell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+ NGE + SPVs must remain below X% of corpus).</w:t>
      </w:r>
    </w:p>
    <w:p w14:paraId="4BD9DE8D" w14:textId="77777777" w:rsidR="007B3F6C" w:rsidRPr="007B3F6C" w:rsidRDefault="007B3F6C" w:rsidP="007B3F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Concentration limits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by sector or instrument.</w:t>
      </w:r>
    </w:p>
    <w:p w14:paraId="003BB765" w14:textId="77777777" w:rsidR="007B3F6C" w:rsidRPr="007B3F6C" w:rsidRDefault="007B3F6C" w:rsidP="007B3F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 bands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tied to Trust Index health metrics (Section 1.2): when the Trust Index is stressed, discretionary distributions tighten.</w:t>
      </w:r>
    </w:p>
    <w:p w14:paraId="0DF74DF3" w14:textId="77777777" w:rsidR="007B3F6C" w:rsidRPr="007B3F6C" w:rsidRDefault="007B3F6C" w:rsidP="007B3F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pict w14:anchorId="68614DB7">
          <v:rect id="_x0000_i1250" style="width:0;height:1.5pt" o:hralign="center" o:hrstd="t" o:hr="t" fillcolor="#a0a0a0" stroked="f"/>
        </w:pict>
      </w:r>
    </w:p>
    <w:p w14:paraId="637615DB" w14:textId="77777777" w:rsidR="007B3F6C" w:rsidRPr="007B3F6C" w:rsidRDefault="007B3F6C" w:rsidP="007B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H.4 NGE / </w:t>
      </w:r>
      <w:proofErr w:type="spellStart"/>
      <w:r w:rsidRPr="007B3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RailCo</w:t>
      </w:r>
      <w:proofErr w:type="spellEnd"/>
      <w:r w:rsidRPr="007B3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Operating Rails &amp; BaaS Overlay</w:t>
      </w:r>
    </w:p>
    <w:p w14:paraId="44314BB4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H.4.1 Role &amp; Mandate</w:t>
      </w:r>
    </w:p>
    <w:p w14:paraId="32321FF1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NGE (Next Generation Envoy, or similar) is the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rails entity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. It:</w:t>
      </w:r>
    </w:p>
    <w:p w14:paraId="48003B70" w14:textId="77777777" w:rsidR="007B3F6C" w:rsidRPr="007B3F6C" w:rsidRDefault="007B3F6C" w:rsidP="007B3F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signs BaaS agreements with partner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banks;</w:t>
      </w:r>
      <w:proofErr w:type="gramEnd"/>
    </w:p>
    <w:p w14:paraId="4BF51E30" w14:textId="77777777" w:rsidR="007B3F6C" w:rsidRPr="007B3F6C" w:rsidRDefault="007B3F6C" w:rsidP="007B3F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manages WayPoint Core / Edge / Crown rails (accounts, cards, cash movement) under partners’ regulatory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umbrellas;</w:t>
      </w:r>
      <w:proofErr w:type="gramEnd"/>
    </w:p>
    <w:p w14:paraId="159403DD" w14:textId="77777777" w:rsidR="007B3F6C" w:rsidRPr="007B3F6C" w:rsidRDefault="007B3F6C" w:rsidP="007B3F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structures and manages MSAs, white labels, and JVs with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institutions;</w:t>
      </w:r>
      <w:proofErr w:type="gramEnd"/>
    </w:p>
    <w:p w14:paraId="6A64E264" w14:textId="77777777" w:rsidR="007B3F6C" w:rsidRPr="007B3F6C" w:rsidRDefault="007B3F6C" w:rsidP="007B3F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holds certain risk positions and revenue streams related to banking overlays.</w:t>
      </w:r>
    </w:p>
    <w:p w14:paraId="3B4DFD81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NGE is the entity that looks familiar to BaaS providers and banks: it is the counterpart they sign with.</w:t>
      </w:r>
    </w:p>
    <w:p w14:paraId="3A031C46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H.4.2 Revenue &amp; Risk Profile</w:t>
      </w:r>
    </w:p>
    <w:p w14:paraId="24607E2D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Revenue:</w:t>
      </w:r>
    </w:p>
    <w:p w14:paraId="24D54889" w14:textId="77777777" w:rsidR="007B3F6C" w:rsidRPr="007B3F6C" w:rsidRDefault="007B3F6C" w:rsidP="007B3F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Platform fees, SaaS-style revenue from institutions using the WayPoint OS</w:t>
      </w:r>
    </w:p>
    <w:p w14:paraId="254C6E7D" w14:textId="77777777" w:rsidR="007B3F6C" w:rsidRPr="007B3F6C" w:rsidRDefault="007B3F6C" w:rsidP="007B3F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Economics from BaaS arrangements (interchange splits, deposit economics, etc.)</w:t>
      </w:r>
    </w:p>
    <w:p w14:paraId="0037662A" w14:textId="77777777" w:rsidR="007B3F6C" w:rsidRPr="007B3F6C" w:rsidRDefault="007B3F6C" w:rsidP="007B3F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Advisory/signal fees from interpretive reporting for institutions and FO clients</w:t>
      </w:r>
    </w:p>
    <w:p w14:paraId="685707F0" w14:textId="77777777" w:rsidR="007B3F6C" w:rsidRPr="007B3F6C" w:rsidRDefault="007B3F6C" w:rsidP="007B3F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Performance fees or carry in certain SPVs (where appropriate and regulated)</w:t>
      </w:r>
    </w:p>
    <w:p w14:paraId="6DD8623F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Risk:</w:t>
      </w:r>
    </w:p>
    <w:p w14:paraId="213DEDDF" w14:textId="77777777" w:rsidR="007B3F6C" w:rsidRPr="007B3F6C" w:rsidRDefault="007B3F6C" w:rsidP="007B3F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Operational risk (service delivery, SLAs)</w:t>
      </w:r>
    </w:p>
    <w:p w14:paraId="5FDB358A" w14:textId="77777777" w:rsidR="007B3F6C" w:rsidRPr="007B3F6C" w:rsidRDefault="007B3F6C" w:rsidP="007B3F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Limited economic risk from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first-loss </w:t>
      </w:r>
      <w:proofErr w:type="gramStart"/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tranches</w:t>
      </w:r>
      <w:proofErr w:type="gram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or subordinated capital in specific structures (when NGE chooses to co-risk with partners)</w:t>
      </w:r>
    </w:p>
    <w:p w14:paraId="77A1CB71" w14:textId="77777777" w:rsidR="007B3F6C" w:rsidRPr="007B3F6C" w:rsidRDefault="007B3F6C" w:rsidP="007B3F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Reputational risk as the visible rail brand</w:t>
      </w:r>
    </w:p>
    <w:p w14:paraId="1506A5DD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NGE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commingle customer deposits with its own funds; deposits are held at regulated partner institutions.</w:t>
      </w:r>
    </w:p>
    <w:p w14:paraId="3B15D3D8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H.4.3 Relationship to ECS</w:t>
      </w:r>
    </w:p>
    <w:p w14:paraId="4F6CE706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NGE may be:</w:t>
      </w:r>
    </w:p>
    <w:p w14:paraId="1FE7BE0E" w14:textId="77777777" w:rsidR="007B3F6C" w:rsidRPr="007B3F6C" w:rsidRDefault="007B3F6C" w:rsidP="007B3F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wholly owned by a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Holding Company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by ECS; and/or</w:t>
      </w:r>
    </w:p>
    <w:p w14:paraId="1872CFA4" w14:textId="77777777" w:rsidR="007B3F6C" w:rsidRPr="007B3F6C" w:rsidRDefault="007B3F6C" w:rsidP="007B3F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partially financed by ECS through equity injections, convertible instruments, or committed capital lines.</w:t>
      </w:r>
    </w:p>
    <w:p w14:paraId="07949508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Key is that ECS’s exposure to NGE:</w:t>
      </w:r>
    </w:p>
    <w:p w14:paraId="6A260E33" w14:textId="77777777" w:rsidR="007B3F6C" w:rsidRPr="007B3F6C" w:rsidRDefault="007B3F6C" w:rsidP="007B3F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proofErr w:type="gramStart"/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bounded</w:t>
      </w:r>
      <w:proofErr w:type="gram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(e.g., limited to equity and specific lines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50FBA081" w14:textId="77777777" w:rsidR="007B3F6C" w:rsidRPr="007B3F6C" w:rsidRDefault="007B3F6C" w:rsidP="007B3F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is regularly monitored as part of Trust Index / system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health;</w:t>
      </w:r>
      <w:proofErr w:type="gramEnd"/>
    </w:p>
    <w:p w14:paraId="604956DE" w14:textId="77777777" w:rsidR="007B3F6C" w:rsidRPr="007B3F6C" w:rsidRDefault="007B3F6C" w:rsidP="007B3F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cannot silently drain the corpus through unlimited calls or cross-defaults.</w:t>
      </w:r>
    </w:p>
    <w:p w14:paraId="789672F6" w14:textId="77777777" w:rsidR="007B3F6C" w:rsidRPr="007B3F6C" w:rsidRDefault="007B3F6C" w:rsidP="007B3F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pict w14:anchorId="77EF53B2">
          <v:rect id="_x0000_i1251" style="width:0;height:1.5pt" o:hralign="center" o:hrstd="t" o:hr="t" fillcolor="#a0a0a0" stroked="f"/>
        </w:pict>
      </w:r>
    </w:p>
    <w:p w14:paraId="3EC55249" w14:textId="77777777" w:rsidR="007B3F6C" w:rsidRPr="007B3F6C" w:rsidRDefault="007B3F6C" w:rsidP="007B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H.5 Edge &amp; Renaissance Trusts – High-Volatility Zones</w:t>
      </w:r>
    </w:p>
    <w:p w14:paraId="32F28B5E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To support WayPoint Edge and Renaissance verticals (cannabis, creators, niche platforms, etc.) without contaminating the core corpus, we introduce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Edge/Renaissance Trusts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D96E9D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H.5.1 Purpose</w:t>
      </w:r>
    </w:p>
    <w:p w14:paraId="3975523B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These trusts:</w:t>
      </w:r>
    </w:p>
    <w:p w14:paraId="64E06910" w14:textId="77777777" w:rsidR="007B3F6C" w:rsidRPr="007B3F6C" w:rsidRDefault="007B3F6C" w:rsidP="007B3F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are funded with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explicitly risk-tolerant capital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(from ECS, FO partners, or external investors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102B7D88" w14:textId="77777777" w:rsidR="007B3F6C" w:rsidRPr="007B3F6C" w:rsidRDefault="007B3F6C" w:rsidP="007B3F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focus on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supporting high-variance verticals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where upside and volatility are both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significant;</w:t>
      </w:r>
      <w:proofErr w:type="gramEnd"/>
    </w:p>
    <w:p w14:paraId="6F7B8167" w14:textId="77777777" w:rsidR="007B3F6C" w:rsidRPr="007B3F6C" w:rsidRDefault="007B3F6C" w:rsidP="007B3F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absorb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first-loss or subordinated positions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in specific portfolios or SPVs tied to Edge/Renaissance products.</w:t>
      </w:r>
    </w:p>
    <w:p w14:paraId="702032B1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H.5.2 Relationship to ECS</w:t>
      </w:r>
    </w:p>
    <w:p w14:paraId="1E45AE42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ECS may:</w:t>
      </w:r>
    </w:p>
    <w:p w14:paraId="723ADA7D" w14:textId="77777777" w:rsidR="007B3F6C" w:rsidRPr="007B3F6C" w:rsidRDefault="007B3F6C" w:rsidP="007B3F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allocate a capped portion of corpus into Edge/Renaissance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Trusts;</w:t>
      </w:r>
      <w:proofErr w:type="gramEnd"/>
    </w:p>
    <w:p w14:paraId="56DCD64F" w14:textId="77777777" w:rsidR="007B3F6C" w:rsidRPr="007B3F6C" w:rsidRDefault="007B3F6C" w:rsidP="007B3F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define stricter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and reporting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on these trusts (enhanced monitoring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711679ED" w14:textId="77777777" w:rsidR="007B3F6C" w:rsidRPr="007B3F6C" w:rsidRDefault="007B3F6C" w:rsidP="007B3F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require higher return targets or social/impact justification for capital deployed here.</w:t>
      </w:r>
    </w:p>
    <w:p w14:paraId="06506227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H.5.3 Use Cases</w:t>
      </w:r>
    </w:p>
    <w:p w14:paraId="54D218C1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B0C92DC" w14:textId="77777777" w:rsidR="007B3F6C" w:rsidRPr="007B3F6C" w:rsidRDefault="007B3F6C" w:rsidP="007B3F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A Renaissance trust that funds experimental creator-income securitizations with a first-loss layer.</w:t>
      </w:r>
    </w:p>
    <w:p w14:paraId="4C6AC73B" w14:textId="77777777" w:rsidR="007B3F6C" w:rsidRPr="007B3F6C" w:rsidRDefault="007B3F6C" w:rsidP="007B3F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An Edge trust that supports cannabis-related merchant portfolios in states where legal frameworks are clear but traditional banks remain hesitant.</w:t>
      </w:r>
    </w:p>
    <w:p w14:paraId="3769FCF3" w14:textId="77777777" w:rsidR="007B3F6C" w:rsidRPr="007B3F6C" w:rsidRDefault="007B3F6C" w:rsidP="007B3F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pict w14:anchorId="336ADB49">
          <v:rect id="_x0000_i1252" style="width:0;height:1.5pt" o:hralign="center" o:hrstd="t" o:hr="t" fillcolor="#a0a0a0" stroked="f"/>
        </w:pict>
      </w:r>
    </w:p>
    <w:p w14:paraId="7819B9EF" w14:textId="77777777" w:rsidR="007B3F6C" w:rsidRPr="007B3F6C" w:rsidRDefault="007B3F6C" w:rsidP="007B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H.6 Capital Flows &amp; Securitization Mechanics</w:t>
      </w:r>
    </w:p>
    <w:p w14:paraId="0DFF06DB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H.6.1 Basic Flow Overview</w:t>
      </w:r>
    </w:p>
    <w:p w14:paraId="0BB6AAF2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At a high level:</w:t>
      </w:r>
    </w:p>
    <w:p w14:paraId="79C8BFE8" w14:textId="77777777" w:rsidR="007B3F6C" w:rsidRPr="007B3F6C" w:rsidRDefault="007B3F6C" w:rsidP="007B3F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customers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(households, businesses, FO entities) interact with WayPoint (Core, Edge, or Crown).</w:t>
      </w:r>
    </w:p>
    <w:p w14:paraId="257717C0" w14:textId="77777777" w:rsidR="007B3F6C" w:rsidRPr="007B3F6C" w:rsidRDefault="007B3F6C" w:rsidP="007B3F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institutions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(banks, trust companies, custodians) hold deposits, legal obligations, and most credit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risk,</w:t>
      </w:r>
      <w:proofErr w:type="gram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under their charters.</w:t>
      </w:r>
    </w:p>
    <w:p w14:paraId="64D6ECF3" w14:textId="77777777" w:rsidR="007B3F6C" w:rsidRPr="007B3F6C" w:rsidRDefault="007B3F6C" w:rsidP="007B3F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NGE / </w:t>
      </w:r>
      <w:proofErr w:type="spellStart"/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RailCo</w:t>
      </w:r>
      <w:proofErr w:type="spell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sits between WayPoint and these institutions, earning platform economics and sometimes co-participating in specific portfolios.</w:t>
      </w:r>
    </w:p>
    <w:p w14:paraId="244D1C11" w14:textId="77777777" w:rsidR="007B3F6C" w:rsidRPr="007B3F6C" w:rsidRDefault="007B3F6C" w:rsidP="007B3F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SPVs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may be created to hold slices of portfolios (e.g., SMB loans, Edge vertical receivables).</w:t>
      </w:r>
    </w:p>
    <w:p w14:paraId="3D3A8055" w14:textId="77777777" w:rsidR="007B3F6C" w:rsidRPr="007B3F6C" w:rsidRDefault="007B3F6C" w:rsidP="007B3F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ECS and Edge/Renaissance Trusts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can invest in these SPVs (e.g., equity or mezz tranches),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in a way that obscures who bears what risk.</w:t>
      </w:r>
    </w:p>
    <w:p w14:paraId="085A13A6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H.6.2 Securitization Types</w:t>
      </w:r>
    </w:p>
    <w:p w14:paraId="02B087D2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We focus on:</w:t>
      </w:r>
    </w:p>
    <w:p w14:paraId="495745D3" w14:textId="77777777" w:rsidR="007B3F6C" w:rsidRPr="007B3F6C" w:rsidRDefault="007B3F6C" w:rsidP="007B3F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True-Sale SPVs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– where partner institutions sell receivables to a special-purpose vehicle; NGE/Trusts/FO investors may hold tranches.</w:t>
      </w:r>
    </w:p>
    <w:p w14:paraId="341E94E2" w14:textId="77777777" w:rsidR="007B3F6C" w:rsidRPr="007B3F6C" w:rsidRDefault="007B3F6C" w:rsidP="007B3F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 Structures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– where institutions retain ownership but share economics on defined slices with NGE/Trusts.</w:t>
      </w:r>
    </w:p>
    <w:p w14:paraId="14427BCB" w14:textId="77777777" w:rsidR="007B3F6C" w:rsidRPr="007B3F6C" w:rsidRDefault="007B3F6C" w:rsidP="007B3F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Credit-Linked Notes or Guarantees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– where Edge/Renaissance trusts take structured exposure to defined credit pools.</w:t>
      </w:r>
    </w:p>
    <w:p w14:paraId="5593DE7B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In all cases, documentation:</w:t>
      </w:r>
    </w:p>
    <w:p w14:paraId="24CAF651" w14:textId="77777777" w:rsidR="007B3F6C" w:rsidRPr="007B3F6C" w:rsidRDefault="007B3F6C" w:rsidP="007B3F6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clearly defines cash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waterfall;</w:t>
      </w:r>
      <w:proofErr w:type="gramEnd"/>
    </w:p>
    <w:p w14:paraId="19584EE8" w14:textId="77777777" w:rsidR="007B3F6C" w:rsidRPr="007B3F6C" w:rsidRDefault="007B3F6C" w:rsidP="007B3F6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clarifies default and recovery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protocols;</w:t>
      </w:r>
      <w:proofErr w:type="gramEnd"/>
    </w:p>
    <w:p w14:paraId="6BD7C6B6" w14:textId="77777777" w:rsidR="007B3F6C" w:rsidRPr="007B3F6C" w:rsidRDefault="007B3F6C" w:rsidP="007B3F6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reflects supervisors’ expectations for capital treatment and risk-weighting at the bank level.</w:t>
      </w:r>
    </w:p>
    <w:p w14:paraId="4FEF294E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H.6.3 Reinvestment &amp; Corpus Growth</w:t>
      </w:r>
    </w:p>
    <w:p w14:paraId="25107279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Returns from SPVs / participations:</w:t>
      </w:r>
    </w:p>
    <w:p w14:paraId="03045D55" w14:textId="77777777" w:rsidR="007B3F6C" w:rsidRPr="007B3F6C" w:rsidRDefault="007B3F6C" w:rsidP="007B3F6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flow back to NGE (operating profit), ECS (as investor), and/or Edge/Renaissance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Trusts;</w:t>
      </w:r>
      <w:proofErr w:type="gramEnd"/>
    </w:p>
    <w:p w14:paraId="597D4365" w14:textId="77777777" w:rsidR="007B3F6C" w:rsidRPr="007B3F6C" w:rsidRDefault="007B3F6C" w:rsidP="007B3F6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can be partially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recycled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into new structures (compounding the corpus) or partially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per</w:t>
      </w:r>
      <w:proofErr w:type="gram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trust policies.</w:t>
      </w:r>
    </w:p>
    <w:p w14:paraId="358F5867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Trust Index metrics include:</w:t>
      </w:r>
    </w:p>
    <w:p w14:paraId="573F48AC" w14:textId="77777777" w:rsidR="007B3F6C" w:rsidRPr="007B3F6C" w:rsidRDefault="007B3F6C" w:rsidP="007B3F6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“Operating Ventures Allocation %,”</w:t>
      </w:r>
    </w:p>
    <w:p w14:paraId="31D3E5D9" w14:textId="77777777" w:rsidR="007B3F6C" w:rsidRPr="007B3F6C" w:rsidRDefault="007B3F6C" w:rsidP="007B3F6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“Edge/Renaissance Exposure %,”</w:t>
      </w:r>
    </w:p>
    <w:p w14:paraId="292576DF" w14:textId="77777777" w:rsidR="007B3F6C" w:rsidRPr="007B3F6C" w:rsidRDefault="007B3F6C" w:rsidP="007B3F6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“Realized vs. Expected Volatility,”</w:t>
      </w:r>
    </w:p>
    <w:p w14:paraId="1D4E15F7" w14:textId="77777777" w:rsidR="007B3F6C" w:rsidRPr="007B3F6C" w:rsidRDefault="007B3F6C" w:rsidP="007B3F6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“Distribution vs. Reinvestment Ratios.”</w:t>
      </w:r>
    </w:p>
    <w:p w14:paraId="57AD6D1C" w14:textId="77777777" w:rsidR="007B3F6C" w:rsidRPr="007B3F6C" w:rsidRDefault="007B3F6C" w:rsidP="007B3F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pict w14:anchorId="256B50AB">
          <v:rect id="_x0000_i1253" style="width:0;height:1.5pt" o:hralign="center" o:hrstd="t" o:hr="t" fillcolor="#a0a0a0" stroked="f"/>
        </w:pict>
      </w:r>
    </w:p>
    <w:p w14:paraId="333FB6D8" w14:textId="77777777" w:rsidR="007B3F6C" w:rsidRPr="007B3F6C" w:rsidRDefault="007B3F6C" w:rsidP="007B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H.7 Risk Scenarios &amp; Control Mechanisms</w:t>
      </w:r>
    </w:p>
    <w:p w14:paraId="2E5656FC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This section is here explicitly for boards and regulators: what happens when things go wrong?</w:t>
      </w:r>
    </w:p>
    <w:p w14:paraId="4153C535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H.7.1 Scenario: Pilot Portfolio Underperforms</w:t>
      </w:r>
    </w:p>
    <w:p w14:paraId="45C15CEB" w14:textId="77777777" w:rsidR="007B3F6C" w:rsidRPr="007B3F6C" w:rsidRDefault="007B3F6C" w:rsidP="007B3F6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A specific sandbox portfolio (e.g., SMBs in one region) experiences higher-than-expected losses.</w:t>
      </w:r>
    </w:p>
    <w:p w14:paraId="261674F8" w14:textId="77777777" w:rsidR="007B3F6C" w:rsidRPr="007B3F6C" w:rsidRDefault="007B3F6C" w:rsidP="007B3F6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SPV or participation structures absorb losses according to their pre-defined waterfalls.</w:t>
      </w:r>
    </w:p>
    <w:p w14:paraId="46922084" w14:textId="77777777" w:rsidR="007B3F6C" w:rsidRPr="007B3F6C" w:rsidRDefault="007B3F6C" w:rsidP="007B3F6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If Edge/Renaissance trusts hold first-loss positions, their capital is written down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ECS</w:t>
      </w:r>
      <w:proofErr w:type="gram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or external senior investors feel impact.</w:t>
      </w:r>
    </w:p>
    <w:p w14:paraId="6EF63A4C" w14:textId="77777777" w:rsidR="007B3F6C" w:rsidRPr="007B3F6C" w:rsidRDefault="007B3F6C" w:rsidP="007B3F6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The sandbox is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paused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; Sentiarch’s signal models are re-calibrated before any restart.</w:t>
      </w:r>
    </w:p>
    <w:p w14:paraId="77276759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Key control: ECS exposure is capped and reported; no unlimited “bailout” obligation exists.</w:t>
      </w:r>
    </w:p>
    <w:p w14:paraId="3DB4B758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H.7.2 Scenario: Partner Bank Exits the Relationship</w:t>
      </w:r>
    </w:p>
    <w:p w14:paraId="58EA881A" w14:textId="77777777" w:rsidR="007B3F6C" w:rsidRPr="007B3F6C" w:rsidRDefault="007B3F6C" w:rsidP="007B3F6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NGE has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 protocols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in MSAs/BaaS agreements: portfolio run-down, migration to other partners, or orderly wind-down.</w:t>
      </w:r>
    </w:p>
    <w:p w14:paraId="3874452E" w14:textId="77777777" w:rsidR="007B3F6C" w:rsidRPr="007B3F6C" w:rsidRDefault="007B3F6C" w:rsidP="007B3F6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WayPoint UX can notify customers and guide transitions to avoid panic.</w:t>
      </w:r>
    </w:p>
    <w:p w14:paraId="5F8ED997" w14:textId="77777777" w:rsidR="007B3F6C" w:rsidRPr="007B3F6C" w:rsidRDefault="007B3F6C" w:rsidP="007B3F6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ECS / trusts are not obligated to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plug</w:t>
      </w:r>
      <w:proofErr w:type="gram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any gaps created by a partner’s portfolio decisions; their role is investment, not guarantor.</w:t>
      </w:r>
    </w:p>
    <w:p w14:paraId="063E5492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H.7.3 Scenario: Macro Stress (Recession / Liquidity Crunch)</w:t>
      </w:r>
    </w:p>
    <w:p w14:paraId="203F08EF" w14:textId="77777777" w:rsidR="007B3F6C" w:rsidRPr="007B3F6C" w:rsidRDefault="007B3F6C" w:rsidP="007B3F6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Sentiarch’s scenario engine (Section 5) runs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system-level stress tests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466C87" w14:textId="77777777" w:rsidR="007B3F6C" w:rsidRPr="007B3F6C" w:rsidRDefault="007B3F6C" w:rsidP="007B3F6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projected impacts on FO structures (Trust Index)</w:t>
      </w:r>
    </w:p>
    <w:p w14:paraId="01BE3743" w14:textId="77777777" w:rsidR="007B3F6C" w:rsidRPr="007B3F6C" w:rsidRDefault="007B3F6C" w:rsidP="007B3F6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projected impacts on NGE revenues and SPV performance</w:t>
      </w:r>
    </w:p>
    <w:p w14:paraId="795AAC00" w14:textId="77777777" w:rsidR="007B3F6C" w:rsidRPr="007B3F6C" w:rsidRDefault="007B3F6C" w:rsidP="007B3F6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Governance councils (Rails &amp; Treasury, Risk &amp; Governance) convene to:</w:t>
      </w:r>
    </w:p>
    <w:p w14:paraId="268571B7" w14:textId="77777777" w:rsidR="007B3F6C" w:rsidRPr="007B3F6C" w:rsidRDefault="007B3F6C" w:rsidP="007B3F6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tighten or relax new origination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criteria;</w:t>
      </w:r>
      <w:proofErr w:type="gramEnd"/>
    </w:p>
    <w:p w14:paraId="686851AB" w14:textId="77777777" w:rsidR="007B3F6C" w:rsidRPr="007B3F6C" w:rsidRDefault="007B3F6C" w:rsidP="007B3F6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adjust Edge/Renaissance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exposures;</w:t>
      </w:r>
      <w:proofErr w:type="gramEnd"/>
    </w:p>
    <w:p w14:paraId="0512054F" w14:textId="77777777" w:rsidR="007B3F6C" w:rsidRPr="007B3F6C" w:rsidRDefault="007B3F6C" w:rsidP="007B3F6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revise distribution policies from trusts.</w:t>
      </w:r>
    </w:p>
    <w:p w14:paraId="1F6268AA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ECS’s mandate is to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survive cycles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, not outperform in every quarter.</w:t>
      </w:r>
    </w:p>
    <w:p w14:paraId="1D5607BE" w14:textId="77777777" w:rsidR="007B3F6C" w:rsidRPr="007B3F6C" w:rsidRDefault="007B3F6C" w:rsidP="007B3F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pict w14:anchorId="21027F19">
          <v:rect id="_x0000_i1254" style="width:0;height:1.5pt" o:hralign="center" o:hrstd="t" o:hr="t" fillcolor="#a0a0a0" stroked="f"/>
        </w:pict>
      </w:r>
    </w:p>
    <w:p w14:paraId="0873D087" w14:textId="77777777" w:rsidR="007B3F6C" w:rsidRPr="007B3F6C" w:rsidRDefault="007B3F6C" w:rsidP="007B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H.8 Implementation Phasing for the Trust &amp; Capital Stack</w:t>
      </w:r>
    </w:p>
    <w:p w14:paraId="5E138FFA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Finally, this appendix outlines how to phase this stack into existence.</w:t>
      </w:r>
    </w:p>
    <w:p w14:paraId="2F8747DB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H.8.1 Phase 0 – Foundation</w:t>
      </w:r>
    </w:p>
    <w:p w14:paraId="73DC74D2" w14:textId="77777777" w:rsidR="007B3F6C" w:rsidRPr="007B3F6C" w:rsidRDefault="007B3F6C" w:rsidP="007B3F6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Establish ECS Trust with basic corpus (seeded by founder FO capital).</w:t>
      </w:r>
    </w:p>
    <w:p w14:paraId="6B7A9B71" w14:textId="77777777" w:rsidR="007B3F6C" w:rsidRPr="007B3F6C" w:rsidRDefault="007B3F6C" w:rsidP="007B3F6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Stand up </w:t>
      </w:r>
      <w:proofErr w:type="spell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TechCo</w:t>
      </w:r>
      <w:proofErr w:type="spell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as a portfolio company of ECS (directly or via </w:t>
      </w:r>
      <w:proofErr w:type="spell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holdco</w:t>
      </w:r>
      <w:proofErr w:type="spell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9AA2154" w14:textId="77777777" w:rsidR="007B3F6C" w:rsidRPr="007B3F6C" w:rsidRDefault="007B3F6C" w:rsidP="007B3F6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No securitizations yet; capital primarily supports </w:t>
      </w:r>
      <w:proofErr w:type="spell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TechCo</w:t>
      </w:r>
      <w:proofErr w:type="spell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build-out.</w:t>
      </w:r>
    </w:p>
    <w:p w14:paraId="6ECD8747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H.8.2 Phase 1 – NGE / </w:t>
      </w:r>
      <w:proofErr w:type="spellStart"/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RailCo</w:t>
      </w:r>
      <w:proofErr w:type="spellEnd"/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Early Pilots</w:t>
      </w:r>
    </w:p>
    <w:p w14:paraId="5DCBA0FB" w14:textId="77777777" w:rsidR="007B3F6C" w:rsidRPr="007B3F6C" w:rsidRDefault="007B3F6C" w:rsidP="007B3F6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Form</w:t>
      </w:r>
      <w:proofErr w:type="gram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NGE / </w:t>
      </w:r>
      <w:proofErr w:type="spell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RailCo</w:t>
      </w:r>
      <w:proofErr w:type="spell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as a separate entity (owned by </w:t>
      </w:r>
      <w:proofErr w:type="spell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TechCo</w:t>
      </w:r>
      <w:proofErr w:type="spell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/ ECS structure).</w:t>
      </w:r>
    </w:p>
    <w:p w14:paraId="67EBB67E" w14:textId="77777777" w:rsidR="007B3F6C" w:rsidRPr="007B3F6C" w:rsidRDefault="007B3F6C" w:rsidP="007B3F6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Sign first BaaS / institutional partnerships.</w:t>
      </w:r>
    </w:p>
    <w:p w14:paraId="58C4DC89" w14:textId="77777777" w:rsidR="007B3F6C" w:rsidRPr="007B3F6C" w:rsidRDefault="007B3F6C" w:rsidP="007B3F6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purely advisory / read-only pilots</w:t>
      </w: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with institutions and FO clients (no capital at risk from ECS/NGE in portfolios).</w:t>
      </w:r>
    </w:p>
    <w:p w14:paraId="134D48AB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H.8.3 Phase 2 – Targeted Capital Participation</w:t>
      </w:r>
    </w:p>
    <w:p w14:paraId="16E973E2" w14:textId="77777777" w:rsidR="007B3F6C" w:rsidRPr="007B3F6C" w:rsidRDefault="007B3F6C" w:rsidP="007B3F6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Create first SPVs or participation deals for specific portfolios.</w:t>
      </w:r>
    </w:p>
    <w:p w14:paraId="150F5B94" w14:textId="77777777" w:rsidR="007B3F6C" w:rsidRPr="007B3F6C" w:rsidRDefault="007B3F6C" w:rsidP="007B3F6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Allow ECS and/or Edge/Renaissance trusts to take limited, structured positions.</w:t>
      </w:r>
    </w:p>
    <w:p w14:paraId="0938F245" w14:textId="77777777" w:rsidR="007B3F6C" w:rsidRPr="007B3F6C" w:rsidRDefault="007B3F6C" w:rsidP="007B3F6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Implement formal Trust Index reporting plus internal capital limits.</w:t>
      </w:r>
    </w:p>
    <w:p w14:paraId="68B2E8B4" w14:textId="77777777" w:rsidR="007B3F6C" w:rsidRPr="007B3F6C" w:rsidRDefault="007B3F6C" w:rsidP="007B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H.8.4 Phase 3 – Mature Trust &amp; Reassurance Stack</w:t>
      </w:r>
    </w:p>
    <w:p w14:paraId="32961E9A" w14:textId="77777777" w:rsidR="007B3F6C" w:rsidRPr="007B3F6C" w:rsidRDefault="007B3F6C" w:rsidP="007B3F6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Expand number of trusts (e.g., dedicated Renaissance trust for high-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volatility</w:t>
      </w:r>
      <w:proofErr w:type="gram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verticals).</w:t>
      </w:r>
    </w:p>
    <w:p w14:paraId="4420D249" w14:textId="77777777" w:rsidR="007B3F6C" w:rsidRPr="007B3F6C" w:rsidRDefault="007B3F6C" w:rsidP="007B3F6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Standardize securitization playbooks.</w:t>
      </w:r>
    </w:p>
    <w:p w14:paraId="3A301A47" w14:textId="77777777" w:rsidR="007B3F6C" w:rsidRPr="007B3F6C" w:rsidRDefault="007B3F6C" w:rsidP="007B3F6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Integrate Trust Index </w:t>
      </w:r>
      <w:proofErr w:type="gramStart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>outputs</w:t>
      </w:r>
      <w:proofErr w:type="gramEnd"/>
      <w:r w:rsidRPr="007B3F6C">
        <w:rPr>
          <w:rFonts w:ascii="Times New Roman" w:eastAsia="Times New Roman" w:hAnsi="Times New Roman" w:cs="Times New Roman"/>
          <w:kern w:val="0"/>
          <w14:ligatures w14:val="none"/>
        </w:rPr>
        <w:t xml:space="preserve"> into FO OS reports and institutional oversight packs.</w:t>
      </w:r>
    </w:p>
    <w:p w14:paraId="626CF4E0" w14:textId="77777777" w:rsidR="007B3F6C" w:rsidRPr="007B3F6C" w:rsidRDefault="007B3F6C" w:rsidP="007B3F6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t>Ensure all structures have clear resolution and unwind plans.</w:t>
      </w:r>
    </w:p>
    <w:p w14:paraId="08FB2279" w14:textId="77777777" w:rsidR="007B3F6C" w:rsidRPr="007B3F6C" w:rsidRDefault="007B3F6C" w:rsidP="007B3F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F6C">
        <w:rPr>
          <w:rFonts w:ascii="Times New Roman" w:eastAsia="Times New Roman" w:hAnsi="Times New Roman" w:cs="Times New Roman"/>
          <w:kern w:val="0"/>
          <w14:ligatures w14:val="none"/>
        </w:rPr>
        <w:pict w14:anchorId="77D2A6CA">
          <v:rect id="_x0000_i1255" style="width:0;height:1.5pt" o:hralign="center" o:hrstd="t" o:hr="t" fillcolor="#a0a0a0" stroked="f"/>
        </w:pict>
      </w:r>
    </w:p>
    <w:sectPr w:rsidR="007B3F6C" w:rsidRPr="007B3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517"/>
    <w:multiLevelType w:val="multilevel"/>
    <w:tmpl w:val="D5B8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0AF1"/>
    <w:multiLevelType w:val="multilevel"/>
    <w:tmpl w:val="01E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1002B"/>
    <w:multiLevelType w:val="multilevel"/>
    <w:tmpl w:val="324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E0A40"/>
    <w:multiLevelType w:val="multilevel"/>
    <w:tmpl w:val="D57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8719D"/>
    <w:multiLevelType w:val="multilevel"/>
    <w:tmpl w:val="EB0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F7B36"/>
    <w:multiLevelType w:val="multilevel"/>
    <w:tmpl w:val="1C28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B5D28"/>
    <w:multiLevelType w:val="multilevel"/>
    <w:tmpl w:val="1ED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91261"/>
    <w:multiLevelType w:val="multilevel"/>
    <w:tmpl w:val="965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056B2"/>
    <w:multiLevelType w:val="multilevel"/>
    <w:tmpl w:val="798E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74198"/>
    <w:multiLevelType w:val="multilevel"/>
    <w:tmpl w:val="2D1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A591A"/>
    <w:multiLevelType w:val="multilevel"/>
    <w:tmpl w:val="F57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C1CD1"/>
    <w:multiLevelType w:val="multilevel"/>
    <w:tmpl w:val="5C2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74241"/>
    <w:multiLevelType w:val="multilevel"/>
    <w:tmpl w:val="188E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9494A"/>
    <w:multiLevelType w:val="multilevel"/>
    <w:tmpl w:val="BABC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01CAA"/>
    <w:multiLevelType w:val="multilevel"/>
    <w:tmpl w:val="D28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E3FBD"/>
    <w:multiLevelType w:val="multilevel"/>
    <w:tmpl w:val="D86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56758"/>
    <w:multiLevelType w:val="multilevel"/>
    <w:tmpl w:val="CDBA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3214EA"/>
    <w:multiLevelType w:val="multilevel"/>
    <w:tmpl w:val="0CC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71AC8"/>
    <w:multiLevelType w:val="multilevel"/>
    <w:tmpl w:val="648C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95D30"/>
    <w:multiLevelType w:val="multilevel"/>
    <w:tmpl w:val="6412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54E7E"/>
    <w:multiLevelType w:val="multilevel"/>
    <w:tmpl w:val="18E8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516034"/>
    <w:multiLevelType w:val="multilevel"/>
    <w:tmpl w:val="F11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D659C"/>
    <w:multiLevelType w:val="multilevel"/>
    <w:tmpl w:val="AEF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D7D11"/>
    <w:multiLevelType w:val="multilevel"/>
    <w:tmpl w:val="82B6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2E5CE3"/>
    <w:multiLevelType w:val="multilevel"/>
    <w:tmpl w:val="6E4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06801"/>
    <w:multiLevelType w:val="multilevel"/>
    <w:tmpl w:val="7100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E715A5"/>
    <w:multiLevelType w:val="multilevel"/>
    <w:tmpl w:val="354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9E77D3"/>
    <w:multiLevelType w:val="multilevel"/>
    <w:tmpl w:val="6FF6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D1155"/>
    <w:multiLevelType w:val="multilevel"/>
    <w:tmpl w:val="41E6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812C2F"/>
    <w:multiLevelType w:val="multilevel"/>
    <w:tmpl w:val="9806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93E98"/>
    <w:multiLevelType w:val="multilevel"/>
    <w:tmpl w:val="359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E9081E"/>
    <w:multiLevelType w:val="multilevel"/>
    <w:tmpl w:val="3C7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6E77B6"/>
    <w:multiLevelType w:val="multilevel"/>
    <w:tmpl w:val="B926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990268"/>
    <w:multiLevelType w:val="multilevel"/>
    <w:tmpl w:val="02FA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A42455"/>
    <w:multiLevelType w:val="multilevel"/>
    <w:tmpl w:val="3014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EC1099"/>
    <w:multiLevelType w:val="multilevel"/>
    <w:tmpl w:val="C1B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397292"/>
    <w:multiLevelType w:val="multilevel"/>
    <w:tmpl w:val="1936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82369D"/>
    <w:multiLevelType w:val="multilevel"/>
    <w:tmpl w:val="C9427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1F0046"/>
    <w:multiLevelType w:val="multilevel"/>
    <w:tmpl w:val="4AE2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B25E5A"/>
    <w:multiLevelType w:val="multilevel"/>
    <w:tmpl w:val="E770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D766C4"/>
    <w:multiLevelType w:val="multilevel"/>
    <w:tmpl w:val="608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663E98"/>
    <w:multiLevelType w:val="multilevel"/>
    <w:tmpl w:val="0BB8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840D48"/>
    <w:multiLevelType w:val="multilevel"/>
    <w:tmpl w:val="718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2A4627"/>
    <w:multiLevelType w:val="multilevel"/>
    <w:tmpl w:val="FEB8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1F08AA"/>
    <w:multiLevelType w:val="multilevel"/>
    <w:tmpl w:val="124E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C43468"/>
    <w:multiLevelType w:val="multilevel"/>
    <w:tmpl w:val="7B0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1121C6"/>
    <w:multiLevelType w:val="multilevel"/>
    <w:tmpl w:val="AC0A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1F5640"/>
    <w:multiLevelType w:val="multilevel"/>
    <w:tmpl w:val="3074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7C3CFA"/>
    <w:multiLevelType w:val="multilevel"/>
    <w:tmpl w:val="0BB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3B40E9"/>
    <w:multiLevelType w:val="multilevel"/>
    <w:tmpl w:val="FD9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0F75D3"/>
    <w:multiLevelType w:val="multilevel"/>
    <w:tmpl w:val="F5E0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9045CD"/>
    <w:multiLevelType w:val="multilevel"/>
    <w:tmpl w:val="FC7A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58500D"/>
    <w:multiLevelType w:val="multilevel"/>
    <w:tmpl w:val="9D9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4A13FB"/>
    <w:multiLevelType w:val="multilevel"/>
    <w:tmpl w:val="63F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971D83"/>
    <w:multiLevelType w:val="multilevel"/>
    <w:tmpl w:val="C3F0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3455B6"/>
    <w:multiLevelType w:val="multilevel"/>
    <w:tmpl w:val="C2B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202DEB"/>
    <w:multiLevelType w:val="multilevel"/>
    <w:tmpl w:val="9096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9000B0"/>
    <w:multiLevelType w:val="multilevel"/>
    <w:tmpl w:val="1B70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265ACA"/>
    <w:multiLevelType w:val="multilevel"/>
    <w:tmpl w:val="68E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7C3CB3"/>
    <w:multiLevelType w:val="multilevel"/>
    <w:tmpl w:val="E172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4F2173"/>
    <w:multiLevelType w:val="multilevel"/>
    <w:tmpl w:val="CE1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F33FCE"/>
    <w:multiLevelType w:val="multilevel"/>
    <w:tmpl w:val="2BEE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201628"/>
    <w:multiLevelType w:val="multilevel"/>
    <w:tmpl w:val="6B30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067964"/>
    <w:multiLevelType w:val="multilevel"/>
    <w:tmpl w:val="AD5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24573B"/>
    <w:multiLevelType w:val="multilevel"/>
    <w:tmpl w:val="857E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AB1022"/>
    <w:multiLevelType w:val="multilevel"/>
    <w:tmpl w:val="4512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A44AE6"/>
    <w:multiLevelType w:val="multilevel"/>
    <w:tmpl w:val="4DA4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2920D2"/>
    <w:multiLevelType w:val="multilevel"/>
    <w:tmpl w:val="C69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0942B7"/>
    <w:multiLevelType w:val="multilevel"/>
    <w:tmpl w:val="3DFE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068680">
    <w:abstractNumId w:val="43"/>
  </w:num>
  <w:num w:numId="2" w16cid:durableId="1510217788">
    <w:abstractNumId w:val="55"/>
  </w:num>
  <w:num w:numId="3" w16cid:durableId="1918325178">
    <w:abstractNumId w:val="46"/>
  </w:num>
  <w:num w:numId="4" w16cid:durableId="1675258983">
    <w:abstractNumId w:val="14"/>
  </w:num>
  <w:num w:numId="5" w16cid:durableId="1358894417">
    <w:abstractNumId w:val="0"/>
  </w:num>
  <w:num w:numId="6" w16cid:durableId="125660477">
    <w:abstractNumId w:val="1"/>
  </w:num>
  <w:num w:numId="7" w16cid:durableId="342830208">
    <w:abstractNumId w:val="8"/>
  </w:num>
  <w:num w:numId="8" w16cid:durableId="2129424876">
    <w:abstractNumId w:val="45"/>
  </w:num>
  <w:num w:numId="9" w16cid:durableId="1290088401">
    <w:abstractNumId w:val="24"/>
  </w:num>
  <w:num w:numId="10" w16cid:durableId="1649747848">
    <w:abstractNumId w:val="4"/>
  </w:num>
  <w:num w:numId="11" w16cid:durableId="98989314">
    <w:abstractNumId w:val="23"/>
  </w:num>
  <w:num w:numId="12" w16cid:durableId="1581519343">
    <w:abstractNumId w:val="16"/>
  </w:num>
  <w:num w:numId="13" w16cid:durableId="1853950770">
    <w:abstractNumId w:val="18"/>
  </w:num>
  <w:num w:numId="14" w16cid:durableId="134297792">
    <w:abstractNumId w:val="13"/>
  </w:num>
  <w:num w:numId="15" w16cid:durableId="2064406775">
    <w:abstractNumId w:val="52"/>
  </w:num>
  <w:num w:numId="16" w16cid:durableId="883062360">
    <w:abstractNumId w:val="41"/>
  </w:num>
  <w:num w:numId="17" w16cid:durableId="1153564867">
    <w:abstractNumId w:val="38"/>
  </w:num>
  <w:num w:numId="18" w16cid:durableId="1579513995">
    <w:abstractNumId w:val="53"/>
  </w:num>
  <w:num w:numId="19" w16cid:durableId="435909791">
    <w:abstractNumId w:val="27"/>
  </w:num>
  <w:num w:numId="20" w16cid:durableId="1579249776">
    <w:abstractNumId w:val="21"/>
  </w:num>
  <w:num w:numId="21" w16cid:durableId="2086293778">
    <w:abstractNumId w:val="40"/>
  </w:num>
  <w:num w:numId="22" w16cid:durableId="210581516">
    <w:abstractNumId w:val="65"/>
  </w:num>
  <w:num w:numId="23" w16cid:durableId="1718433487">
    <w:abstractNumId w:val="44"/>
  </w:num>
  <w:num w:numId="24" w16cid:durableId="1598446998">
    <w:abstractNumId w:val="50"/>
  </w:num>
  <w:num w:numId="25" w16cid:durableId="1172142036">
    <w:abstractNumId w:val="9"/>
  </w:num>
  <w:num w:numId="26" w16cid:durableId="303775745">
    <w:abstractNumId w:val="60"/>
  </w:num>
  <w:num w:numId="27" w16cid:durableId="400061769">
    <w:abstractNumId w:val="20"/>
  </w:num>
  <w:num w:numId="28" w16cid:durableId="1461805446">
    <w:abstractNumId w:val="25"/>
  </w:num>
  <w:num w:numId="29" w16cid:durableId="1944075178">
    <w:abstractNumId w:val="12"/>
  </w:num>
  <w:num w:numId="30" w16cid:durableId="670454548">
    <w:abstractNumId w:val="22"/>
  </w:num>
  <w:num w:numId="31" w16cid:durableId="1583294443">
    <w:abstractNumId w:val="64"/>
  </w:num>
  <w:num w:numId="32" w16cid:durableId="663977828">
    <w:abstractNumId w:val="5"/>
  </w:num>
  <w:num w:numId="33" w16cid:durableId="1252397294">
    <w:abstractNumId w:val="56"/>
  </w:num>
  <w:num w:numId="34" w16cid:durableId="1657799414">
    <w:abstractNumId w:val="26"/>
  </w:num>
  <w:num w:numId="35" w16cid:durableId="491991809">
    <w:abstractNumId w:val="34"/>
  </w:num>
  <w:num w:numId="36" w16cid:durableId="1193416002">
    <w:abstractNumId w:val="57"/>
  </w:num>
  <w:num w:numId="37" w16cid:durableId="995768981">
    <w:abstractNumId w:val="29"/>
  </w:num>
  <w:num w:numId="38" w16cid:durableId="186800152">
    <w:abstractNumId w:val="6"/>
  </w:num>
  <w:num w:numId="39" w16cid:durableId="1356231650">
    <w:abstractNumId w:val="30"/>
  </w:num>
  <w:num w:numId="40" w16cid:durableId="602497367">
    <w:abstractNumId w:val="58"/>
  </w:num>
  <w:num w:numId="41" w16cid:durableId="1554270751">
    <w:abstractNumId w:val="15"/>
  </w:num>
  <w:num w:numId="42" w16cid:durableId="1606500351">
    <w:abstractNumId w:val="37"/>
  </w:num>
  <w:num w:numId="43" w16cid:durableId="1043945931">
    <w:abstractNumId w:val="51"/>
  </w:num>
  <w:num w:numId="44" w16cid:durableId="666322187">
    <w:abstractNumId w:val="7"/>
  </w:num>
  <w:num w:numId="45" w16cid:durableId="867107869">
    <w:abstractNumId w:val="61"/>
  </w:num>
  <w:num w:numId="46" w16cid:durableId="1404599672">
    <w:abstractNumId w:val="63"/>
  </w:num>
  <w:num w:numId="47" w16cid:durableId="1026248138">
    <w:abstractNumId w:val="33"/>
  </w:num>
  <w:num w:numId="48" w16cid:durableId="1446385669">
    <w:abstractNumId w:val="67"/>
  </w:num>
  <w:num w:numId="49" w16cid:durableId="1506169044">
    <w:abstractNumId w:val="17"/>
  </w:num>
  <w:num w:numId="50" w16cid:durableId="1291595340">
    <w:abstractNumId w:val="10"/>
  </w:num>
  <w:num w:numId="51" w16cid:durableId="713623484">
    <w:abstractNumId w:val="35"/>
  </w:num>
  <w:num w:numId="52" w16cid:durableId="1257641333">
    <w:abstractNumId w:val="66"/>
  </w:num>
  <w:num w:numId="53" w16cid:durableId="1997342980">
    <w:abstractNumId w:val="39"/>
  </w:num>
  <w:num w:numId="54" w16cid:durableId="1891262866">
    <w:abstractNumId w:val="3"/>
  </w:num>
  <w:num w:numId="55" w16cid:durableId="5989433">
    <w:abstractNumId w:val="47"/>
  </w:num>
  <w:num w:numId="56" w16cid:durableId="2001809750">
    <w:abstractNumId w:val="11"/>
  </w:num>
  <w:num w:numId="57" w16cid:durableId="225998500">
    <w:abstractNumId w:val="59"/>
  </w:num>
  <w:num w:numId="58" w16cid:durableId="1405496527">
    <w:abstractNumId w:val="36"/>
  </w:num>
  <w:num w:numId="59" w16cid:durableId="72439416">
    <w:abstractNumId w:val="28"/>
  </w:num>
  <w:num w:numId="60" w16cid:durableId="895822792">
    <w:abstractNumId w:val="2"/>
  </w:num>
  <w:num w:numId="61" w16cid:durableId="1689454092">
    <w:abstractNumId w:val="42"/>
  </w:num>
  <w:num w:numId="62" w16cid:durableId="1113865121">
    <w:abstractNumId w:val="19"/>
  </w:num>
  <w:num w:numId="63" w16cid:durableId="971789890">
    <w:abstractNumId w:val="49"/>
  </w:num>
  <w:num w:numId="64" w16cid:durableId="1453863475">
    <w:abstractNumId w:val="62"/>
  </w:num>
  <w:num w:numId="65" w16cid:durableId="279840350">
    <w:abstractNumId w:val="68"/>
  </w:num>
  <w:num w:numId="66" w16cid:durableId="1214855910">
    <w:abstractNumId w:val="54"/>
  </w:num>
  <w:num w:numId="67" w16cid:durableId="1088577010">
    <w:abstractNumId w:val="32"/>
  </w:num>
  <w:num w:numId="68" w16cid:durableId="1986159367">
    <w:abstractNumId w:val="48"/>
  </w:num>
  <w:num w:numId="69" w16cid:durableId="167244485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8A"/>
    <w:rsid w:val="000C30F9"/>
    <w:rsid w:val="00586A8A"/>
    <w:rsid w:val="005E2605"/>
    <w:rsid w:val="0060103B"/>
    <w:rsid w:val="007B3F6C"/>
    <w:rsid w:val="00874377"/>
    <w:rsid w:val="008A5BDC"/>
    <w:rsid w:val="00905A74"/>
    <w:rsid w:val="00942C6D"/>
    <w:rsid w:val="009D5CB9"/>
    <w:rsid w:val="00A04448"/>
    <w:rsid w:val="00BF1136"/>
    <w:rsid w:val="00C649E7"/>
    <w:rsid w:val="00D64E85"/>
    <w:rsid w:val="00E14BF3"/>
    <w:rsid w:val="00ED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06E9"/>
  <w15:chartTrackingRefBased/>
  <w15:docId w15:val="{F13CB113-1D3B-46D9-A461-D85DCFDD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1768</Words>
  <Characters>10078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3</cp:revision>
  <dcterms:created xsi:type="dcterms:W3CDTF">2026-01-13T04:15:00Z</dcterms:created>
  <dcterms:modified xsi:type="dcterms:W3CDTF">2026-01-13T04:19:00Z</dcterms:modified>
</cp:coreProperties>
</file>