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DA24" w14:textId="4CFE0E3B" w:rsidR="007B08E2" w:rsidRDefault="004E4511">
      <w:pPr>
        <w:pStyle w:val="Body"/>
      </w:pPr>
      <w:r>
        <w:rPr>
          <w:noProof/>
        </w:rPr>
        <w:drawing>
          <wp:anchor distT="0" distB="0" distL="0" distR="0" simplePos="0" relativeHeight="251659264" behindDoc="0" locked="0" layoutInCell="1" allowOverlap="1" wp14:anchorId="3ADADB5D" wp14:editId="5456C461">
            <wp:simplePos x="0" y="0"/>
            <wp:positionH relativeFrom="margin">
              <wp:align>center</wp:align>
            </wp:positionH>
            <wp:positionV relativeFrom="page">
              <wp:posOffset>1656715</wp:posOffset>
            </wp:positionV>
            <wp:extent cx="1928388" cy="2037030"/>
            <wp:effectExtent l="0" t="0" r="0" b="0"/>
            <wp:wrapNone/>
            <wp:docPr id="1073741829" name="officeArt object" descr="A gold logo with a crown"/>
            <wp:cNvGraphicFramePr/>
            <a:graphic xmlns:a="http://schemas.openxmlformats.org/drawingml/2006/main">
              <a:graphicData uri="http://schemas.openxmlformats.org/drawingml/2006/picture">
                <pic:pic xmlns:pic="http://schemas.openxmlformats.org/drawingml/2006/picture">
                  <pic:nvPicPr>
                    <pic:cNvPr id="1073741829" name="A gold logo with a crown" descr="A gold logo with a crown"/>
                    <pic:cNvPicPr>
                      <a:picLocks noChangeAspect="1"/>
                    </pic:cNvPicPr>
                  </pic:nvPicPr>
                  <pic:blipFill>
                    <a:blip r:embed="rId8"/>
                    <a:stretch>
                      <a:fillRect/>
                    </a:stretch>
                  </pic:blipFill>
                  <pic:spPr>
                    <a:xfrm>
                      <a:off x="0" y="0"/>
                      <a:ext cx="1928388" cy="203703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A72FF6">
        <w:rPr>
          <w:noProof/>
        </w:rPr>
        <mc:AlternateContent>
          <mc:Choice Requires="wps">
            <w:drawing>
              <wp:anchor distT="0" distB="0" distL="0" distR="0" simplePos="0" relativeHeight="251657216" behindDoc="1" locked="0" layoutInCell="1" allowOverlap="1" wp14:anchorId="78FAD1A7" wp14:editId="5047267F">
                <wp:simplePos x="0" y="0"/>
                <wp:positionH relativeFrom="page">
                  <wp:posOffset>-57150</wp:posOffset>
                </wp:positionH>
                <wp:positionV relativeFrom="line">
                  <wp:posOffset>-1636394</wp:posOffset>
                </wp:positionV>
                <wp:extent cx="7829550" cy="9201150"/>
                <wp:effectExtent l="0" t="0" r="0" b="0"/>
                <wp:wrapNone/>
                <wp:docPr id="1073741827" name="officeArt object" descr="Rectangle 3"/>
                <wp:cNvGraphicFramePr/>
                <a:graphic xmlns:a="http://schemas.openxmlformats.org/drawingml/2006/main">
                  <a:graphicData uri="http://schemas.microsoft.com/office/word/2010/wordprocessingShape">
                    <wps:wsp>
                      <wps:cNvSpPr/>
                      <wps:spPr>
                        <a:xfrm>
                          <a:off x="0" y="0"/>
                          <a:ext cx="7829550" cy="9201150"/>
                        </a:xfrm>
                        <a:prstGeom prst="rect">
                          <a:avLst/>
                        </a:prstGeom>
                        <a:solidFill>
                          <a:srgbClr val="000000"/>
                        </a:solidFill>
                        <a:ln w="12700" cap="flat">
                          <a:noFill/>
                          <a:miter lim="400000"/>
                        </a:ln>
                        <a:effectLst/>
                      </wps:spPr>
                      <wps:bodyPr/>
                    </wps:wsp>
                  </a:graphicData>
                </a:graphic>
              </wp:anchor>
            </w:drawing>
          </mc:Choice>
          <mc:Fallback>
            <w:pict>
              <v:rect w14:anchorId="5C7DC47A" id="officeArt object" o:spid="_x0000_s1026" alt="Rectangle 3" style="position:absolute;margin-left:-4.5pt;margin-top:-128.85pt;width:616.5pt;height:724.5pt;z-index:-251659264;visibility:visible;mso-wrap-style:square;mso-wrap-distance-left:0;mso-wrap-distance-top:0;mso-wrap-distance-right:0;mso-wrap-distance-bottom:0;mso-position-horizontal:absolute;mso-position-horizontal-relative:page;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" fillcolor="black" stroked="f" strokeweight="1pt">
                <v:stroke miterlimit="4"/>
                <w10:wrap anchorx="page" anchory="line"/>
              </v:rect>
            </w:pict>
          </mc:Fallback>
        </mc:AlternateContent>
      </w:r>
    </w:p>
    <w:p w14:paraId="018E7617" w14:textId="77777777" w:rsidR="007B08E2" w:rsidRDefault="007B08E2">
      <w:pPr>
        <w:pStyle w:val="Body"/>
      </w:pPr>
    </w:p>
    <w:p w14:paraId="5155101E" w14:textId="77777777" w:rsidR="007B08E2" w:rsidRDefault="007B08E2">
      <w:pPr>
        <w:pStyle w:val="Body"/>
      </w:pPr>
    </w:p>
    <w:p w14:paraId="47583ED8" w14:textId="77777777" w:rsidR="007B08E2" w:rsidRDefault="007B08E2">
      <w:pPr>
        <w:pStyle w:val="Body"/>
      </w:pPr>
    </w:p>
    <w:p w14:paraId="1F6FB1A6" w14:textId="1D86DA47" w:rsidR="007B08E2" w:rsidRDefault="004E4511">
      <w:pPr>
        <w:pStyle w:val="Body"/>
      </w:pPr>
      <w:r>
        <w:rPr>
          <w:noProof/>
        </w:rPr>
        <mc:AlternateContent>
          <mc:Choice Requires="wps">
            <w:drawing>
              <wp:anchor distT="0" distB="0" distL="0" distR="0" simplePos="0" relativeHeight="251661312" behindDoc="0" locked="0" layoutInCell="1" allowOverlap="1" wp14:anchorId="32B37F7D" wp14:editId="13376646">
                <wp:simplePos x="0" y="0"/>
                <wp:positionH relativeFrom="page">
                  <wp:posOffset>1779905</wp:posOffset>
                </wp:positionH>
                <wp:positionV relativeFrom="line">
                  <wp:posOffset>1428913</wp:posOffset>
                </wp:positionV>
                <wp:extent cx="4230370" cy="42545"/>
                <wp:effectExtent l="0" t="0" r="36830" b="33655"/>
                <wp:wrapNone/>
                <wp:docPr id="1073741828" name="officeArt object" descr="Straight Connector 2"/>
                <wp:cNvGraphicFramePr/>
                <a:graphic xmlns:a="http://schemas.openxmlformats.org/drawingml/2006/main">
                  <a:graphicData uri="http://schemas.microsoft.com/office/word/2010/wordprocessingShape">
                    <wps:wsp>
                      <wps:cNvCnPr/>
                      <wps:spPr>
                        <a:xfrm flipV="1">
                          <a:off x="0" y="0"/>
                          <a:ext cx="4230370" cy="42545"/>
                        </a:xfrm>
                        <a:prstGeom prst="line">
                          <a:avLst/>
                        </a:prstGeom>
                        <a:noFill/>
                        <a:ln w="19050" cap="flat">
                          <a:solidFill>
                            <a:srgbClr val="E4CC80"/>
                          </a:solidFill>
                          <a:prstDash val="solid"/>
                          <a:miter lim="800000"/>
                        </a:ln>
                        <a:effectLst/>
                      </wps:spPr>
                      <wps:bodyPr/>
                    </wps:wsp>
                  </a:graphicData>
                </a:graphic>
              </wp:anchor>
            </w:drawing>
          </mc:Choice>
          <mc:Fallback>
            <w:pict>
              <v:line w14:anchorId="712920B7" id="officeArt object" o:spid="_x0000_s1026" alt="Straight Connector 2" style="position:absolute;flip:y;z-index:251661312;visibility:visible;mso-wrap-style:square;mso-wrap-distance-left:0;mso-wrap-distance-top:0;mso-wrap-distance-right:0;mso-wrap-distance-bottom:0;mso-position-horizontal:absolute;mso-position-horizontal-relative:page;mso-position-vertical:absolute;mso-position-vertical-relative:line" from="140.15pt,112.5pt" to="473.25pt,1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" strokecolor="#e4cc80" strokeweight="1.5pt">
                <v:stroke joinstyle="miter"/>
                <w10:wrap anchorx="page" anchory="line"/>
              </v:line>
            </w:pict>
          </mc:Fallback>
        </mc:AlternateContent>
      </w:r>
      <w:r w:rsidR="00A72FF6">
        <w:rPr>
          <w:noProof/>
        </w:rPr>
        <mc:AlternateContent>
          <mc:Choice Requires="wps">
            <w:drawing>
              <wp:anchor distT="80010" distB="80010" distL="80010" distR="80010" simplePos="0" relativeHeight="251660288" behindDoc="0" locked="0" layoutInCell="1" allowOverlap="1" wp14:anchorId="189A4D92" wp14:editId="66E50132">
                <wp:simplePos x="0" y="0"/>
                <wp:positionH relativeFrom="margin">
                  <wp:align>right</wp:align>
                </wp:positionH>
                <wp:positionV relativeFrom="line">
                  <wp:posOffset>435610</wp:posOffset>
                </wp:positionV>
                <wp:extent cx="5558155" cy="2118360"/>
                <wp:effectExtent l="0" t="0" r="4445" b="0"/>
                <wp:wrapSquare wrapText="bothSides" distT="80010" distB="80010" distL="80010" distR="80010"/>
                <wp:docPr id="1073741830" name="officeArt object" descr="Text Box 2"/>
                <wp:cNvGraphicFramePr/>
                <a:graphic xmlns:a="http://schemas.openxmlformats.org/drawingml/2006/main">
                  <a:graphicData uri="http://schemas.microsoft.com/office/word/2010/wordprocessingShape">
                    <wps:wsp>
                      <wps:cNvSpPr txBox="1"/>
                      <wps:spPr>
                        <a:xfrm>
                          <a:off x="0" y="0"/>
                          <a:ext cx="5558155" cy="2118360"/>
                        </a:xfrm>
                        <a:prstGeom prst="rect">
                          <a:avLst/>
                        </a:prstGeom>
                        <a:noFill/>
                        <a:ln w="12700" cap="flat">
                          <a:noFill/>
                          <a:miter lim="400000"/>
                        </a:ln>
                        <a:effectLst/>
                        <a:extLst>
                          <a:ext uri="{C572A759-6A51-4108-AA02-DFA0A04FC94B}">
                            <ma14:wrappingTextBoxFlag xmlns:arto="http://schemas.microsoft.com/office/word/2006/arto" xmlns="" xmlns:w="http://schemas.openxmlformats.org/wordprocessingml/2006/main" xmlns:w10="urn:schemas-microsoft-com:office:word" xmlns:v="urn:schemas-microsoft-com:vml" xmlns:o="urn:schemas-microsoft-com:office:office" xmlns:ma14="http://schemas.microsoft.com/office/mac/drawingml/2011/main" val="1"/>
                          </a:ext>
                        </a:extLst>
                      </wps:spPr>
                      <wps:txbx>
                        <w:txbxContent>
                          <w:p w14:paraId="61E5E04B" w14:textId="77777777" w:rsidR="007B08E2" w:rsidRPr="004E4511" w:rsidRDefault="007B08E2">
                            <w:pPr>
                              <w:pStyle w:val="Body"/>
                              <w:spacing w:after="120"/>
                              <w:jc w:val="center"/>
                              <w:rPr>
                                <w:rFonts w:ascii="Garamond" w:eastAsia="Garamond" w:hAnsi="Garamond" w:cs="Garamond"/>
                                <w:color w:val="E4CC80"/>
                                <w:spacing w:val="10"/>
                                <w:sz w:val="40"/>
                                <w:szCs w:val="40"/>
                                <w:u w:color="E4CC80"/>
                              </w:rPr>
                            </w:pPr>
                          </w:p>
                          <w:p w14:paraId="3106A734" w14:textId="62EDA01B" w:rsidR="004E4511" w:rsidRPr="004E4511" w:rsidRDefault="004E4511" w:rsidP="004E4511">
                            <w:pPr>
                              <w:pStyle w:val="Body"/>
                              <w:spacing w:after="240" w:line="276" w:lineRule="auto"/>
                              <w:jc w:val="center"/>
                              <w:rPr>
                                <w:rFonts w:ascii="Garamond" w:hAnsi="Garamond"/>
                                <w:color w:val="E4CC80"/>
                                <w:spacing w:val="10"/>
                                <w:sz w:val="56"/>
                                <w:szCs w:val="56"/>
                                <w:u w:color="E4CC80"/>
                              </w:rPr>
                            </w:pPr>
                            <w:r w:rsidRPr="004E4511">
                              <w:rPr>
                                <w:rFonts w:ascii="Garamond" w:hAnsi="Garamond"/>
                                <w:color w:val="E4CC80"/>
                                <w:spacing w:val="10"/>
                                <w:sz w:val="56"/>
                                <w:szCs w:val="56"/>
                                <w:u w:color="E4CC80"/>
                              </w:rPr>
                              <w:t>WayPoint</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w:t>
                            </w:r>
                            <w:r>
                              <w:rPr>
                                <w:rFonts w:ascii="Garamond" w:hAnsi="Garamond"/>
                                <w:color w:val="E4CC80"/>
                                <w:spacing w:val="10"/>
                                <w:sz w:val="56"/>
                                <w:szCs w:val="56"/>
                                <w:u w:color="E4CC80"/>
                              </w:rPr>
                              <w:t xml:space="preserve"> </w:t>
                            </w:r>
                            <w:r w:rsidR="00A72FF6" w:rsidRPr="004E4511">
                              <w:rPr>
                                <w:rFonts w:ascii="Garamond" w:hAnsi="Garamond"/>
                                <w:color w:val="E4CC80"/>
                                <w:spacing w:val="10"/>
                                <w:sz w:val="56"/>
                                <w:szCs w:val="56"/>
                                <w:u w:color="E4CC80"/>
                              </w:rPr>
                              <w:t>Sentiarch</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Eden</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Crown</w:t>
                            </w:r>
                          </w:p>
                          <w:p w14:paraId="4ADA78A9" w14:textId="4CE66208" w:rsidR="007B08E2" w:rsidRPr="004E4511" w:rsidRDefault="004E4511" w:rsidP="004E4511">
                            <w:pPr>
                              <w:pStyle w:val="Body"/>
                              <w:spacing w:after="0" w:line="240" w:lineRule="auto"/>
                              <w:jc w:val="center"/>
                              <w:rPr>
                                <w:rFonts w:ascii="Garamond" w:eastAsia="Garamond" w:hAnsi="Garamond" w:cs="Garamond"/>
                                <w:color w:val="E4CC80"/>
                                <w:spacing w:val="10"/>
                                <w:sz w:val="28"/>
                                <w:szCs w:val="28"/>
                                <w:u w:color="E4CC80"/>
                              </w:rPr>
                            </w:pPr>
                            <w:r w:rsidRPr="004E4511">
                              <w:rPr>
                                <w:rFonts w:ascii="Garamond" w:hAnsi="Garamond"/>
                                <w:color w:val="E4CC80"/>
                                <w:spacing w:val="10"/>
                                <w:sz w:val="28"/>
                                <w:szCs w:val="28"/>
                                <w:u w:color="E4CC80"/>
                              </w:rPr>
                              <w:t xml:space="preserve">Integrated Concept &amp; Architecture </w:t>
                            </w:r>
                            <w:r w:rsidR="00A72FF6" w:rsidRPr="004E4511">
                              <w:rPr>
                                <w:rFonts w:ascii="Garamond" w:hAnsi="Garamond"/>
                                <w:color w:val="E4CC80"/>
                                <w:spacing w:val="10"/>
                                <w:sz w:val="28"/>
                                <w:szCs w:val="28"/>
                                <w:u w:color="E4CC80"/>
                              </w:rPr>
                              <w:t>Brief</w:t>
                            </w:r>
                          </w:p>
                          <w:p w14:paraId="3A53B5F3" w14:textId="77777777" w:rsidR="007B08E2" w:rsidRPr="004E4511" w:rsidRDefault="00A72FF6" w:rsidP="004E4511">
                            <w:pPr>
                              <w:pStyle w:val="Body"/>
                              <w:spacing w:after="0" w:line="240" w:lineRule="auto"/>
                              <w:jc w:val="center"/>
                              <w:rPr>
                                <w:sz w:val="28"/>
                                <w:szCs w:val="28"/>
                              </w:rPr>
                            </w:pPr>
                            <w:r w:rsidRPr="004E4511">
                              <w:rPr>
                                <w:rFonts w:ascii="Garamond" w:hAnsi="Garamond"/>
                                <w:color w:val="E4CC80"/>
                                <w:spacing w:val="10"/>
                                <w:sz w:val="28"/>
                                <w:szCs w:val="28"/>
                                <w:u w:color="E4CC80"/>
                              </w:rPr>
                              <w:t>Version 3.0</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type w14:anchorId="189A4D92" id="_x0000_t202" coordsize="21600,21600" o:spt="202" path="m,l,21600r21600,l21600,xe">
                <v:stroke joinstyle="miter"/>
                <v:path gradientshapeok="t" o:connecttype="rect"/>
              </v:shapetype>
              <v:shape id="officeArt object" o:spid="_x0000_s1026" type="#_x0000_t202" alt="Text Box 2" style="position:absolute;margin-left:386.45pt;margin-top:34.3pt;width:437.65pt;height:166.8pt;z-index:251660288;visibility:visible;mso-wrap-style:square;mso-height-percent:0;mso-wrap-distance-left:6.3pt;mso-wrap-distance-top:6.3pt;mso-wrap-distance-right:6.3pt;mso-wrap-distance-bottom:6.3pt;mso-position-horizontal:right;mso-position-horizontal-relative:margin;mso-position-vertical:absolute;mso-position-vertical-relative:lin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" filled="f" stroked="f" strokeweight="1pt">
                <v:stroke miterlimit="4"/>
                <v:textbox inset="1.27mm,1.27mm,1.27mm,1.27mm">
                  <w:txbxContent>
                    <w:p w14:paraId="61E5E04B" w14:textId="77777777" w:rsidR="007B08E2" w:rsidRPr="004E4511" w:rsidRDefault="007B08E2">
                      <w:pPr>
                        <w:pStyle w:val="Body"/>
                        <w:spacing w:after="120"/>
                        <w:jc w:val="center"/>
                        <w:rPr>
                          <w:rFonts w:ascii="Garamond" w:eastAsia="Garamond" w:hAnsi="Garamond" w:cs="Garamond"/>
                          <w:color w:val="E4CC80"/>
                          <w:spacing w:val="10"/>
                          <w:sz w:val="40"/>
                          <w:szCs w:val="40"/>
                          <w:u w:color="E4CC80"/>
                        </w:rPr>
                      </w:pPr>
                    </w:p>
                    <w:p w14:paraId="3106A734" w14:textId="62EDA01B" w:rsidR="004E4511" w:rsidRPr="004E4511" w:rsidRDefault="004E4511" w:rsidP="004E4511">
                      <w:pPr>
                        <w:pStyle w:val="Body"/>
                        <w:spacing w:after="240" w:line="276" w:lineRule="auto"/>
                        <w:jc w:val="center"/>
                        <w:rPr>
                          <w:rFonts w:ascii="Garamond" w:hAnsi="Garamond"/>
                          <w:color w:val="E4CC80"/>
                          <w:spacing w:val="10"/>
                          <w:sz w:val="56"/>
                          <w:szCs w:val="56"/>
                          <w:u w:color="E4CC80"/>
                        </w:rPr>
                      </w:pPr>
                      <w:r w:rsidRPr="004E4511">
                        <w:rPr>
                          <w:rFonts w:ascii="Garamond" w:hAnsi="Garamond"/>
                          <w:color w:val="E4CC80"/>
                          <w:spacing w:val="10"/>
                          <w:sz w:val="56"/>
                          <w:szCs w:val="56"/>
                          <w:u w:color="E4CC80"/>
                        </w:rPr>
                        <w:t>WayPoint</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w:t>
                      </w:r>
                      <w:r>
                        <w:rPr>
                          <w:rFonts w:ascii="Garamond" w:hAnsi="Garamond"/>
                          <w:color w:val="E4CC80"/>
                          <w:spacing w:val="10"/>
                          <w:sz w:val="56"/>
                          <w:szCs w:val="56"/>
                          <w:u w:color="E4CC80"/>
                        </w:rPr>
                        <w:t xml:space="preserve"> </w:t>
                      </w:r>
                      <w:r w:rsidR="00A72FF6" w:rsidRPr="004E4511">
                        <w:rPr>
                          <w:rFonts w:ascii="Garamond" w:hAnsi="Garamond"/>
                          <w:color w:val="E4CC80"/>
                          <w:spacing w:val="10"/>
                          <w:sz w:val="56"/>
                          <w:szCs w:val="56"/>
                          <w:u w:color="E4CC80"/>
                        </w:rPr>
                        <w:t>Sentiarch</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Eden</w:t>
                      </w:r>
                      <w:r>
                        <w:rPr>
                          <w:rFonts w:ascii="Garamond" w:hAnsi="Garamond"/>
                          <w:color w:val="E4CC80"/>
                          <w:spacing w:val="10"/>
                          <w:sz w:val="56"/>
                          <w:szCs w:val="56"/>
                          <w:u w:color="E4CC80"/>
                        </w:rPr>
                        <w:t xml:space="preserve"> </w:t>
                      </w:r>
                      <w:r w:rsidRPr="004E4511">
                        <w:rPr>
                          <w:rFonts w:ascii="Garamond" w:hAnsi="Garamond"/>
                          <w:color w:val="E4CC80"/>
                          <w:spacing w:val="10"/>
                          <w:sz w:val="56"/>
                          <w:szCs w:val="56"/>
                          <w:u w:color="E4CC80"/>
                        </w:rPr>
                        <w:t>Crown</w:t>
                      </w:r>
                    </w:p>
                    <w:p w14:paraId="4ADA78A9" w14:textId="4CE66208" w:rsidR="007B08E2" w:rsidRPr="004E4511" w:rsidRDefault="004E4511" w:rsidP="004E4511">
                      <w:pPr>
                        <w:pStyle w:val="Body"/>
                        <w:spacing w:after="0" w:line="240" w:lineRule="auto"/>
                        <w:jc w:val="center"/>
                        <w:rPr>
                          <w:rFonts w:ascii="Garamond" w:eastAsia="Garamond" w:hAnsi="Garamond" w:cs="Garamond"/>
                          <w:color w:val="E4CC80"/>
                          <w:spacing w:val="10"/>
                          <w:sz w:val="28"/>
                          <w:szCs w:val="28"/>
                          <w:u w:color="E4CC80"/>
                        </w:rPr>
                      </w:pPr>
                      <w:r w:rsidRPr="004E4511">
                        <w:rPr>
                          <w:rFonts w:ascii="Garamond" w:hAnsi="Garamond"/>
                          <w:color w:val="E4CC80"/>
                          <w:spacing w:val="10"/>
                          <w:sz w:val="28"/>
                          <w:szCs w:val="28"/>
                          <w:u w:color="E4CC80"/>
                        </w:rPr>
                        <w:t xml:space="preserve">Integrated Concept &amp; Architecture </w:t>
                      </w:r>
                      <w:r w:rsidR="00A72FF6" w:rsidRPr="004E4511">
                        <w:rPr>
                          <w:rFonts w:ascii="Garamond" w:hAnsi="Garamond"/>
                          <w:color w:val="E4CC80"/>
                          <w:spacing w:val="10"/>
                          <w:sz w:val="28"/>
                          <w:szCs w:val="28"/>
                          <w:u w:color="E4CC80"/>
                        </w:rPr>
                        <w:t>Brief</w:t>
                      </w:r>
                    </w:p>
                    <w:p w14:paraId="3A53B5F3" w14:textId="77777777" w:rsidR="007B08E2" w:rsidRPr="004E4511" w:rsidRDefault="00A72FF6" w:rsidP="004E4511">
                      <w:pPr>
                        <w:pStyle w:val="Body"/>
                        <w:spacing w:after="0" w:line="240" w:lineRule="auto"/>
                        <w:jc w:val="center"/>
                        <w:rPr>
                          <w:sz w:val="28"/>
                          <w:szCs w:val="28"/>
                        </w:rPr>
                      </w:pPr>
                      <w:r w:rsidRPr="004E4511">
                        <w:rPr>
                          <w:rFonts w:ascii="Garamond" w:hAnsi="Garamond"/>
                          <w:color w:val="E4CC80"/>
                          <w:spacing w:val="10"/>
                          <w:sz w:val="28"/>
                          <w:szCs w:val="28"/>
                          <w:u w:color="E4CC80"/>
                        </w:rPr>
                        <w:t>Version 3.0</w:t>
                      </w:r>
                    </w:p>
                  </w:txbxContent>
                </v:textbox>
                <w10:wrap type="square" anchorx="margin" anchory="line"/>
              </v:shape>
            </w:pict>
          </mc:Fallback>
        </mc:AlternateContent>
      </w:r>
    </w:p>
    <w:p w14:paraId="1AFEE43B" w14:textId="77777777" w:rsidR="007B08E2" w:rsidRDefault="007B08E2">
      <w:pPr>
        <w:pStyle w:val="Body"/>
      </w:pPr>
    </w:p>
    <w:p w14:paraId="3F866461" w14:textId="77777777" w:rsidR="007B08E2" w:rsidRDefault="007B08E2">
      <w:pPr>
        <w:pStyle w:val="Body"/>
      </w:pPr>
    </w:p>
    <w:p w14:paraId="21C5B8E1" w14:textId="77777777" w:rsidR="007B08E2" w:rsidRDefault="007B08E2">
      <w:pPr>
        <w:pStyle w:val="Body"/>
      </w:pPr>
    </w:p>
    <w:p w14:paraId="395248D6" w14:textId="77777777" w:rsidR="007B08E2" w:rsidRDefault="007B08E2">
      <w:pPr>
        <w:pStyle w:val="Body"/>
      </w:pPr>
    </w:p>
    <w:p w14:paraId="24C0FCF4" w14:textId="77777777" w:rsidR="007B08E2" w:rsidRDefault="007B08E2">
      <w:pPr>
        <w:pStyle w:val="Body"/>
      </w:pPr>
    </w:p>
    <w:p w14:paraId="1AB4F3DC" w14:textId="77777777" w:rsidR="007B08E2" w:rsidRDefault="007B08E2">
      <w:pPr>
        <w:pStyle w:val="Body"/>
      </w:pPr>
    </w:p>
    <w:p w14:paraId="2AFC02E2" w14:textId="77777777" w:rsidR="007B08E2" w:rsidRDefault="007B08E2">
      <w:pPr>
        <w:pStyle w:val="Body"/>
      </w:pPr>
    </w:p>
    <w:p w14:paraId="21076847" w14:textId="77777777" w:rsidR="007B08E2" w:rsidRDefault="007B08E2">
      <w:pPr>
        <w:pStyle w:val="Body"/>
      </w:pPr>
    </w:p>
    <w:p w14:paraId="34382CE8" w14:textId="77777777" w:rsidR="007B08E2" w:rsidRDefault="007B08E2">
      <w:pPr>
        <w:pStyle w:val="Body"/>
      </w:pPr>
    </w:p>
    <w:p w14:paraId="1D82ABB0" w14:textId="77777777" w:rsidR="000B3856" w:rsidRPr="000B3856" w:rsidRDefault="00A72FF6" w:rsidP="000B3856">
      <w:pPr>
        <w:pStyle w:val="NormalWeb"/>
      </w:pPr>
      <w:r>
        <w:br w:type="page"/>
      </w:r>
      <w:r w:rsidR="000B3856" w:rsidRPr="000B3856">
        <w:lastRenderedPageBreak/>
        <w:t xml:space="preserve">Great, let’s lock this into something you can actually </w:t>
      </w:r>
      <w:r w:rsidR="000B3856" w:rsidRPr="000B3856">
        <w:rPr>
          <w:i/>
          <w:iCs/>
        </w:rPr>
        <w:t>use</w:t>
      </w:r>
      <w:r w:rsidR="000B3856" w:rsidRPr="000B3856">
        <w:t>.</w:t>
      </w:r>
    </w:p>
    <w:p w14:paraId="3901354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Below is a </w:t>
      </w:r>
      <w:r w:rsidRPr="000B3856">
        <w:rPr>
          <w:rFonts w:eastAsia="Times New Roman"/>
          <w:b/>
          <w:bCs/>
          <w:bdr w:val="none" w:sz="0" w:space="0" w:color="auto"/>
        </w:rPr>
        <w:t>single, structured “master brief”</w:t>
      </w:r>
      <w:r w:rsidRPr="000B3856">
        <w:rPr>
          <w:rFonts w:eastAsia="Times New Roman"/>
          <w:bdr w:val="none" w:sz="0" w:space="0" w:color="auto"/>
        </w:rPr>
        <w:t xml:space="preserve"> that pulls together the core narrative (Sections 1–7) </w:t>
      </w:r>
      <w:r w:rsidRPr="000B3856">
        <w:rPr>
          <w:rFonts w:eastAsia="Times New Roman"/>
          <w:i/>
          <w:iCs/>
          <w:bdr w:val="none" w:sz="0" w:space="0" w:color="auto"/>
        </w:rPr>
        <w:t>and</w:t>
      </w:r>
      <w:r w:rsidRPr="000B3856">
        <w:rPr>
          <w:rFonts w:eastAsia="Times New Roman"/>
          <w:bdr w:val="none" w:sz="0" w:space="0" w:color="auto"/>
        </w:rPr>
        <w:t xml:space="preserve"> the appendix stubs in one place, organized so you can drop it into Word / Google Docs and format as needed.</w:t>
      </w:r>
    </w:p>
    <w:p w14:paraId="7E65194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I’ll:</w:t>
      </w:r>
    </w:p>
    <w:p w14:paraId="07871BF3" w14:textId="77777777" w:rsidR="000B3856" w:rsidRPr="000B3856" w:rsidRDefault="000B3856" w:rsidP="000B3856">
      <w:pPr>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Keep the </w:t>
      </w:r>
      <w:r w:rsidRPr="000B3856">
        <w:rPr>
          <w:rFonts w:eastAsia="Times New Roman"/>
          <w:b/>
          <w:bCs/>
          <w:bdr w:val="none" w:sz="0" w:space="0" w:color="auto"/>
        </w:rPr>
        <w:t>full narrative style</w:t>
      </w:r>
      <w:r w:rsidRPr="000B3856">
        <w:rPr>
          <w:rFonts w:eastAsia="Times New Roman"/>
          <w:bdr w:val="none" w:sz="0" w:space="0" w:color="auto"/>
        </w:rPr>
        <w:t xml:space="preserve"> you approved (like the long Section 3 &amp; 4 versions).</w:t>
      </w:r>
    </w:p>
    <w:p w14:paraId="6547EF73" w14:textId="77777777" w:rsidR="000B3856" w:rsidRPr="000B3856" w:rsidRDefault="000B3856" w:rsidP="000B3856">
      <w:pPr>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Make sure every section is present, so nothing is “hanging in the ether.”</w:t>
      </w:r>
    </w:p>
    <w:p w14:paraId="13B9F522" w14:textId="77777777" w:rsidR="000B3856" w:rsidRPr="000B3856" w:rsidRDefault="000B3856" w:rsidP="000B3856">
      <w:pPr>
        <w:numPr>
          <w:ilvl w:val="0"/>
          <w:numId w:val="11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Give each appendix a </w:t>
      </w:r>
      <w:r w:rsidRPr="000B3856">
        <w:rPr>
          <w:rFonts w:eastAsia="Times New Roman"/>
          <w:b/>
          <w:bCs/>
          <w:bdr w:val="none" w:sz="0" w:space="0" w:color="auto"/>
        </w:rPr>
        <w:t>short “At a Glance” + narrative body</w:t>
      </w:r>
      <w:r w:rsidRPr="000B3856">
        <w:rPr>
          <w:rFonts w:eastAsia="Times New Roman"/>
          <w:bdr w:val="none" w:sz="0" w:space="0" w:color="auto"/>
        </w:rPr>
        <w:t>, so we can deepen further without losing completeness.</w:t>
      </w:r>
    </w:p>
    <w:p w14:paraId="5FFDD17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You can treat this as </w:t>
      </w:r>
      <w:r w:rsidRPr="000B3856">
        <w:rPr>
          <w:rFonts w:eastAsia="Times New Roman"/>
          <w:b/>
          <w:bCs/>
          <w:bdr w:val="none" w:sz="0" w:space="0" w:color="auto"/>
        </w:rPr>
        <w:t>WayPoint / Sentiarch / Eden Crown Brief – V3 Integrated</w:t>
      </w:r>
      <w:r w:rsidRPr="000B3856">
        <w:rPr>
          <w:rFonts w:eastAsia="Times New Roman"/>
          <w:bdr w:val="none" w:sz="0" w:space="0" w:color="auto"/>
        </w:rPr>
        <w:t>.</w:t>
      </w:r>
    </w:p>
    <w:p w14:paraId="2759EAA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57A6380B">
          <v:rect id="_x0000_i1025" style="width:0;height:1.5pt" o:hralign="center" o:hrstd="t" o:hr="t" fillcolor="#a0a0a0" stroked="f"/>
        </w:pict>
      </w:r>
    </w:p>
    <w:p w14:paraId="3F8C888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rPr>
          <w:rFonts w:eastAsia="Times New Roman"/>
          <w:b/>
          <w:bCs/>
          <w:kern w:val="36"/>
          <w:sz w:val="48"/>
          <w:szCs w:val="48"/>
          <w:bdr w:val="none" w:sz="0" w:space="0" w:color="auto"/>
        </w:rPr>
      </w:pPr>
      <w:r w:rsidRPr="000B3856">
        <w:rPr>
          <w:rFonts w:eastAsia="Times New Roman"/>
          <w:b/>
          <w:bCs/>
          <w:kern w:val="36"/>
          <w:sz w:val="48"/>
          <w:szCs w:val="48"/>
          <w:bdr w:val="none" w:sz="0" w:space="0" w:color="auto"/>
        </w:rPr>
        <w:t>WayPoint + Sentiarch + Eden Crown</w:t>
      </w:r>
    </w:p>
    <w:p w14:paraId="0D5F485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Integrated Concept &amp; Architecture Brief – v3</w:t>
      </w:r>
    </w:p>
    <w:p w14:paraId="1B65FCA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1EC0D3D4">
          <v:rect id="_x0000_i1026" style="width:0;height:1.5pt" o:hralign="center" o:hrstd="t" o:hr="t" fillcolor="#a0a0a0" stroked="f"/>
        </w:pict>
      </w:r>
    </w:p>
    <w:p w14:paraId="329A797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1 – Eden Crown &amp; the Family Office Operating System</w:t>
      </w:r>
    </w:p>
    <w:p w14:paraId="6B32D28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Eden Crown began as a trust blueprint. Over time, it has evolved into something larger: a living operating system for families and family offices that want to steward complex capital over generations instead of simply owning it for a single lifetime.</w:t>
      </w:r>
    </w:p>
    <w:p w14:paraId="17C3480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Most multi-generational families today sit on top of a dense web of structures: operating companies, holdcos, trusts, funds, foundations, and personal portfolios spread across multiple banks and advisors. Each layer has its own reporting, its own professionals, and its own vocabulary. What is usually missing is a place where the </w:t>
      </w:r>
      <w:r w:rsidRPr="000B3856">
        <w:rPr>
          <w:rFonts w:eastAsia="Times New Roman"/>
          <w:i/>
          <w:iCs/>
          <w:bdr w:val="none" w:sz="0" w:space="0" w:color="auto"/>
        </w:rPr>
        <w:t>whole</w:t>
      </w:r>
      <w:r w:rsidRPr="000B3856">
        <w:rPr>
          <w:rFonts w:eastAsia="Times New Roman"/>
          <w:bdr w:val="none" w:sz="0" w:space="0" w:color="auto"/>
        </w:rPr>
        <w:t xml:space="preserve"> system can be seen and understood in plain language by the people who are ultimately responsible for it.</w:t>
      </w:r>
    </w:p>
    <w:p w14:paraId="39AF1D5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Eden Crown Family Office Operating System (FO-OS) is designed to be that place.</w:t>
      </w:r>
    </w:p>
    <w:p w14:paraId="0E067D6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1.1 A single vantage point for a complex family system</w:t>
      </w:r>
    </w:p>
    <w:p w14:paraId="2A05EBF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FO-OS ingests data from the family’s existing ecosystem—bank and brokerage feeds, trust accounting systems, private fund reports, loan and insurance ledgers, and even non-financial assets if the family chooses (real estate, intellectual property, operating businesses). Instead of forcing the family to conform to a new structure, it maps the structures they already have and then recomposes that information into a coherent “signal.”</w:t>
      </w:r>
    </w:p>
    <w:p w14:paraId="4039BC1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At the top level, the FO-OS provides a consolidated view of the family system:</w:t>
      </w:r>
    </w:p>
    <w:p w14:paraId="01F0BC82" w14:textId="77777777" w:rsidR="000B3856" w:rsidRPr="000B3856" w:rsidRDefault="000B3856" w:rsidP="000B3856">
      <w:pPr>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Which entities exist and what role they play</w:t>
      </w:r>
    </w:p>
    <w:p w14:paraId="0B7C8306" w14:textId="77777777" w:rsidR="000B3856" w:rsidRPr="000B3856" w:rsidRDefault="000B3856" w:rsidP="000B3856">
      <w:pPr>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How cash, risk, and decision rights move between those entities</w:t>
      </w:r>
    </w:p>
    <w:p w14:paraId="42BB2EB6" w14:textId="77777777" w:rsidR="000B3856" w:rsidRPr="000B3856" w:rsidRDefault="000B3856" w:rsidP="000B3856">
      <w:pPr>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Where the true economic exposures live, regardless of legal wrappers</w:t>
      </w:r>
    </w:p>
    <w:p w14:paraId="21FBC910" w14:textId="77777777" w:rsidR="000B3856" w:rsidRPr="000B3856" w:rsidRDefault="000B3856" w:rsidP="000B3856">
      <w:pPr>
        <w:numPr>
          <w:ilvl w:val="0"/>
          <w:numId w:val="11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Which parts of the system are aligned with the family’s stated mandate and which are effectively “orphaned” or drifting</w:t>
      </w:r>
    </w:p>
    <w:p w14:paraId="535D23E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Each entity—whether a dynasty trust, a special-purpose vehicle, a foundation, or an operating company—has its own profile. That profile captures not only balance-sheet facts, but also its purpose, its beneficiaries or stakeholders, its key dependencies, and its current level of governance care. The point is not to overwhelm the family with more detail, but to make the </w:t>
      </w:r>
      <w:r w:rsidRPr="000B3856">
        <w:rPr>
          <w:rFonts w:eastAsia="Times New Roman"/>
          <w:i/>
          <w:iCs/>
          <w:bdr w:val="none" w:sz="0" w:space="0" w:color="auto"/>
        </w:rPr>
        <w:t>shape</w:t>
      </w:r>
      <w:r w:rsidRPr="000B3856">
        <w:rPr>
          <w:rFonts w:eastAsia="Times New Roman"/>
          <w:bdr w:val="none" w:sz="0" w:space="0" w:color="auto"/>
        </w:rPr>
        <w:t xml:space="preserve"> of the system visible at a glance.</w:t>
      </w:r>
    </w:p>
    <w:p w14:paraId="373764D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1.2 The Trust Index: from static document to living organism</w:t>
      </w:r>
    </w:p>
    <w:p w14:paraId="6324FCC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Traditional trust reporting is backwards-looking and compliance-oriented: account statements, tax filings, and minutes. Eden Crown adds a forward-looking layer: the </w:t>
      </w:r>
      <w:r w:rsidRPr="000B3856">
        <w:rPr>
          <w:rFonts w:eastAsia="Times New Roman"/>
          <w:b/>
          <w:bCs/>
          <w:bdr w:val="none" w:sz="0" w:space="0" w:color="auto"/>
        </w:rPr>
        <w:t>Trust Index</w:t>
      </w:r>
      <w:r w:rsidRPr="000B3856">
        <w:rPr>
          <w:rFonts w:eastAsia="Times New Roman"/>
          <w:bdr w:val="none" w:sz="0" w:space="0" w:color="auto"/>
        </w:rPr>
        <w:t>.</w:t>
      </w:r>
    </w:p>
    <w:p w14:paraId="1D02224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Trust Index treats a trust as a living organism with health metrics, not a static legal container. It blends four dimensions:</w:t>
      </w:r>
    </w:p>
    <w:p w14:paraId="75E8E7C9" w14:textId="77777777" w:rsidR="000B3856" w:rsidRPr="000B3856" w:rsidRDefault="000B3856" w:rsidP="000B3856">
      <w:pPr>
        <w:numPr>
          <w:ilvl w:val="0"/>
          <w:numId w:val="1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Financial resilience</w:t>
      </w:r>
      <w:r w:rsidRPr="000B3856">
        <w:rPr>
          <w:rFonts w:eastAsia="Times New Roman"/>
          <w:bdr w:val="none" w:sz="0" w:space="0" w:color="auto"/>
        </w:rPr>
        <w:t xml:space="preserve"> – Is the corpus growing, stable, or being quietly depleted? Are distributions sustainable relative to the trust’s horizon and investment posture?</w:t>
      </w:r>
    </w:p>
    <w:p w14:paraId="0310F180" w14:textId="77777777" w:rsidR="000B3856" w:rsidRPr="000B3856" w:rsidRDefault="000B3856" w:rsidP="000B3856">
      <w:pPr>
        <w:numPr>
          <w:ilvl w:val="0"/>
          <w:numId w:val="1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Stewardship behavior</w:t>
      </w:r>
      <w:r w:rsidRPr="000B3856">
        <w:rPr>
          <w:rFonts w:eastAsia="Times New Roman"/>
          <w:bdr w:val="none" w:sz="0" w:space="0" w:color="auto"/>
        </w:rPr>
        <w:t xml:space="preserve"> – Are distributions and decisions being made in alignment with the trust’s purpose and guardrails, or is the trust effectively functioning as an ATM?</w:t>
      </w:r>
    </w:p>
    <w:p w14:paraId="3C0D6922" w14:textId="77777777" w:rsidR="000B3856" w:rsidRPr="000B3856" w:rsidRDefault="000B3856" w:rsidP="000B3856">
      <w:pPr>
        <w:numPr>
          <w:ilvl w:val="0"/>
          <w:numId w:val="1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Mission and community impact</w:t>
      </w:r>
      <w:r w:rsidRPr="000B3856">
        <w:rPr>
          <w:rFonts w:eastAsia="Times New Roman"/>
          <w:bdr w:val="none" w:sz="0" w:space="0" w:color="auto"/>
        </w:rPr>
        <w:t xml:space="preserve"> – Where applicable, is the trust actually advancing the philanthropic, social, or spiritual goals for which it was created?</w:t>
      </w:r>
    </w:p>
    <w:p w14:paraId="69870894" w14:textId="77777777" w:rsidR="000B3856" w:rsidRPr="000B3856" w:rsidRDefault="000B3856" w:rsidP="000B3856">
      <w:pPr>
        <w:numPr>
          <w:ilvl w:val="0"/>
          <w:numId w:val="11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Governance hygiene</w:t>
      </w:r>
      <w:r w:rsidRPr="000B3856">
        <w:rPr>
          <w:rFonts w:eastAsia="Times New Roman"/>
          <w:bdr w:val="none" w:sz="0" w:space="0" w:color="auto"/>
        </w:rPr>
        <w:t xml:space="preserve"> – Are decisions documented? Are reviews happening on schedule? Is there a clear escalation path when trustees disagree or when circumstances change?</w:t>
      </w:r>
    </w:p>
    <w:p w14:paraId="7C6114B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Index produces an interpretable signal rather than a mysterious score. If an index is trending downward, FO-OS can show </w:t>
      </w:r>
      <w:r w:rsidRPr="000B3856">
        <w:rPr>
          <w:rFonts w:eastAsia="Times New Roman"/>
          <w:i/>
          <w:iCs/>
          <w:bdr w:val="none" w:sz="0" w:space="0" w:color="auto"/>
        </w:rPr>
        <w:t>why</w:t>
      </w:r>
      <w:r w:rsidRPr="000B3856">
        <w:rPr>
          <w:rFonts w:eastAsia="Times New Roman"/>
          <w:bdr w:val="none" w:sz="0" w:space="0" w:color="auto"/>
        </w:rPr>
        <w:t xml:space="preserve">: perhaps distribution patterns have changed, perhaps a concentration risk has emerged, perhaps governance meetings have been </w:t>
      </w:r>
      <w:r w:rsidRPr="000B3856">
        <w:rPr>
          <w:rFonts w:eastAsia="Times New Roman"/>
          <w:bdr w:val="none" w:sz="0" w:space="0" w:color="auto"/>
        </w:rPr>
        <w:lastRenderedPageBreak/>
        <w:t>repeatedly deferred. This gives trustees and family members a concrete way to talk about what needs to change before problems become crises.</w:t>
      </w:r>
    </w:p>
    <w:p w14:paraId="3363BEF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1.3 From static reports to “signals you can act on”</w:t>
      </w:r>
    </w:p>
    <w:p w14:paraId="14A1DC8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Where traditional family office reporting parcels information into separate binders—one for investments, one for trusts, one for philanthropy—Eden Crown takes a “signal” approach. Each quarterly or annual pack is structured around questions the family actually cares about:</w:t>
      </w:r>
    </w:p>
    <w:p w14:paraId="2095F5DF" w14:textId="77777777" w:rsidR="000B3856" w:rsidRPr="000B3856" w:rsidRDefault="000B3856" w:rsidP="000B3856">
      <w:pPr>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Are we still on track for the covenant we defined (lifestyle, giving, legacy)?</w:t>
      </w:r>
    </w:p>
    <w:p w14:paraId="340622C9" w14:textId="77777777" w:rsidR="000B3856" w:rsidRPr="000B3856" w:rsidRDefault="000B3856" w:rsidP="000B3856">
      <w:pPr>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Which entities are carrying more risk than they should?</w:t>
      </w:r>
    </w:p>
    <w:p w14:paraId="6A714A64" w14:textId="77777777" w:rsidR="000B3856" w:rsidRPr="000B3856" w:rsidRDefault="000B3856" w:rsidP="000B3856">
      <w:pPr>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decisions have we deferred that need attention?</w:t>
      </w:r>
    </w:p>
    <w:p w14:paraId="173FC236" w14:textId="77777777" w:rsidR="000B3856" w:rsidRPr="000B3856" w:rsidRDefault="000B3856" w:rsidP="000B3856">
      <w:pPr>
        <w:numPr>
          <w:ilvl w:val="0"/>
          <w:numId w:val="1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Where are younger generations already acting like stewards, and how can we support them?</w:t>
      </w:r>
    </w:p>
    <w:p w14:paraId="040A49F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Signals are visual and narrative at the same time. A board-style dashboard might show a family that three entities are green, two are amber, and one has shifted to red. Clicking into a red entity doesn’t just reveal numbers; it shows a short, human explanation (“This foundation’s commitments now exceed its expected inflows over the next five years; here are three ways to address that”) along with suggested scenarios the family can explore together.</w:t>
      </w:r>
    </w:p>
    <w:p w14:paraId="19C452F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This is where Sentiarch’s interpretive AI is woven in. Instead of producing raw analytics, the FO-OS uses interpretive models to translate those analytics into plain-English storylines, alternative paths, and “if–then” explanations. The AI does not make decisions; it frames them.</w:t>
      </w:r>
    </w:p>
    <w:p w14:paraId="1BB0679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1.4 A bridge between generations</w:t>
      </w:r>
    </w:p>
    <w:p w14:paraId="5983B23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FO-OS is built with generational transition in mind. Older generations often hold a rich mental map of “why we set things up this way” that never fully makes it into formal documents. Younger generations arrive with questions, new callings, and different risk tolerances. Eden Crown’s system is designed to make that mapping explicit and durable.</w:t>
      </w:r>
    </w:p>
    <w:p w14:paraId="2C5A0E4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Each trust, company, and initiative can be annotated with “origin stories”: short narratives or recorded conversations that capture why it was formed, what problem it was meant to solve, and what trade-offs were acceptable at the time. Over years, these annotations become part of the family’s institutional memory, available to any heir or advisor who needs to understand context before proposing change.</w:t>
      </w:r>
    </w:p>
    <w:p w14:paraId="15E2892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Because the FO-OS is aware of roles—founder, spouse, heir, independent trustee, CIO—it can tailor views accordingly. A founder might see system-level stress tests; a young heir </w:t>
      </w:r>
      <w:r w:rsidRPr="000B3856">
        <w:rPr>
          <w:rFonts w:eastAsia="Times New Roman"/>
          <w:bdr w:val="none" w:sz="0" w:space="0" w:color="auto"/>
        </w:rPr>
        <w:lastRenderedPageBreak/>
        <w:t>might see a simpler path: “Here is the small slice of the system you’re responsible for today, here’s how it connects to everything else, and here’s how your choices ripple outward.”</w:t>
      </w:r>
    </w:p>
    <w:p w14:paraId="2EB411A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1.5 Scaling down without dumbing down</w:t>
      </w:r>
    </w:p>
    <w:p w14:paraId="4D15286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Although Eden Crown’s FO-OS is rooted in UHNW and family-office realities, the architecture is intentionally designed to scale down. The same mechanisms—structured entities, interpretable signals, and steward-aware metrics—are the ones WayPoint brings to founders, households, and small institutions.</w:t>
      </w:r>
    </w:p>
    <w:p w14:paraId="3FBAD16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A family with a single operating company, a home, and a starter trust may not need a full family office staff, but they </w:t>
      </w:r>
      <w:r w:rsidRPr="000B3856">
        <w:rPr>
          <w:rFonts w:eastAsia="Times New Roman"/>
          <w:i/>
          <w:iCs/>
          <w:bdr w:val="none" w:sz="0" w:space="0" w:color="auto"/>
        </w:rPr>
        <w:t>do</w:t>
      </w:r>
      <w:r w:rsidRPr="000B3856">
        <w:rPr>
          <w:rFonts w:eastAsia="Times New Roman"/>
          <w:bdr w:val="none" w:sz="0" w:space="0" w:color="auto"/>
        </w:rPr>
        <w:t xml:space="preserve"> need a way to see the whole in one place. A first-generation entrepreneur may not think of themselves as a “family office,” but the decisions they make about leverage, liquidity, and governance today will determine whether anything multi-generational exists tomorrow. In that sense, Eden Crown FO-OS is the high-resolution origin model; WayPoint is its accessible, mass-market adaptation.</w:t>
      </w:r>
    </w:p>
    <w:p w14:paraId="7CFF3C4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668B354B">
          <v:rect id="_x0000_i1027" style="width:0;height:1.5pt" o:hralign="center" o:hrstd="t" o:hr="t" fillcolor="#a0a0a0" stroked="f"/>
        </w:pict>
      </w:r>
    </w:p>
    <w:p w14:paraId="66B9031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2 – The Graduation Project &amp; Stewardship Curriculum</w:t>
      </w:r>
    </w:p>
    <w:p w14:paraId="62B7FD9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If Eden Crown’s Family Office OS is the nervous system of the family enterprise, the Graduation Project is how new minds learn to inhabit it. It is the bridge between “I’m an heir” and “I am a steward,” and it exists because wealth structures alone cannot transmit wisdom.</w:t>
      </w:r>
    </w:p>
    <w:p w14:paraId="4788763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Most families try to solve this gap with occasional briefings: a deck from the CIO, a trust attorney’s memo, a philanthropy retreat. Heirs are expected to infer a vocation of stewardship from scattered meetings and PDFs. The result is predictable: some disengage, some rebel, and some comply without ever developing a real sense of agency or responsibility.</w:t>
      </w:r>
    </w:p>
    <w:p w14:paraId="592B756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Graduation Project was designed as a different answer. It treats steward-formation as a curriculum, not an accident, and it assumes that every heir will need a guided apprenticeship to the family system—not just explanations of documents, but repeated, supported practice making decisions inside that system.</w:t>
      </w:r>
    </w:p>
    <w:p w14:paraId="7343689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2.1 EnvoyOS and the Crowns Eye learning model</w:t>
      </w:r>
    </w:p>
    <w:p w14:paraId="7C11A02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Two pieces underpin this curriculum:</w:t>
      </w:r>
    </w:p>
    <w:p w14:paraId="4B3A1D3C" w14:textId="77777777" w:rsidR="000B3856" w:rsidRPr="000B3856" w:rsidRDefault="000B3856" w:rsidP="000B3856">
      <w:pPr>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EnvoyOS</w:t>
      </w:r>
      <w:r w:rsidRPr="000B3856">
        <w:rPr>
          <w:rFonts w:eastAsia="Times New Roman"/>
          <w:bdr w:val="none" w:sz="0" w:space="0" w:color="auto"/>
        </w:rPr>
        <w:t>, the orchestration layer that can spin up a “campaign” of learning, projects, and reviews for an individual heir; and</w:t>
      </w:r>
    </w:p>
    <w:p w14:paraId="0F8066A2" w14:textId="77777777" w:rsidR="000B3856" w:rsidRPr="000B3856" w:rsidRDefault="000B3856" w:rsidP="000B3856">
      <w:pPr>
        <w:numPr>
          <w:ilvl w:val="0"/>
          <w:numId w:val="11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Crowns Eye</w:t>
      </w:r>
      <w:r w:rsidRPr="000B3856">
        <w:rPr>
          <w:rFonts w:eastAsia="Times New Roman"/>
          <w:bdr w:val="none" w:sz="0" w:space="0" w:color="auto"/>
        </w:rPr>
        <w:t>, a structured syllabus that turns abstract stewardship concepts into a sequence of experiences, reflections, and assignments.</w:t>
      </w:r>
    </w:p>
    <w:p w14:paraId="4BEE148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At a high level, Crowns Eye asks three questions of every learner:</w:t>
      </w:r>
    </w:p>
    <w:p w14:paraId="0796DB1C" w14:textId="77777777" w:rsidR="000B3856" w:rsidRPr="000B3856" w:rsidRDefault="000B3856" w:rsidP="000B3856">
      <w:pPr>
        <w:numPr>
          <w:ilvl w:val="0"/>
          <w:numId w:val="1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have you been entrusted with?</w:t>
      </w:r>
    </w:p>
    <w:p w14:paraId="41608701" w14:textId="77777777" w:rsidR="000B3856" w:rsidRPr="000B3856" w:rsidRDefault="000B3856" w:rsidP="000B3856">
      <w:pPr>
        <w:numPr>
          <w:ilvl w:val="0"/>
          <w:numId w:val="1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is this capital for?</w:t>
      </w:r>
    </w:p>
    <w:p w14:paraId="2F28164B" w14:textId="77777777" w:rsidR="000B3856" w:rsidRPr="000B3856" w:rsidRDefault="000B3856" w:rsidP="000B3856">
      <w:pPr>
        <w:numPr>
          <w:ilvl w:val="0"/>
          <w:numId w:val="1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How will you prove you are ready to carry it further than you found it?</w:t>
      </w:r>
    </w:p>
    <w:p w14:paraId="2FEC086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Instead of answering those questions in a single essay, the heir works through them over months in the form of modules. One module might center on the history of the family enterprise; another on the anatomy of a dynasty trust; another on impact and philanthropy; another on personal vocation and risk. EnvoyOS coordinates all of this: which materials are surfaced when, which conversations are scheduled with trustees or advisors, which simulations are run, and how progress is tracked.</w:t>
      </w:r>
    </w:p>
    <w:p w14:paraId="0D0BF48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tone is deliberately adult: this is not remedial financial literacy. It assumes that the heir is capable of wrestling with trade-offs, ambiguity, and consequence.</w:t>
      </w:r>
    </w:p>
    <w:p w14:paraId="1EB071A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2.2 AI guides as the “family council in your ear”</w:t>
      </w:r>
    </w:p>
    <w:p w14:paraId="7203E2C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Every heir is paired with a dedicated AI guide—an instance of Sentiarch’s interpretive layer configured specifically for them. Think of it as a personal council seat: a persistent assistant that understands the structure of Eden Crown, the learner’s role in it, and the language the family prefers to use about money, risk, and purpose.</w:t>
      </w:r>
    </w:p>
    <w:p w14:paraId="1A1F324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This guide is not a generic chatbot. It is trained on:</w:t>
      </w:r>
    </w:p>
    <w:p w14:paraId="39D97755" w14:textId="77777777" w:rsidR="000B3856" w:rsidRPr="000B3856" w:rsidRDefault="000B3856" w:rsidP="000B3856">
      <w:pPr>
        <w:numPr>
          <w:ilvl w:val="0"/>
          <w:numId w:val="1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sanitized versions of the family’s own operating manuals, investment policy statements, mission statements, and governance documents;</w:t>
      </w:r>
    </w:p>
    <w:p w14:paraId="66C3DD08" w14:textId="77777777" w:rsidR="000B3856" w:rsidRPr="000B3856" w:rsidRDefault="000B3856" w:rsidP="000B3856">
      <w:pPr>
        <w:numPr>
          <w:ilvl w:val="0"/>
          <w:numId w:val="1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Crowns Eye curriculum content; and</w:t>
      </w:r>
    </w:p>
    <w:p w14:paraId="03035DFE" w14:textId="77777777" w:rsidR="000B3856" w:rsidRPr="000B3856" w:rsidRDefault="000B3856" w:rsidP="000B3856">
      <w:pPr>
        <w:numPr>
          <w:ilvl w:val="0"/>
          <w:numId w:val="11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growing archive of the learner’s own reflections, questions, and project work.</w:t>
      </w:r>
    </w:p>
    <w:p w14:paraId="333983D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Over time, the guide becomes a kind of mirror. It can remind a learner, “Last year you said you never wanted to be involved in direct operating businesses, but this initiative you’re proposing is exactly that—what changed?” It can stage low-stakes simulations (“What if the trust corpus dropped 25% and two siblings wanted to increase distributions?”) and then debrief those sessions against the family’s documented values.</w:t>
      </w:r>
    </w:p>
    <w:p w14:paraId="408362D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For the learner, this means they do not have to wait for quarterly board meetings to ask their “naïve” questions. They have a private, always-on interpreter that can translate between legal, financial, and human language without embarrassment.</w:t>
      </w:r>
    </w:p>
    <w:p w14:paraId="0B72ADA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2.3 From lessons to a lived capstone</w:t>
      </w:r>
    </w:p>
    <w:p w14:paraId="497C2B8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Graduation Project itself is a capstone that sits at the end of this curriculum. It is not a test; it is a first act of stewardship carried out inside the real family system, with guardrails.</w:t>
      </w:r>
    </w:p>
    <w:p w14:paraId="3B9E56F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complete Graduation Project has three components:</w:t>
      </w:r>
    </w:p>
    <w:p w14:paraId="447B5723" w14:textId="77777777" w:rsidR="000B3856" w:rsidRPr="000B3856" w:rsidRDefault="000B3856" w:rsidP="000B3856">
      <w:pPr>
        <w:numPr>
          <w:ilvl w:val="0"/>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 personal stewardship charter</w:t>
      </w:r>
      <w:r w:rsidRPr="000B3856">
        <w:rPr>
          <w:rFonts w:eastAsia="Times New Roman"/>
          <w:bdr w:val="none" w:sz="0" w:space="0" w:color="auto"/>
        </w:rPr>
        <w:br/>
        <w:t>The heir writes, with AI support, a concise statement of how they understand their role:</w:t>
      </w:r>
    </w:p>
    <w:p w14:paraId="4ACABAE6"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responsibilities they are willing to accept now;</w:t>
      </w:r>
    </w:p>
    <w:p w14:paraId="5E70D395"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responsibilities they aspire to grow into;</w:t>
      </w:r>
    </w:p>
    <w:p w14:paraId="2971E6A7"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boundaries they know they must respect (for example, areas where they are not yet competent to lead).</w:t>
      </w:r>
    </w:p>
    <w:p w14:paraId="11AA613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0B3856">
        <w:rPr>
          <w:rFonts w:eastAsia="Times New Roman"/>
          <w:bdr w:val="none" w:sz="0" w:space="0" w:color="auto"/>
        </w:rPr>
        <w:t>This charter is shared with trustees and senior family members, not as a declaration, but as an invitation to dialogue. It gives everyone common language for future expectations and development.</w:t>
      </w:r>
    </w:p>
    <w:p w14:paraId="506179CA" w14:textId="77777777" w:rsidR="000B3856" w:rsidRPr="000B3856" w:rsidRDefault="000B3856" w:rsidP="000B3856">
      <w:pPr>
        <w:numPr>
          <w:ilvl w:val="0"/>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 systems map and scenario plan</w:t>
      </w:r>
      <w:r w:rsidRPr="000B3856">
        <w:rPr>
          <w:rFonts w:eastAsia="Times New Roman"/>
          <w:bdr w:val="none" w:sz="0" w:space="0" w:color="auto"/>
        </w:rPr>
        <w:br/>
        <w:t>Using FO-OS data, the heir builds a visual and narrative map of their slice of the system: trusts they benefit from, entities they might inherit, philanthropic vehicles they can influence. For each, they articulate:</w:t>
      </w:r>
    </w:p>
    <w:p w14:paraId="468A144C"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the entity is for;</w:t>
      </w:r>
    </w:p>
    <w:p w14:paraId="3A398040"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would count as “healthy” over the next decade; and</w:t>
      </w:r>
    </w:p>
    <w:p w14:paraId="4AF9EC85"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two or three scenarios (good and bad) that could realistically unfold.</w:t>
      </w:r>
    </w:p>
    <w:p w14:paraId="70F378E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0B3856">
        <w:rPr>
          <w:rFonts w:eastAsia="Times New Roman"/>
          <w:bdr w:val="none" w:sz="0" w:space="0" w:color="auto"/>
        </w:rPr>
        <w:t>The AI guide helps them pressure-test these scenarios: How would a recession change things? What happens if a key operating company is sold? What if a sibling wants liquidity while others want to reinvest?</w:t>
      </w:r>
    </w:p>
    <w:p w14:paraId="4772979A" w14:textId="77777777" w:rsidR="000B3856" w:rsidRPr="000B3856" w:rsidRDefault="000B3856" w:rsidP="000B3856">
      <w:pPr>
        <w:numPr>
          <w:ilvl w:val="0"/>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 concrete initiative inside the family system</w:t>
      </w:r>
      <w:r w:rsidRPr="000B3856">
        <w:rPr>
          <w:rFonts w:eastAsia="Times New Roman"/>
          <w:bdr w:val="none" w:sz="0" w:space="0" w:color="auto"/>
        </w:rPr>
        <w:br/>
        <w:t>Finally, the heir designs and executes a bounded initiative that touches real capital or governance, but within pre-agreed limits.</w:t>
      </w:r>
    </w:p>
    <w:p w14:paraId="122ECCA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0B3856">
        <w:rPr>
          <w:rFonts w:eastAsia="Times New Roman"/>
          <w:bdr w:val="none" w:sz="0" w:space="0" w:color="auto"/>
        </w:rPr>
        <w:t>Examples might include:</w:t>
      </w:r>
    </w:p>
    <w:p w14:paraId="286F11F8"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leading the redesign of a small grant-making program;</w:t>
      </w:r>
    </w:p>
    <w:p w14:paraId="48111A01"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piloting a new reporting format for one entity that makes its impact clearer;</w:t>
      </w:r>
    </w:p>
    <w:p w14:paraId="531F7A12"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proposing and shepherding a rebalancing of a specific portfolio sleeve;</w:t>
      </w:r>
    </w:p>
    <w:p w14:paraId="799AD8FB" w14:textId="77777777" w:rsidR="000B3856" w:rsidRPr="000B3856" w:rsidRDefault="000B3856" w:rsidP="000B3856">
      <w:pPr>
        <w:numPr>
          <w:ilvl w:val="1"/>
          <w:numId w:val="11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launching a small venture or project under an existing entity with capped capital at risk.</w:t>
      </w:r>
    </w:p>
    <w:p w14:paraId="44830A3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0B3856">
        <w:rPr>
          <w:rFonts w:eastAsia="Times New Roman"/>
          <w:bdr w:val="none" w:sz="0" w:space="0" w:color="auto"/>
        </w:rPr>
        <w:t>The key is that the initiative must move something real and must pass through the family’s normal approval processes. The heir experiences what it actually feels like to bring an idea into the formal system: preparing materials, facing questions, adapting to constraints, and living with the outcome.</w:t>
      </w:r>
    </w:p>
    <w:p w14:paraId="722BFC0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Throughout this capstone, the AI guide and EnvoyOS act as backstage support: tracking deadlines, drafting agendas, turning raw thoughts into readable memos, and ensuring that both the learner and their mentors always have the same context.</w:t>
      </w:r>
    </w:p>
    <w:p w14:paraId="1C718CA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2.4 Evaluation as shared reflection, not examination</w:t>
      </w:r>
    </w:p>
    <w:p w14:paraId="4B2D244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Completion of the Graduation Project isn’t marked by a grade; it’s marked by a council conversation. The heir sits with a small group—often a senior trustee, a family representative, and a professional advisor—who have been following their work through EnvoyOS.</w:t>
      </w:r>
    </w:p>
    <w:p w14:paraId="1DD49FB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Together, they review:</w:t>
      </w:r>
    </w:p>
    <w:p w14:paraId="00FF071F" w14:textId="77777777" w:rsidR="000B3856" w:rsidRPr="000B3856" w:rsidRDefault="000B3856" w:rsidP="000B3856">
      <w:pPr>
        <w:numPr>
          <w:ilvl w:val="0"/>
          <w:numId w:val="1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stewardship charter and whether it still feels true;</w:t>
      </w:r>
    </w:p>
    <w:p w14:paraId="52C0DE1E" w14:textId="77777777" w:rsidR="000B3856" w:rsidRPr="000B3856" w:rsidRDefault="000B3856" w:rsidP="000B3856">
      <w:pPr>
        <w:numPr>
          <w:ilvl w:val="0"/>
          <w:numId w:val="1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the systems map surfaced that the family itself may have overlooked;</w:t>
      </w:r>
    </w:p>
    <w:p w14:paraId="4C160508" w14:textId="77777777" w:rsidR="000B3856" w:rsidRPr="000B3856" w:rsidRDefault="000B3856" w:rsidP="000B3856">
      <w:pPr>
        <w:numPr>
          <w:ilvl w:val="0"/>
          <w:numId w:val="1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what went right and wrong in the concrete initiative; and</w:t>
      </w:r>
    </w:p>
    <w:p w14:paraId="03CBEAF0" w14:textId="77777777" w:rsidR="000B3856" w:rsidRPr="000B3856" w:rsidRDefault="000B3856" w:rsidP="000B3856">
      <w:pPr>
        <w:numPr>
          <w:ilvl w:val="0"/>
          <w:numId w:val="12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how the heir wants to be included in future decisions.</w:t>
      </w:r>
    </w:p>
    <w:p w14:paraId="4100A34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AI guide contributes a quiet, but powerful layer: it can surface a timeline of the learner’s questions and insights across the curriculum, showing in a tangible way how their thinking has matured. It can also produce a private reflection pack for the learner, summarizing their own words back to them—a kind of mirror they can revisit years later when their responsibilities expand.</w:t>
      </w:r>
    </w:p>
    <w:p w14:paraId="5085779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outcome of this process is not a stamp of perfection. It is a mutual acknowledgment: “You have done the work to understand what you are part of, and we, as a family and as fiduciaries, are prepared to trust you with defined responsibilities.” For some heirs, that may mean immediate voting roles or committee seats; for others, it may mean a clear, staged path for the next five years.</w:t>
      </w:r>
    </w:p>
    <w:p w14:paraId="2B49EC0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2.5 From heir curriculum to broader positioning systems</w:t>
      </w:r>
    </w:p>
    <w:p w14:paraId="4DF0419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Although the Graduation Project is rooted in the UHNW and family-office context, its design principles directly inform the broader positioning systems that WayPoint offers:</w:t>
      </w:r>
    </w:p>
    <w:p w14:paraId="1510825E" w14:textId="77777777" w:rsidR="000B3856" w:rsidRPr="000B3856" w:rsidRDefault="000B3856" w:rsidP="000B3856">
      <w:pPr>
        <w:numPr>
          <w:ilvl w:val="0"/>
          <w:numId w:val="1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w:t>
      </w:r>
      <w:r w:rsidRPr="000B3856">
        <w:rPr>
          <w:rFonts w:eastAsia="Times New Roman"/>
          <w:b/>
          <w:bCs/>
          <w:bdr w:val="none" w:sz="0" w:space="0" w:color="auto"/>
        </w:rPr>
        <w:t>Education Positioning System (EPS)</w:t>
      </w:r>
      <w:r w:rsidRPr="000B3856">
        <w:rPr>
          <w:rFonts w:eastAsia="Times New Roman"/>
          <w:bdr w:val="none" w:sz="0" w:space="0" w:color="auto"/>
        </w:rPr>
        <w:t xml:space="preserve"> takes Crowns Eye’s approach—modular learning, reflective practice, and a capstone—and adapts it to students and professionals who want to build mastery in finance, entrepreneurship, or creative work.</w:t>
      </w:r>
    </w:p>
    <w:p w14:paraId="3565FB15" w14:textId="77777777" w:rsidR="000B3856" w:rsidRPr="000B3856" w:rsidRDefault="000B3856" w:rsidP="000B3856">
      <w:pPr>
        <w:numPr>
          <w:ilvl w:val="0"/>
          <w:numId w:val="1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w:t>
      </w:r>
      <w:r w:rsidRPr="000B3856">
        <w:rPr>
          <w:rFonts w:eastAsia="Times New Roman"/>
          <w:b/>
          <w:bCs/>
          <w:bdr w:val="none" w:sz="0" w:space="0" w:color="auto"/>
        </w:rPr>
        <w:t>Wealth Positioning System (WPS)</w:t>
      </w:r>
      <w:r w:rsidRPr="000B3856">
        <w:rPr>
          <w:rFonts w:eastAsia="Times New Roman"/>
          <w:bdr w:val="none" w:sz="0" w:space="0" w:color="auto"/>
        </w:rPr>
        <w:t xml:space="preserve"> gives founders and households a scaled version of the systems map and charter: “Here is what you own, what it’s doing, and who you want to become as a steward of it.”</w:t>
      </w:r>
    </w:p>
    <w:p w14:paraId="245E318B" w14:textId="77777777" w:rsidR="000B3856" w:rsidRPr="000B3856" w:rsidRDefault="000B3856" w:rsidP="000B3856">
      <w:pPr>
        <w:numPr>
          <w:ilvl w:val="0"/>
          <w:numId w:val="12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w:t>
      </w:r>
      <w:r w:rsidRPr="000B3856">
        <w:rPr>
          <w:rFonts w:eastAsia="Times New Roman"/>
          <w:b/>
          <w:bCs/>
          <w:bdr w:val="none" w:sz="0" w:space="0" w:color="auto"/>
        </w:rPr>
        <w:t>Tax Positioning System (TPS)</w:t>
      </w:r>
      <w:r w:rsidRPr="000B3856">
        <w:rPr>
          <w:rFonts w:eastAsia="Times New Roman"/>
          <w:bdr w:val="none" w:sz="0" w:space="0" w:color="auto"/>
        </w:rPr>
        <w:t xml:space="preserve"> and </w:t>
      </w:r>
      <w:r w:rsidRPr="000B3856">
        <w:rPr>
          <w:rFonts w:eastAsia="Times New Roman"/>
          <w:b/>
          <w:bCs/>
          <w:bdr w:val="none" w:sz="0" w:space="0" w:color="auto"/>
        </w:rPr>
        <w:t>Institutional Positioning System (IPS)</w:t>
      </w:r>
      <w:r w:rsidRPr="000B3856">
        <w:rPr>
          <w:rFonts w:eastAsia="Times New Roman"/>
          <w:bdr w:val="none" w:sz="0" w:space="0" w:color="auto"/>
        </w:rPr>
        <w:t xml:space="preserve"> apply the same pattern to tax strategy and to banks themselves: see the whole, clarify purpose, practice decision-making in safe simulations before committing in the real world.</w:t>
      </w:r>
    </w:p>
    <w:p w14:paraId="4C9F5DF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 that sense, the Graduation Project is not just a wealthy family’s finishing school. It is the prototype for a new way of learning with and through capital—one where interpretive AI, human mentors, and real-world responsibility are woven into a single, coherent journey.</w:t>
      </w:r>
    </w:p>
    <w:p w14:paraId="18E4969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058870D1">
          <v:rect id="_x0000_i1028" style="width:0;height:1.5pt" o:hralign="center" o:hrstd="t" o:hr="t" fillcolor="#a0a0a0" stroked="f"/>
        </w:pict>
      </w:r>
    </w:p>
    <w:p w14:paraId="1472BC4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3 – WayPoint Product Architecture &amp; Tiers</w:t>
      </w:r>
    </w:p>
    <w:p w14:paraId="10AD04C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WayPoint is the experience layer of Sentiarch in the financial world. It is the place where individuals, households, businesses, and institutions actually touch the system: where they log in, see their position, make decisions, and feel the difference between old banking and interpretive, collaborative banking.</w:t>
      </w:r>
    </w:p>
    <w:p w14:paraId="589DD14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At its core, WayPoint is not “just another neobank.” It is a </w:t>
      </w:r>
      <w:r w:rsidRPr="000B3856">
        <w:rPr>
          <w:rFonts w:eastAsia="Times New Roman"/>
          <w:b/>
          <w:bCs/>
          <w:bdr w:val="none" w:sz="0" w:space="0" w:color="auto"/>
        </w:rPr>
        <w:t>Financial Positioning System (FPS)</w:t>
      </w:r>
      <w:r w:rsidRPr="000B3856">
        <w:rPr>
          <w:rFonts w:eastAsia="Times New Roman"/>
          <w:bdr w:val="none" w:sz="0" w:space="0" w:color="auto"/>
        </w:rPr>
        <w:t xml:space="preserve"> running on top of regulated banking rails. Traditional providers show you balances and transactions. WayPoint shows you where you are in your financial journey, what routes are available from here, and how every choice—small or large—changes your trajectory over time.</w:t>
      </w:r>
    </w:p>
    <w:p w14:paraId="3971D84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To do this in a way that is safe, extensible, and attractive to partners, WayPoint is designed as a three-tier product architecture:</w:t>
      </w:r>
    </w:p>
    <w:p w14:paraId="5F83B71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3.1 WayPoint Core – Everyday sophistication</w:t>
      </w:r>
    </w:p>
    <w:p w14:paraId="5B140B9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WayPoint Core</w:t>
      </w:r>
      <w:r w:rsidRPr="000B3856">
        <w:rPr>
          <w:rFonts w:eastAsia="Times New Roman"/>
          <w:bdr w:val="none" w:sz="0" w:space="0" w:color="auto"/>
        </w:rPr>
        <w:t xml:space="preserve"> is the foundational tier. It serves individuals, households, and small businesses who want clarity, stability, and growth without needing a family office or a corporate treasury department.</w:t>
      </w:r>
    </w:p>
    <w:p w14:paraId="2B0E04C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Core provides:</w:t>
      </w:r>
    </w:p>
    <w:p w14:paraId="53D9834E" w14:textId="77777777" w:rsidR="000B3856" w:rsidRPr="000B3856" w:rsidRDefault="000B3856" w:rsidP="000B3856">
      <w:pPr>
        <w:numPr>
          <w:ilvl w:val="0"/>
          <w:numId w:val="1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multi-account banking (modeled on profit-first and envelope-style approaches);</w:t>
      </w:r>
    </w:p>
    <w:p w14:paraId="5A8F38B3" w14:textId="77777777" w:rsidR="000B3856" w:rsidRPr="000B3856" w:rsidRDefault="000B3856" w:rsidP="000B3856">
      <w:pPr>
        <w:numPr>
          <w:ilvl w:val="0"/>
          <w:numId w:val="1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live FPS views of cashflow, obligations, and runway;</w:t>
      </w:r>
    </w:p>
    <w:p w14:paraId="437F2469" w14:textId="77777777" w:rsidR="000B3856" w:rsidRPr="000B3856" w:rsidRDefault="000B3856" w:rsidP="000B3856">
      <w:pPr>
        <w:numPr>
          <w:ilvl w:val="0"/>
          <w:numId w:val="12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simple “routes” that translate complex financial strategy into human language:</w:t>
      </w:r>
      <w:r w:rsidRPr="000B3856">
        <w:rPr>
          <w:rFonts w:eastAsia="Times New Roman"/>
          <w:bdr w:val="none" w:sz="0" w:space="0" w:color="auto"/>
        </w:rPr>
        <w:br/>
        <w:t>“If you follow this path, here is what happens to your reserves, your debt, and your runway.”</w:t>
      </w:r>
    </w:p>
    <w:p w14:paraId="7FA4B3D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Core is where most people and small businesses will meet Sentiarch for the first time. It feels familiar—cards, accounts, transfers—but the underlying experience is different: each action is embedded in a story about “where this move takes you.”</w:t>
      </w:r>
    </w:p>
    <w:p w14:paraId="6C95692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3.2 WayPoint Edge – Complex &amp; underserved verticals</w:t>
      </w:r>
    </w:p>
    <w:p w14:paraId="3AEFA97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WayPoint Edge</w:t>
      </w:r>
      <w:r w:rsidRPr="000B3856">
        <w:rPr>
          <w:rFonts w:eastAsia="Times New Roman"/>
          <w:bdr w:val="none" w:sz="0" w:space="0" w:color="auto"/>
        </w:rPr>
        <w:t xml:space="preserve"> extends the same interpretive capabilities into complex or underserved verticals. These are sectors where traditional risk models are blunt and where many institutions are cautious: creators and platform economies, cannabis and other regulated industries, seasonal or highly cyclical businesses, and communities that have historically been underbanked or mischaracterized.</w:t>
      </w:r>
    </w:p>
    <w:p w14:paraId="1744881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Edge does not relax risk discipline; it refines it. By layering Sentiarch’s signal engine on top of live account and behavioral data, WayPoint Edge can distinguish between good risk and bad risk in environments that previously looked uniformly “too hard.”</w:t>
      </w:r>
    </w:p>
    <w:p w14:paraId="3B2639C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This allows partner institutions to:</w:t>
      </w:r>
    </w:p>
    <w:p w14:paraId="4483ED3F" w14:textId="77777777" w:rsidR="000B3856" w:rsidRPr="000B3856" w:rsidRDefault="000B3856" w:rsidP="000B3856">
      <w:pPr>
        <w:numPr>
          <w:ilvl w:val="0"/>
          <w:numId w:val="1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participate in new markets with better visibility;</w:t>
      </w:r>
    </w:p>
    <w:p w14:paraId="14317530" w14:textId="77777777" w:rsidR="000B3856" w:rsidRPr="000B3856" w:rsidRDefault="000B3856" w:rsidP="000B3856">
      <w:pPr>
        <w:numPr>
          <w:ilvl w:val="0"/>
          <w:numId w:val="1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structure products whose guardrails match </w:t>
      </w:r>
      <w:r w:rsidRPr="000B3856">
        <w:rPr>
          <w:rFonts w:eastAsia="Times New Roman"/>
          <w:i/>
          <w:iCs/>
          <w:bdr w:val="none" w:sz="0" w:space="0" w:color="auto"/>
        </w:rPr>
        <w:t>behavioral</w:t>
      </w:r>
      <w:r w:rsidRPr="000B3856">
        <w:rPr>
          <w:rFonts w:eastAsia="Times New Roman"/>
          <w:bdr w:val="none" w:sz="0" w:space="0" w:color="auto"/>
        </w:rPr>
        <w:t xml:space="preserve"> patterns instead of stereotypes;</w:t>
      </w:r>
    </w:p>
    <w:p w14:paraId="48696A1C" w14:textId="77777777" w:rsidR="000B3856" w:rsidRPr="000B3856" w:rsidRDefault="000B3856" w:rsidP="000B3856">
      <w:pPr>
        <w:numPr>
          <w:ilvl w:val="0"/>
          <w:numId w:val="12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see Edge portfolios through stability and stress lenses that are explainable to boards and regulators.</w:t>
      </w:r>
    </w:p>
    <w:p w14:paraId="0F188C7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3.3 WayPoint Crown – Bridge to Eden Crown &amp; UHNW</w:t>
      </w:r>
    </w:p>
    <w:p w14:paraId="3BD07D7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WayPoint Crown</w:t>
      </w:r>
      <w:r w:rsidRPr="000B3856">
        <w:rPr>
          <w:rFonts w:eastAsia="Times New Roman"/>
          <w:bdr w:val="none" w:sz="0" w:space="0" w:color="auto"/>
        </w:rPr>
        <w:t xml:space="preserve"> sits at the top of the stack as the bridge to Eden Crown and UHNW / family office structures. Where Core and Edge focus on account-level and business-level positioning, Crown is designed to understand entities, trusts, and multi-generational plans.</w:t>
      </w:r>
    </w:p>
    <w:p w14:paraId="486A948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 practice, this looks like a WayPoint experience tailored for family offices, principals, and their advisors:</w:t>
      </w:r>
    </w:p>
    <w:p w14:paraId="3BD0C567" w14:textId="77777777" w:rsidR="000B3856" w:rsidRPr="000B3856" w:rsidRDefault="000B3856" w:rsidP="000B3856">
      <w:pPr>
        <w:numPr>
          <w:ilvl w:val="0"/>
          <w:numId w:val="1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banking and account views that know which entity belongs to which trust, which strategy, and which stewardship promise;</w:t>
      </w:r>
    </w:p>
    <w:p w14:paraId="5331C966" w14:textId="77777777" w:rsidR="000B3856" w:rsidRPr="000B3856" w:rsidRDefault="000B3856" w:rsidP="000B3856">
      <w:pPr>
        <w:numPr>
          <w:ilvl w:val="0"/>
          <w:numId w:val="1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FPS maps that are aware of covenant constraints, distribution policies, and generational goals;</w:t>
      </w:r>
    </w:p>
    <w:p w14:paraId="380824BF" w14:textId="77777777" w:rsidR="000B3856" w:rsidRPr="000B3856" w:rsidRDefault="000B3856" w:rsidP="000B3856">
      <w:pPr>
        <w:numPr>
          <w:ilvl w:val="0"/>
          <w:numId w:val="12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integrated routes that treat “open a new venture account,” “make a distribution,” or “fund a foundation commitment” as moves in a longer game.</w:t>
      </w:r>
    </w:p>
    <w:p w14:paraId="2B76934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Crown becomes the transactional face of the Eden Crown OS: when a distribution is made, an investment is funded, or a new venture account is opened, those actions are interpreted not just as “movements of money,” but as moves in a multi-decade strategy.</w:t>
      </w:r>
    </w:p>
    <w:p w14:paraId="7EFD914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3.4 Multi-institution stance</w:t>
      </w:r>
    </w:p>
    <w:p w14:paraId="60BAC28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Across all three tiers, WayPoint is intentionally </w:t>
      </w:r>
      <w:r w:rsidRPr="000B3856">
        <w:rPr>
          <w:rFonts w:eastAsia="Times New Roman"/>
          <w:b/>
          <w:bCs/>
          <w:bdr w:val="none" w:sz="0" w:space="0" w:color="auto"/>
        </w:rPr>
        <w:t>bank- and partner-agnostic</w:t>
      </w:r>
      <w:r w:rsidRPr="000B3856">
        <w:rPr>
          <w:rFonts w:eastAsia="Times New Roman"/>
          <w:bdr w:val="none" w:sz="0" w:space="0" w:color="auto"/>
        </w:rPr>
        <w:t>. It is designed to sit “on top of and alongside” multiple regulated institutions rather than being captive to a single balance sheet.</w:t>
      </w:r>
    </w:p>
    <w:p w14:paraId="77C6AE4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Underneath, WayPoint can be powered by BaaS partners in the same way modern fintechs are, but the architectural stance is different:</w:t>
      </w:r>
    </w:p>
    <w:p w14:paraId="1C19D5AF" w14:textId="77777777" w:rsidR="000B3856" w:rsidRPr="000B3856" w:rsidRDefault="000B3856" w:rsidP="000B3856">
      <w:pPr>
        <w:numPr>
          <w:ilvl w:val="0"/>
          <w:numId w:val="1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WayPoint is not quietly trying to become a bank in disguise.</w:t>
      </w:r>
    </w:p>
    <w:p w14:paraId="26274B0E" w14:textId="77777777" w:rsidR="000B3856" w:rsidRPr="000B3856" w:rsidRDefault="000B3856" w:rsidP="000B3856">
      <w:pPr>
        <w:numPr>
          <w:ilvl w:val="0"/>
          <w:numId w:val="1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It is explicitly an interpretive OS and experience layer that allows institutions to participate via MSAs, white-label overlays, and joint ventures.</w:t>
      </w:r>
    </w:p>
    <w:p w14:paraId="4C771F91" w14:textId="77777777" w:rsidR="000B3856" w:rsidRPr="000B3856" w:rsidRDefault="000B3856" w:rsidP="000B3856">
      <w:pPr>
        <w:numPr>
          <w:ilvl w:val="0"/>
          <w:numId w:val="12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underlying capital, lending decisions, and regulatory responsibilities </w:t>
      </w:r>
      <w:r w:rsidRPr="000B3856">
        <w:rPr>
          <w:rFonts w:eastAsia="Times New Roman"/>
          <w:b/>
          <w:bCs/>
          <w:bdr w:val="none" w:sz="0" w:space="0" w:color="auto"/>
        </w:rPr>
        <w:t>remain with licensed institutions</w:t>
      </w:r>
      <w:r w:rsidRPr="000B3856">
        <w:rPr>
          <w:rFonts w:eastAsia="Times New Roman"/>
          <w:bdr w:val="none" w:sz="0" w:space="0" w:color="auto"/>
        </w:rPr>
        <w:t>, while WayPoint provides the connective tissue, intelligence, and customer experience that none of them could credibly build alone.</w:t>
      </w:r>
    </w:p>
    <w:p w14:paraId="1102E27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lang w:val="fr-FR"/>
        </w:rPr>
      </w:pPr>
      <w:r w:rsidRPr="000B3856">
        <w:rPr>
          <w:rFonts w:eastAsia="Times New Roman"/>
          <w:b/>
          <w:bCs/>
          <w:sz w:val="27"/>
          <w:szCs w:val="27"/>
          <w:bdr w:val="none" w:sz="0" w:space="0" w:color="auto"/>
          <w:lang w:val="fr-FR"/>
        </w:rPr>
        <w:t>3.5 Technical spine: FPS engine + Envoy nodes + UI layer</w:t>
      </w:r>
    </w:p>
    <w:p w14:paraId="36B661B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From a technical perspective, the architecture is modular:</w:t>
      </w:r>
    </w:p>
    <w:p w14:paraId="0DD09B8E" w14:textId="77777777" w:rsidR="000B3856" w:rsidRPr="000B3856" w:rsidRDefault="000B3856" w:rsidP="000B3856">
      <w:pPr>
        <w:numPr>
          <w:ilvl w:val="0"/>
          <w:numId w:val="1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w:t>
      </w:r>
      <w:r w:rsidRPr="000B3856">
        <w:rPr>
          <w:rFonts w:eastAsia="Times New Roman"/>
          <w:b/>
          <w:bCs/>
          <w:bdr w:val="none" w:sz="0" w:space="0" w:color="auto"/>
        </w:rPr>
        <w:t>FPS engine</w:t>
      </w:r>
      <w:r w:rsidRPr="000B3856">
        <w:rPr>
          <w:rFonts w:eastAsia="Times New Roman"/>
          <w:bdr w:val="none" w:sz="0" w:space="0" w:color="auto"/>
        </w:rPr>
        <w:t xml:space="preserve"> computes positions, routes, and scenarios from normalized data streams (accounts, transactions, obligations, goals).</w:t>
      </w:r>
    </w:p>
    <w:p w14:paraId="16EC4EC9" w14:textId="77777777" w:rsidR="000B3856" w:rsidRPr="000B3856" w:rsidRDefault="000B3856" w:rsidP="000B3856">
      <w:pPr>
        <w:numPr>
          <w:ilvl w:val="0"/>
          <w:numId w:val="1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w:t>
      </w:r>
      <w:r w:rsidRPr="000B3856">
        <w:rPr>
          <w:rFonts w:eastAsia="Times New Roman"/>
          <w:b/>
          <w:bCs/>
          <w:bdr w:val="none" w:sz="0" w:space="0" w:color="auto"/>
        </w:rPr>
        <w:t>node layer (SentiarchEnvoy FPS)</w:t>
      </w:r>
      <w:r w:rsidRPr="000B3856">
        <w:rPr>
          <w:rFonts w:eastAsia="Times New Roman"/>
          <w:bdr w:val="none" w:sz="0" w:space="0" w:color="auto"/>
        </w:rPr>
        <w:t xml:space="preserve"> provides cross-institutional intelligence: how a customer’s reality looks when you stitch together their banking, credit, small business, and household data without forcing them to move everything to a single provider.</w:t>
      </w:r>
    </w:p>
    <w:p w14:paraId="02973157" w14:textId="77777777" w:rsidR="000B3856" w:rsidRPr="000B3856" w:rsidRDefault="000B3856" w:rsidP="000B3856">
      <w:pPr>
        <w:numPr>
          <w:ilvl w:val="0"/>
          <w:numId w:val="1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w:t>
      </w:r>
      <w:r w:rsidRPr="000B3856">
        <w:rPr>
          <w:rFonts w:eastAsia="Times New Roman"/>
          <w:b/>
          <w:bCs/>
          <w:bdr w:val="none" w:sz="0" w:space="0" w:color="auto"/>
        </w:rPr>
        <w:t>UI layer</w:t>
      </w:r>
      <w:r w:rsidRPr="000B3856">
        <w:rPr>
          <w:rFonts w:eastAsia="Times New Roman"/>
          <w:bdr w:val="none" w:sz="0" w:space="0" w:color="auto"/>
        </w:rPr>
        <w:t xml:space="preserve"> adapts to the user:</w:t>
      </w:r>
    </w:p>
    <w:p w14:paraId="7D4C928B" w14:textId="77777777" w:rsidR="000B3856" w:rsidRPr="000B3856" w:rsidRDefault="000B3856" w:rsidP="000B3856">
      <w:pPr>
        <w:numPr>
          <w:ilvl w:val="1"/>
          <w:numId w:val="1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small business owner might see cashflow ladders, tax set-asides, and funding readiness signals.</w:t>
      </w:r>
    </w:p>
    <w:p w14:paraId="7D9EEAB0" w14:textId="77777777" w:rsidR="000B3856" w:rsidRPr="000B3856" w:rsidRDefault="000B3856" w:rsidP="000B3856">
      <w:pPr>
        <w:numPr>
          <w:ilvl w:val="1"/>
          <w:numId w:val="1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household might see bill coverage, emergency funds, and long-term savings routes.</w:t>
      </w:r>
    </w:p>
    <w:p w14:paraId="549E4D02" w14:textId="77777777" w:rsidR="000B3856" w:rsidRPr="000B3856" w:rsidRDefault="000B3856" w:rsidP="000B3856">
      <w:pPr>
        <w:numPr>
          <w:ilvl w:val="1"/>
          <w:numId w:val="12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partner institution might see risk stability and opportunity maps across their portfolio.</w:t>
      </w:r>
    </w:p>
    <w:p w14:paraId="57FD354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The result is a product line that can serve a student opening their first account, a small business owner trying to survive and grow, a niche vertical searching for a fair partner, and a family office designing their next fifty years—all on the same OS, differentiated by tier-appropriate interfaces and capabilities.</w:t>
      </w:r>
    </w:p>
    <w:p w14:paraId="27F269D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5E5CAAFC">
          <v:rect id="_x0000_i1029" style="width:0;height:1.5pt" o:hralign="center" o:hrstd="t" o:hr="t" fillcolor="#a0a0a0" stroked="f"/>
        </w:pict>
      </w:r>
    </w:p>
    <w:p w14:paraId="19D3570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4 – Customer Experience &amp; Go-to-Market Path</w:t>
      </w:r>
    </w:p>
    <w:p w14:paraId="5BBDFC3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easiest way to understand WayPoint and Sentiarch is to follow a customer’s journey.</w:t>
      </w:r>
    </w:p>
    <w:p w14:paraId="2282641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4.1 Individuals &amp; households – from confusion to a live map</w:t>
      </w:r>
    </w:p>
    <w:p w14:paraId="7F46751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an individual or household, the relationship often begins with a moment of friction: a loan denial that doesn’t make sense, a feeling that money keeps slipping away despite constant effort, a growing fear that they are building nothing they can pass on. They arrive at WayPoint not just looking for another account, but looking for someone to finally explain what is going on.</w:t>
      </w:r>
    </w:p>
    <w:p w14:paraId="4D079A3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first contact is not a long form and a maze of menus. It is an AI concierge conversation that feels like sitting down with a patient, well-informed guide. The customer is welcomed, asked a small number of human questions—“What are you trying to accomplish in the next 12–24 months?” “What keeps you up at night?”—and, if they opt in, invited to connect their existing accounts via a Plaid-style flow.</w:t>
      </w:r>
    </w:p>
    <w:p w14:paraId="37B3671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Instead of lecturing or judging, the system reflects back what it sees in simple, dignifying language: “Here’s how your money is currently flowing. Here are the bottlenecks. Here are three possible routes.”</w:t>
      </w:r>
    </w:p>
    <w:p w14:paraId="788627D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Once onboarded, WayPoint becomes the customer’s financial positioning system. Each time they log in, they are not greeted by a static ledger, but by a live map: where they stand relative to their commitments, what has changed since last time, and what the next best move looks like. When life shifts—a job change, a health event, a new child, a downturn in their business—WayPoint recalculates. The tone remains consistent: collaborative, explanatory, and rooted in respect for their agency.</w:t>
      </w:r>
    </w:p>
    <w:p w14:paraId="4DB3E23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product is not “advice in a box”; it is a continuous, co-created route-finding process.</w:t>
      </w:r>
    </w:p>
    <w:p w14:paraId="08FB045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4.2 Small businesses &amp; Edge verticals – clarity in hard markets</w:t>
      </w:r>
    </w:p>
    <w:p w14:paraId="20E36B8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small businesses and verticals served by WayPoint Edge, the experience is similar but tuned to the realities of operating in tighter markets.</w:t>
      </w:r>
    </w:p>
    <w:p w14:paraId="4FA20585" w14:textId="77777777" w:rsidR="000B3856" w:rsidRPr="000B3856" w:rsidRDefault="000B3856" w:rsidP="000B3856">
      <w:pPr>
        <w:numPr>
          <w:ilvl w:val="0"/>
          <w:numId w:val="1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A creator sees how platform income flows, how tax obligations are accumulating, and which banks or partners in the ecosystem have an appetite for businesses like theirs.</w:t>
      </w:r>
    </w:p>
    <w:p w14:paraId="15BA9E7A" w14:textId="77777777" w:rsidR="000B3856" w:rsidRPr="000B3856" w:rsidRDefault="000B3856" w:rsidP="000B3856">
      <w:pPr>
        <w:numPr>
          <w:ilvl w:val="0"/>
          <w:numId w:val="12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regulated-industry operator sees which behaviors strengthen their relationship with capital providers and which patterns raise concern.</w:t>
      </w:r>
    </w:p>
    <w:p w14:paraId="335E7C0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Instead of being treated as a faceless risk score, they are given a transparent view into the signals that matter and the levers they can pull to move those signals in the right direction.</w:t>
      </w:r>
    </w:p>
    <w:p w14:paraId="4AC8B38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4.3 Institutions – pilot sandboxes &amp; landscape intelligence</w:t>
      </w:r>
    </w:p>
    <w:p w14:paraId="109BB7C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On the institutional side, WayPoint does not ask banks to abandon their existing systems. It offers them a bridge into a different way of doing business.</w:t>
      </w:r>
    </w:p>
    <w:p w14:paraId="40E62B8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In early phases, this takes the form of </w:t>
      </w:r>
      <w:r w:rsidRPr="000B3856">
        <w:rPr>
          <w:rFonts w:eastAsia="Times New Roman"/>
          <w:b/>
          <w:bCs/>
          <w:bdr w:val="none" w:sz="0" w:space="0" w:color="auto"/>
        </w:rPr>
        <w:t>pilot sandboxes</w:t>
      </w:r>
      <w:r w:rsidRPr="000B3856">
        <w:rPr>
          <w:rFonts w:eastAsia="Times New Roman"/>
          <w:bdr w:val="none" w:sz="0" w:space="0" w:color="auto"/>
        </w:rPr>
        <w:t>: limited-scope collaborations where a partner institution allows WayPoint to interpret a carefully selected portfolio—small businesses in a specific region, for example, or customers in a particular product line. WayPoint produces:</w:t>
      </w:r>
    </w:p>
    <w:p w14:paraId="5921AD64" w14:textId="77777777" w:rsidR="000B3856" w:rsidRPr="000B3856" w:rsidRDefault="000B3856" w:rsidP="000B3856">
      <w:pPr>
        <w:numPr>
          <w:ilvl w:val="0"/>
          <w:numId w:val="1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landscape reports;</w:t>
      </w:r>
    </w:p>
    <w:p w14:paraId="7C05C81D" w14:textId="77777777" w:rsidR="000B3856" w:rsidRPr="000B3856" w:rsidRDefault="000B3856" w:rsidP="000B3856">
      <w:pPr>
        <w:numPr>
          <w:ilvl w:val="0"/>
          <w:numId w:val="1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risk and opportunity maps;</w:t>
      </w:r>
    </w:p>
    <w:p w14:paraId="04DB0B3B" w14:textId="77777777" w:rsidR="000B3856" w:rsidRPr="000B3856" w:rsidRDefault="000B3856" w:rsidP="000B3856">
      <w:pPr>
        <w:numPr>
          <w:ilvl w:val="0"/>
          <w:numId w:val="12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and a “before/after” view of how their decisions might change if they operated with better interpretive intelligence.</w:t>
      </w:r>
    </w:p>
    <w:p w14:paraId="624A924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These pilots are governed through MSAs, white-label overlays, and joint ventures, not through hidden arrangements. The institution remains visible, regulated, and responsible. WayPoint provides the lens: a new way to see their customers, their markets, and their own products. As trust and familiarity grow, the collaboration can expand—from advisory reporting, to co-branded experiences, to deeper integration where institutions are willing and regulators are aligned.</w:t>
      </w:r>
    </w:p>
    <w:p w14:paraId="61DB72D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4.4 Family offices &amp; UHNW – Eden Crown entry point</w:t>
      </w:r>
    </w:p>
    <w:p w14:paraId="3AD12D9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family offices and UHNW families, the journey begins higher up the stack. They do not come to WayPoint because they want another checking account; they come because they have realized that their complexity has outgrown their ability to see it clearly.</w:t>
      </w:r>
    </w:p>
    <w:p w14:paraId="05CE0BD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Here, the go-to-market motion often starts with </w:t>
      </w:r>
      <w:r w:rsidRPr="000B3856">
        <w:rPr>
          <w:rFonts w:eastAsia="Times New Roman"/>
          <w:b/>
          <w:bCs/>
          <w:bdr w:val="none" w:sz="0" w:space="0" w:color="auto"/>
        </w:rPr>
        <w:t>Eden Crown</w:t>
      </w:r>
      <w:r w:rsidRPr="000B3856">
        <w:rPr>
          <w:rFonts w:eastAsia="Times New Roman"/>
          <w:bdr w:val="none" w:sz="0" w:space="0" w:color="auto"/>
        </w:rPr>
        <w:t>: a proposal to build a family system twin, tie it into their existing banking and custody relationships, and then give their next generation a guided way to understand it. WayPoint Crown then emerges as the natural companion: the place where the high-level OS touches daily financial life across entities and individuals.</w:t>
      </w:r>
    </w:p>
    <w:p w14:paraId="4CA9DE3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lastRenderedPageBreak/>
        <w:t>4.5 Sequencing principles</w:t>
      </w:r>
    </w:p>
    <w:p w14:paraId="2BC0033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Across all of these segments, the sequencing is deliberate:</w:t>
      </w:r>
    </w:p>
    <w:p w14:paraId="0048E14E" w14:textId="77777777" w:rsidR="000B3856" w:rsidRPr="000B3856" w:rsidRDefault="000B3856" w:rsidP="000B3856">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Begin with interpretation, not products.</w:t>
      </w:r>
      <w:r w:rsidRPr="000B3856">
        <w:rPr>
          <w:rFonts w:eastAsia="Times New Roman"/>
          <w:bdr w:val="none" w:sz="0" w:space="0" w:color="auto"/>
        </w:rPr>
        <w:t xml:space="preserve"> Show people and institutions what is actually true in their current landscape, in language they can understand.</w:t>
      </w:r>
    </w:p>
    <w:p w14:paraId="06F80BE9" w14:textId="77777777" w:rsidR="000B3856" w:rsidRPr="000B3856" w:rsidRDefault="000B3856" w:rsidP="000B3856">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Pilot before scale.</w:t>
      </w:r>
      <w:r w:rsidRPr="000B3856">
        <w:rPr>
          <w:rFonts w:eastAsia="Times New Roman"/>
          <w:bdr w:val="none" w:sz="0" w:space="0" w:color="auto"/>
        </w:rPr>
        <w:t xml:space="preserve"> Use sandboxes with clear boundaries to prove value, surface risks, and refine models.</w:t>
      </w:r>
    </w:p>
    <w:p w14:paraId="74EDA151" w14:textId="77777777" w:rsidR="000B3856" w:rsidRPr="000B3856" w:rsidRDefault="000B3856" w:rsidP="000B3856">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Earn the right to handle flows.</w:t>
      </w:r>
      <w:r w:rsidRPr="000B3856">
        <w:rPr>
          <w:rFonts w:eastAsia="Times New Roman"/>
          <w:bdr w:val="none" w:sz="0" w:space="0" w:color="auto"/>
        </w:rPr>
        <w:t xml:space="preserve"> Only after trust and clarity are established does WayPoint move closer to the transactional layer, always in partnership with licensed institutions.</w:t>
      </w:r>
    </w:p>
    <w:p w14:paraId="5B528711" w14:textId="77777777" w:rsidR="000B3856" w:rsidRPr="000B3856" w:rsidRDefault="000B3856" w:rsidP="000B3856">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Grow through alignment, not conquest.</w:t>
      </w:r>
      <w:r w:rsidRPr="000B3856">
        <w:rPr>
          <w:rFonts w:eastAsia="Times New Roman"/>
          <w:bdr w:val="none" w:sz="0" w:space="0" w:color="auto"/>
        </w:rPr>
        <w:t xml:space="preserve"> The system is designed to make banks, family offices, and end customers stronger together—not to replace any of them.</w:t>
      </w:r>
    </w:p>
    <w:p w14:paraId="0814826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go-to-market path is therefore not a blitz, but a carefully staged sequence of collaborations. It starts with individuals and small businesses who are desperate for clarity. It extends to institutions who want to serve them better but lack the tools. It culminates in multi-party ecosystems where Sentiarch’s intelligence, WayPoint’s experience, and partners’ balance sheets come together to create outcomes none of them could achieve on their own.</w:t>
      </w:r>
    </w:p>
    <w:p w14:paraId="15DB5A2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24187411">
          <v:rect id="_x0000_i1030" style="width:0;height:1.5pt" o:hralign="center" o:hrstd="t" o:hr="t" fillcolor="#a0a0a0" stroked="f"/>
        </w:pict>
      </w:r>
    </w:p>
    <w:p w14:paraId="1B1D33A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5 – Sentiarch OS &amp; Substrate: 7-Layer Technical Spine</w:t>
      </w:r>
    </w:p>
    <w:p w14:paraId="4A533FB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i/>
          <w:iCs/>
          <w:bdr w:val="none" w:sz="0" w:space="0" w:color="auto"/>
        </w:rPr>
        <w:t>(High-level narrative; Appendix C will carry the full technical detail.)</w:t>
      </w:r>
    </w:p>
    <w:p w14:paraId="76C05C9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Sentiarch is the interpretive substrate underneath Eden Crown and WayPoint. Where most systems are built around products or channels, Sentiarch is built around </w:t>
      </w:r>
      <w:r w:rsidRPr="000B3856">
        <w:rPr>
          <w:rFonts w:eastAsia="Times New Roman"/>
          <w:b/>
          <w:bCs/>
          <w:bdr w:val="none" w:sz="0" w:space="0" w:color="auto"/>
        </w:rPr>
        <w:t>signals</w:t>
      </w:r>
      <w:r w:rsidRPr="000B3856">
        <w:rPr>
          <w:rFonts w:eastAsia="Times New Roman"/>
          <w:bdr w:val="none" w:sz="0" w:space="0" w:color="auto"/>
        </w:rPr>
        <w:t>: structured ways of understanding what is happening in a financial and relational system, and what might happen next.</w:t>
      </w:r>
    </w:p>
    <w:p w14:paraId="4CAC280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7-layer spine looks roughly like this:</w:t>
      </w:r>
    </w:p>
    <w:p w14:paraId="038775A0"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Ingestion &amp; Normalization</w:t>
      </w:r>
      <w:r w:rsidRPr="000B3856">
        <w:rPr>
          <w:rFonts w:eastAsia="Times New Roman"/>
          <w:bdr w:val="none" w:sz="0" w:space="0" w:color="auto"/>
        </w:rPr>
        <w:t xml:space="preserve"> – Bank feeds, card transactions, loan ledgers, trust accounting records, CRM events, behavioral telemetry. Everything is converted into a common, structured form without losing provenance.</w:t>
      </w:r>
    </w:p>
    <w:p w14:paraId="7EB824A2"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Identity &amp; Entity Graph</w:t>
      </w:r>
      <w:r w:rsidRPr="000B3856">
        <w:rPr>
          <w:rFonts w:eastAsia="Times New Roman"/>
          <w:bdr w:val="none" w:sz="0" w:space="0" w:color="auto"/>
        </w:rPr>
        <w:t xml:space="preserve"> – Individuals, households, businesses, trusts, entities, institutions, and their relationships are mapped into a living graph rather than isolated records.</w:t>
      </w:r>
    </w:p>
    <w:p w14:paraId="79624CD0"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Signal Extraction</w:t>
      </w:r>
      <w:r w:rsidRPr="000B3856">
        <w:rPr>
          <w:rFonts w:eastAsia="Times New Roman"/>
          <w:bdr w:val="none" w:sz="0" w:space="0" w:color="auto"/>
        </w:rPr>
        <w:t xml:space="preserve"> – From this graph, Sentiarch computes interpretable signals: liquidity health, payment discipline, stability patterns, concentration risk, cross-entity dependencies, etc.</w:t>
      </w:r>
    </w:p>
    <w:p w14:paraId="4B29D267"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Scenario &amp; Route Engine</w:t>
      </w:r>
      <w:r w:rsidRPr="000B3856">
        <w:rPr>
          <w:rFonts w:eastAsia="Times New Roman"/>
          <w:bdr w:val="none" w:sz="0" w:space="0" w:color="auto"/>
        </w:rPr>
        <w:t xml:space="preserve"> – “If–then” models that compute plausible futures: what happens if distributions change, if a loan reprices, if a recession hits, if a household follows a different route.</w:t>
      </w:r>
    </w:p>
    <w:p w14:paraId="1E79A997"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Positioning Systems Layer</w:t>
      </w:r>
      <w:r w:rsidRPr="000B3856">
        <w:rPr>
          <w:rFonts w:eastAsia="Times New Roman"/>
          <w:bdr w:val="none" w:sz="0" w:space="0" w:color="auto"/>
        </w:rPr>
        <w:t xml:space="preserve"> – FPS, EPS, APS, WPS, TPS, IPS, GovPS, FOPS—all sitting on the same technical substrate, each with domain-specific metrics and playbooks.</w:t>
      </w:r>
    </w:p>
    <w:p w14:paraId="3C6BB61C"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Interface &amp; Experience Layer</w:t>
      </w:r>
      <w:r w:rsidRPr="000B3856">
        <w:rPr>
          <w:rFonts w:eastAsia="Times New Roman"/>
          <w:bdr w:val="none" w:sz="0" w:space="0" w:color="auto"/>
        </w:rPr>
        <w:t xml:space="preserve"> – WayPoint, Eden Crown FO-OS, advisor dashboards, sandbox consoles: different faces of the same brain, tuned to role and context.</w:t>
      </w:r>
    </w:p>
    <w:p w14:paraId="0B36291E" w14:textId="77777777" w:rsidR="000B3856" w:rsidRPr="000B3856" w:rsidRDefault="000B3856" w:rsidP="000B3856">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Governance &amp; Audit Layer</w:t>
      </w:r>
      <w:r w:rsidRPr="000B3856">
        <w:rPr>
          <w:rFonts w:eastAsia="Times New Roman"/>
          <w:bdr w:val="none" w:sz="0" w:space="0" w:color="auto"/>
        </w:rPr>
        <w:t xml:space="preserve"> – Logging, explainability, policy enforcement, human override channels, and institutional controls that make the entire system auditable and governable.</w:t>
      </w:r>
    </w:p>
    <w:p w14:paraId="37D4085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spine is deliberately </w:t>
      </w:r>
      <w:r w:rsidRPr="000B3856">
        <w:rPr>
          <w:rFonts w:eastAsia="Times New Roman"/>
          <w:b/>
          <w:bCs/>
          <w:bdr w:val="none" w:sz="0" w:space="0" w:color="auto"/>
        </w:rPr>
        <w:t>model-agnostic</w:t>
      </w:r>
      <w:r w:rsidRPr="000B3856">
        <w:rPr>
          <w:rFonts w:eastAsia="Times New Roman"/>
          <w:bdr w:val="none" w:sz="0" w:space="0" w:color="auto"/>
        </w:rPr>
        <w:t xml:space="preserve"> at the bottom and </w:t>
      </w:r>
      <w:r w:rsidRPr="000B3856">
        <w:rPr>
          <w:rFonts w:eastAsia="Times New Roman"/>
          <w:b/>
          <w:bCs/>
          <w:bdr w:val="none" w:sz="0" w:space="0" w:color="auto"/>
        </w:rPr>
        <w:t>experience-agnostic</w:t>
      </w:r>
      <w:r w:rsidRPr="000B3856">
        <w:rPr>
          <w:rFonts w:eastAsia="Times New Roman"/>
          <w:bdr w:val="none" w:sz="0" w:space="0" w:color="auto"/>
        </w:rPr>
        <w:t xml:space="preserve"> at the top. That means Sentiarch can:</w:t>
      </w:r>
    </w:p>
    <w:p w14:paraId="5C4FC98A" w14:textId="77777777" w:rsidR="000B3856" w:rsidRPr="000B3856" w:rsidRDefault="000B3856" w:rsidP="000B3856">
      <w:pPr>
        <w:numPr>
          <w:ilvl w:val="0"/>
          <w:numId w:val="1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swap in better ML models over time without breaking the interfaces;</w:t>
      </w:r>
    </w:p>
    <w:p w14:paraId="7BF3A339" w14:textId="77777777" w:rsidR="000B3856" w:rsidRPr="000B3856" w:rsidRDefault="000B3856" w:rsidP="000B3856">
      <w:pPr>
        <w:numPr>
          <w:ilvl w:val="0"/>
          <w:numId w:val="13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introduce new positioning systems or partner experiences without rebuilding the core.</w:t>
      </w:r>
    </w:p>
    <w:p w14:paraId="4CC9B7B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investors and institutions, the key takeaway is: Sentiarch is not a single model or a “chatbot with a UI.” It is a layered OS designed from day one to support multiple products, multiple partners, and multi-decade evolution.</w:t>
      </w:r>
    </w:p>
    <w:p w14:paraId="7199EAF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592986F1">
          <v:rect id="_x0000_i1031" style="width:0;height:1.5pt" o:hralign="center" o:hrstd="t" o:hr="t" fillcolor="#a0a0a0" stroked="f"/>
        </w:pict>
      </w:r>
    </w:p>
    <w:p w14:paraId="38D8708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6 – Sandbox Lifecycle &amp; Cross-Institution Intelligence</w:t>
      </w:r>
    </w:p>
    <w:p w14:paraId="6262DB9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i/>
          <w:iCs/>
          <w:bdr w:val="none" w:sz="0" w:space="0" w:color="auto"/>
        </w:rPr>
        <w:t>(Narrative here, with full detail in Appendix F &amp; Appendix E.)</w:t>
      </w:r>
    </w:p>
    <w:p w14:paraId="059002A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To change how institutions behave, you cannot simply show them a demo and ask them to trust you. You have to walk them through a </w:t>
      </w:r>
      <w:r w:rsidRPr="000B3856">
        <w:rPr>
          <w:rFonts w:eastAsia="Times New Roman"/>
          <w:b/>
          <w:bCs/>
          <w:bdr w:val="none" w:sz="0" w:space="0" w:color="auto"/>
        </w:rPr>
        <w:t>sandboxed, supervised lifecycle</w:t>
      </w:r>
      <w:r w:rsidRPr="000B3856">
        <w:rPr>
          <w:rFonts w:eastAsia="Times New Roman"/>
          <w:bdr w:val="none" w:sz="0" w:space="0" w:color="auto"/>
        </w:rPr>
        <w:t xml:space="preserve"> that proves the value of interpretive intelligence at each step.</w:t>
      </w:r>
    </w:p>
    <w:p w14:paraId="00C3B59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The sandbox lifecycle typically follows four phases:</w:t>
      </w:r>
    </w:p>
    <w:p w14:paraId="6F1A164D" w14:textId="77777777" w:rsidR="000B3856" w:rsidRPr="000B3856" w:rsidRDefault="000B3856" w:rsidP="000B3856">
      <w:pPr>
        <w:numPr>
          <w:ilvl w:val="0"/>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Discovery &amp; Scoping</w:t>
      </w:r>
      <w:r w:rsidRPr="000B3856">
        <w:rPr>
          <w:rFonts w:eastAsia="Times New Roman"/>
          <w:bdr w:val="none" w:sz="0" w:space="0" w:color="auto"/>
        </w:rPr>
        <w:t xml:space="preserve"> – Identify a bounded portfolio or question:</w:t>
      </w:r>
    </w:p>
    <w:p w14:paraId="56D68DDF"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“Small business customers in this region.”</w:t>
      </w:r>
    </w:p>
    <w:p w14:paraId="000D79CF"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“Customers who have been with us 3–7 years and are stuck at plateau.”</w:t>
      </w:r>
    </w:p>
    <w:p w14:paraId="2006ACDA"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particular product line where losses are higher than expected.”</w:t>
      </w:r>
    </w:p>
    <w:p w14:paraId="3B21F8F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0B3856">
        <w:rPr>
          <w:rFonts w:eastAsia="Times New Roman"/>
          <w:bdr w:val="none" w:sz="0" w:space="0" w:color="auto"/>
        </w:rPr>
        <w:t>In this phase, Sentiarch maps available data, understands regulatory constraints, and designs the minimal viable signal set that can be safely computed.</w:t>
      </w:r>
    </w:p>
    <w:p w14:paraId="2158238C" w14:textId="77777777" w:rsidR="000B3856" w:rsidRPr="000B3856" w:rsidRDefault="000B3856" w:rsidP="000B3856">
      <w:pPr>
        <w:numPr>
          <w:ilvl w:val="0"/>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Read-Only Interpretation</w:t>
      </w:r>
      <w:r w:rsidRPr="000B3856">
        <w:rPr>
          <w:rFonts w:eastAsia="Times New Roman"/>
          <w:bdr w:val="none" w:sz="0" w:space="0" w:color="auto"/>
        </w:rPr>
        <w:t xml:space="preserve"> – Ingest and interpret, but </w:t>
      </w:r>
      <w:r w:rsidRPr="000B3856">
        <w:rPr>
          <w:rFonts w:eastAsia="Times New Roman"/>
          <w:b/>
          <w:bCs/>
          <w:bdr w:val="none" w:sz="0" w:space="0" w:color="auto"/>
        </w:rPr>
        <w:t>do not act</w:t>
      </w:r>
      <w:r w:rsidRPr="000B3856">
        <w:rPr>
          <w:rFonts w:eastAsia="Times New Roman"/>
          <w:bdr w:val="none" w:sz="0" w:space="0" w:color="auto"/>
        </w:rPr>
        <w:t>.</w:t>
      </w:r>
    </w:p>
    <w:p w14:paraId="4D587E36"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SentiarchEnvoy nodes compute signals across the selected population.</w:t>
      </w:r>
    </w:p>
    <w:p w14:paraId="56EEBAFA"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WayPoint-style dashboards are produced for internal stakeholders: risk, product, board, frontline teams.</w:t>
      </w:r>
    </w:p>
    <w:p w14:paraId="1F87EF1A"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No changes are made to pricing, approvals, or customer treatment; the goal is to see how the interpretive lens </w:t>
      </w:r>
      <w:r w:rsidRPr="000B3856">
        <w:rPr>
          <w:rFonts w:eastAsia="Times New Roman"/>
          <w:i/>
          <w:iCs/>
          <w:bdr w:val="none" w:sz="0" w:space="0" w:color="auto"/>
        </w:rPr>
        <w:t>would</w:t>
      </w:r>
      <w:r w:rsidRPr="000B3856">
        <w:rPr>
          <w:rFonts w:eastAsia="Times New Roman"/>
          <w:bdr w:val="none" w:sz="0" w:space="0" w:color="auto"/>
        </w:rPr>
        <w:t xml:space="preserve"> have changed decisions historically and prospectively.</w:t>
      </w:r>
    </w:p>
    <w:p w14:paraId="3CEC6999" w14:textId="77777777" w:rsidR="000B3856" w:rsidRPr="000B3856" w:rsidRDefault="000B3856" w:rsidP="000B3856">
      <w:pPr>
        <w:numPr>
          <w:ilvl w:val="0"/>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Guided Intervention</w:t>
      </w:r>
      <w:r w:rsidRPr="000B3856">
        <w:rPr>
          <w:rFonts w:eastAsia="Times New Roman"/>
          <w:bdr w:val="none" w:sz="0" w:space="0" w:color="auto"/>
        </w:rPr>
        <w:t xml:space="preserve"> – Introduce </w:t>
      </w:r>
      <w:r w:rsidRPr="000B3856">
        <w:rPr>
          <w:rFonts w:eastAsia="Times New Roman"/>
          <w:b/>
          <w:bCs/>
          <w:bdr w:val="none" w:sz="0" w:space="0" w:color="auto"/>
        </w:rPr>
        <w:t>recommendations</w:t>
      </w:r>
      <w:r w:rsidRPr="000B3856">
        <w:rPr>
          <w:rFonts w:eastAsia="Times New Roman"/>
          <w:bdr w:val="none" w:sz="0" w:space="0" w:color="auto"/>
        </w:rPr>
        <w:t>, still with human control.</w:t>
      </w:r>
    </w:p>
    <w:p w14:paraId="549BF26A"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a subset of customers, the institution receives guided actions:</w:t>
      </w:r>
    </w:p>
    <w:p w14:paraId="7DAFB28F" w14:textId="77777777" w:rsidR="000B3856" w:rsidRPr="000B3856" w:rsidRDefault="000B3856" w:rsidP="000B3856">
      <w:pPr>
        <w:numPr>
          <w:ilvl w:val="2"/>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“Offer this restructuring instead of a blanket decline.”</w:t>
      </w:r>
    </w:p>
    <w:p w14:paraId="586200EC" w14:textId="77777777" w:rsidR="000B3856" w:rsidRPr="000B3856" w:rsidRDefault="000B3856" w:rsidP="000B3856">
      <w:pPr>
        <w:numPr>
          <w:ilvl w:val="2"/>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“Flag this customer as a priority retention candidate.”</w:t>
      </w:r>
    </w:p>
    <w:p w14:paraId="42CA4A02" w14:textId="77777777" w:rsidR="000B3856" w:rsidRPr="000B3856" w:rsidRDefault="000B3856" w:rsidP="000B3856">
      <w:pPr>
        <w:numPr>
          <w:ilvl w:val="2"/>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“Consider this deposit incentive to stabilize this relationship.”</w:t>
      </w:r>
    </w:p>
    <w:p w14:paraId="6585F44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ind w:left="720"/>
        <w:rPr>
          <w:rFonts w:eastAsia="Times New Roman"/>
          <w:bdr w:val="none" w:sz="0" w:space="0" w:color="auto"/>
        </w:rPr>
      </w:pPr>
      <w:r w:rsidRPr="000B3856">
        <w:rPr>
          <w:rFonts w:eastAsia="Times New Roman"/>
          <w:bdr w:val="none" w:sz="0" w:space="0" w:color="auto"/>
        </w:rPr>
        <w:t>All actions still require human approval and are logged as experiments. The focus is on lift, safety, and explainability.</w:t>
      </w:r>
    </w:p>
    <w:p w14:paraId="5EF87765" w14:textId="77777777" w:rsidR="000B3856" w:rsidRPr="000B3856" w:rsidRDefault="000B3856" w:rsidP="000B3856">
      <w:pPr>
        <w:numPr>
          <w:ilvl w:val="0"/>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Embedded Practice</w:t>
      </w:r>
      <w:r w:rsidRPr="000B3856">
        <w:rPr>
          <w:rFonts w:eastAsia="Times New Roman"/>
          <w:bdr w:val="none" w:sz="0" w:space="0" w:color="auto"/>
        </w:rPr>
        <w:t xml:space="preserve"> – Move from pilot to practice where proven.</w:t>
      </w:r>
    </w:p>
    <w:p w14:paraId="7D093B59"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certain segments or workflows, Sentiarch’s signals are embedded directly into internal systems: LOS, CRM, servicing consoles.</w:t>
      </w:r>
    </w:p>
    <w:p w14:paraId="6636C77B" w14:textId="77777777" w:rsidR="000B3856" w:rsidRPr="000B3856" w:rsidRDefault="000B3856" w:rsidP="000B3856">
      <w:pPr>
        <w:numPr>
          <w:ilvl w:val="1"/>
          <w:numId w:val="13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Decision-support becomes part of the daily workflow, with clear governance: what must be human-led, what can be auto-suggested, what can be partially automated under thresholds.</w:t>
      </w:r>
    </w:p>
    <w:p w14:paraId="5E8FA72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Throughout, the </w:t>
      </w:r>
      <w:r w:rsidRPr="000B3856">
        <w:rPr>
          <w:rFonts w:eastAsia="Times New Roman"/>
          <w:b/>
          <w:bCs/>
          <w:bdr w:val="none" w:sz="0" w:space="0" w:color="auto"/>
        </w:rPr>
        <w:t>cross-institution intelligence</w:t>
      </w:r>
      <w:r w:rsidRPr="000B3856">
        <w:rPr>
          <w:rFonts w:eastAsia="Times New Roman"/>
          <w:bdr w:val="none" w:sz="0" w:space="0" w:color="auto"/>
        </w:rPr>
        <w:t xml:space="preserve"> layer (SentiarchEnvoy FPS nodes) allows:</w:t>
      </w:r>
    </w:p>
    <w:p w14:paraId="480C6B78" w14:textId="77777777" w:rsidR="000B3856" w:rsidRPr="000B3856" w:rsidRDefault="000B3856" w:rsidP="000B3856">
      <w:pPr>
        <w:numPr>
          <w:ilvl w:val="0"/>
          <w:numId w:val="1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patterns to be seen that are invisible within a single institution;</w:t>
      </w:r>
    </w:p>
    <w:p w14:paraId="1F83AE71" w14:textId="77777777" w:rsidR="000B3856" w:rsidRPr="000B3856" w:rsidRDefault="000B3856" w:rsidP="000B3856">
      <w:pPr>
        <w:numPr>
          <w:ilvl w:val="0"/>
          <w:numId w:val="1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benchmarks to be provided without leaking any one institution’s proprietary data;</w:t>
      </w:r>
    </w:p>
    <w:p w14:paraId="19C7E258" w14:textId="77777777" w:rsidR="000B3856" w:rsidRPr="000B3856" w:rsidRDefault="000B3856" w:rsidP="000B3856">
      <w:pPr>
        <w:numPr>
          <w:ilvl w:val="0"/>
          <w:numId w:val="13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joint initiatives (e.g., two institutions co-serving a vertical) to be evaluated safely.</w:t>
      </w:r>
    </w:p>
    <w:p w14:paraId="244313C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 sandbox is not just a sales tactic. It is the </w:t>
      </w:r>
      <w:r w:rsidRPr="000B3856">
        <w:rPr>
          <w:rFonts w:eastAsia="Times New Roman"/>
          <w:b/>
          <w:bCs/>
          <w:bdr w:val="none" w:sz="0" w:space="0" w:color="auto"/>
        </w:rPr>
        <w:t>native way</w:t>
      </w:r>
      <w:r w:rsidRPr="000B3856">
        <w:rPr>
          <w:rFonts w:eastAsia="Times New Roman"/>
          <w:bdr w:val="none" w:sz="0" w:space="0" w:color="auto"/>
        </w:rPr>
        <w:t xml:space="preserve"> Sentiarch learns with partners, builds trust, and ensures that interpretive AI is deployed as a stabilizer—not as a source of hidden systemic risk.</w:t>
      </w:r>
    </w:p>
    <w:p w14:paraId="3C5A698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292AB26E">
          <v:rect id="_x0000_i1032" style="width:0;height:1.5pt" o:hralign="center" o:hrstd="t" o:hr="t" fillcolor="#a0a0a0" stroked="f"/>
        </w:pict>
      </w:r>
    </w:p>
    <w:p w14:paraId="738FF8C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sz w:val="36"/>
          <w:szCs w:val="36"/>
          <w:bdr w:val="none" w:sz="0" w:space="0" w:color="auto"/>
        </w:rPr>
      </w:pPr>
      <w:r w:rsidRPr="000B3856">
        <w:rPr>
          <w:rFonts w:eastAsia="Times New Roman"/>
          <w:b/>
          <w:bCs/>
          <w:sz w:val="36"/>
          <w:szCs w:val="36"/>
          <w:bdr w:val="none" w:sz="0" w:space="0" w:color="auto"/>
        </w:rPr>
        <w:t>Section 7 – Governance, Risk &amp; Institutional Control</w:t>
      </w:r>
    </w:p>
    <w:p w14:paraId="75489B4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i/>
          <w:iCs/>
          <w:bdr w:val="none" w:sz="0" w:space="0" w:color="auto"/>
        </w:rPr>
        <w:lastRenderedPageBreak/>
        <w:t>(Narrative here, with deeper treatment in Appendices G, J, and O.)</w:t>
      </w:r>
    </w:p>
    <w:p w14:paraId="7D78CAE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Sentiarch and WayPoint are explicitly designed to live in regulated environments. That means </w:t>
      </w:r>
      <w:r w:rsidRPr="000B3856">
        <w:rPr>
          <w:rFonts w:eastAsia="Times New Roman"/>
          <w:b/>
          <w:bCs/>
          <w:bdr w:val="none" w:sz="0" w:space="0" w:color="auto"/>
        </w:rPr>
        <w:t>governance and control are not afterthoughts</w:t>
      </w:r>
      <w:r w:rsidRPr="000B3856">
        <w:rPr>
          <w:rFonts w:eastAsia="Times New Roman"/>
          <w:bdr w:val="none" w:sz="0" w:space="0" w:color="auto"/>
        </w:rPr>
        <w:t>; they are wired into the architecture.</w:t>
      </w:r>
    </w:p>
    <w:p w14:paraId="1E0BF17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A few pillars define the stance:</w:t>
      </w:r>
    </w:p>
    <w:p w14:paraId="4B3BCA22" w14:textId="77777777" w:rsidR="000B3856" w:rsidRPr="000B3856" w:rsidRDefault="000B3856" w:rsidP="000B3856">
      <w:pPr>
        <w:numPr>
          <w:ilvl w:val="0"/>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Human in the loop, by design</w:t>
      </w:r>
    </w:p>
    <w:p w14:paraId="4FC65B02"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No critical decision (credit, pricing, adverse action, trust distributions, major portfolio moves) is made solely by the system.</w:t>
      </w:r>
    </w:p>
    <w:p w14:paraId="079E41B5"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AI’s role is </w:t>
      </w:r>
      <w:r w:rsidRPr="000B3856">
        <w:rPr>
          <w:rFonts w:eastAsia="Times New Roman"/>
          <w:i/>
          <w:iCs/>
          <w:bdr w:val="none" w:sz="0" w:space="0" w:color="auto"/>
        </w:rPr>
        <w:t>interpretive and advisory</w:t>
      </w:r>
      <w:r w:rsidRPr="000B3856">
        <w:rPr>
          <w:rFonts w:eastAsia="Times New Roman"/>
          <w:bdr w:val="none" w:sz="0" w:space="0" w:color="auto"/>
        </w:rPr>
        <w:t>: surfacing signals, scenarios, and narratives that humans can evaluate.</w:t>
      </w:r>
    </w:p>
    <w:p w14:paraId="5D4B7865" w14:textId="77777777" w:rsidR="000B3856" w:rsidRPr="000B3856" w:rsidRDefault="000B3856" w:rsidP="000B3856">
      <w:pPr>
        <w:numPr>
          <w:ilvl w:val="0"/>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Explainable signals, not black-box scores</w:t>
      </w:r>
    </w:p>
    <w:p w14:paraId="3356AB03"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Every signal exposed to an institution or regulator has a human-readable definition and lineage.</w:t>
      </w:r>
    </w:p>
    <w:p w14:paraId="1EEB5048"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“Why did this customer move from ‘stable’ to ‘watch’?” becomes answerable in plain language.</w:t>
      </w:r>
    </w:p>
    <w:p w14:paraId="4473AADB" w14:textId="77777777" w:rsidR="000B3856" w:rsidRPr="000B3856" w:rsidRDefault="000B3856" w:rsidP="000B3856">
      <w:pPr>
        <w:numPr>
          <w:ilvl w:val="0"/>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Council governance model</w:t>
      </w:r>
    </w:p>
    <w:p w14:paraId="246E5F17"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Internally, Sentiarch is governed by a council structure (Rails &amp; Treasury, Intelligence &amp; Products, Risk &amp; Governance, Experience &amp; Stewardship, Growth &amp; Partnerships).</w:t>
      </w:r>
    </w:p>
    <w:p w14:paraId="3942AC6E"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Each council has clear authority and veto rights over changes in its domain, including model deployment, product configurations, and partner engagements.</w:t>
      </w:r>
    </w:p>
    <w:p w14:paraId="4DDDBED8" w14:textId="77777777" w:rsidR="000B3856" w:rsidRPr="000B3856" w:rsidRDefault="000B3856" w:rsidP="000B3856">
      <w:pPr>
        <w:numPr>
          <w:ilvl w:val="0"/>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Institutional control surfaces</w:t>
      </w:r>
    </w:p>
    <w:p w14:paraId="4EEF37DD"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Institutions get explicit levers: thresholds, portfolios in-scope, segments out-of-scope, escalation rules.</w:t>
      </w:r>
    </w:p>
    <w:p w14:paraId="4A3EF97E"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Logs, dashboards, and review packs are designed to meet board, internal audit, and supervisory expectations.</w:t>
      </w:r>
    </w:p>
    <w:p w14:paraId="6CF6394D" w14:textId="77777777" w:rsidR="000B3856" w:rsidRPr="000B3856" w:rsidRDefault="000B3856" w:rsidP="000B3856">
      <w:pPr>
        <w:numPr>
          <w:ilvl w:val="0"/>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Segregation of roles in the capital stack</w:t>
      </w:r>
    </w:p>
    <w:p w14:paraId="3D0139B5"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Trust / reassurance vehicles (ECS, NGE) are structurally separated from operating entities and from partner institutions’ balance sheets.</w:t>
      </w:r>
    </w:p>
    <w:p w14:paraId="730F9C9B" w14:textId="77777777" w:rsidR="000B3856" w:rsidRPr="000B3856" w:rsidRDefault="000B3856" w:rsidP="000B3856">
      <w:pPr>
        <w:numPr>
          <w:ilvl w:val="1"/>
          <w:numId w:val="13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This preserves clarity of who holds what capital, who absorbs what risk, and how flows can be unwound if needed.</w:t>
      </w:r>
    </w:p>
    <w:p w14:paraId="38F7EDE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For a risk or compliance leader, the goal is not to convince them that “AI will fix everything.” It is to show them that:</w:t>
      </w:r>
    </w:p>
    <w:p w14:paraId="1A6F949C" w14:textId="77777777" w:rsidR="000B3856" w:rsidRPr="000B3856" w:rsidRDefault="000B3856" w:rsidP="000B3856">
      <w:pPr>
        <w:numPr>
          <w:ilvl w:val="0"/>
          <w:numId w:val="1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Sentiarch has a </w:t>
      </w:r>
      <w:r w:rsidRPr="000B3856">
        <w:rPr>
          <w:rFonts w:eastAsia="Times New Roman"/>
          <w:b/>
          <w:bCs/>
          <w:bdr w:val="none" w:sz="0" w:space="0" w:color="auto"/>
        </w:rPr>
        <w:t>clear theory of responsibility</w:t>
      </w:r>
      <w:r w:rsidRPr="000B3856">
        <w:rPr>
          <w:rFonts w:eastAsia="Times New Roman"/>
          <w:bdr w:val="none" w:sz="0" w:space="0" w:color="auto"/>
        </w:rPr>
        <w:t>: what the system does, what it will never do.</w:t>
      </w:r>
    </w:p>
    <w:p w14:paraId="45A4F3A5" w14:textId="77777777" w:rsidR="000B3856" w:rsidRPr="000B3856" w:rsidRDefault="000B3856" w:rsidP="000B3856">
      <w:pPr>
        <w:numPr>
          <w:ilvl w:val="0"/>
          <w:numId w:val="1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There is a </w:t>
      </w:r>
      <w:r w:rsidRPr="000B3856">
        <w:rPr>
          <w:rFonts w:eastAsia="Times New Roman"/>
          <w:b/>
          <w:bCs/>
          <w:bdr w:val="none" w:sz="0" w:space="0" w:color="auto"/>
        </w:rPr>
        <w:t>direct mapping</w:t>
      </w:r>
      <w:r w:rsidRPr="000B3856">
        <w:rPr>
          <w:rFonts w:eastAsia="Times New Roman"/>
          <w:bdr w:val="none" w:sz="0" w:space="0" w:color="auto"/>
        </w:rPr>
        <w:t xml:space="preserve"> between their existing control frameworks and Sentiarch’s governance model.</w:t>
      </w:r>
    </w:p>
    <w:p w14:paraId="6423EC03" w14:textId="77777777" w:rsidR="000B3856" w:rsidRPr="000B3856" w:rsidRDefault="000B3856" w:rsidP="000B3856">
      <w:pPr>
        <w:numPr>
          <w:ilvl w:val="0"/>
          <w:numId w:val="13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lastRenderedPageBreak/>
        <w:t xml:space="preserve">They can </w:t>
      </w:r>
      <w:r w:rsidRPr="000B3856">
        <w:rPr>
          <w:rFonts w:eastAsia="Times New Roman"/>
          <w:b/>
          <w:bCs/>
          <w:bdr w:val="none" w:sz="0" w:space="0" w:color="auto"/>
        </w:rPr>
        <w:t>turn it up or down</w:t>
      </w:r>
      <w:r w:rsidRPr="000B3856">
        <w:rPr>
          <w:rFonts w:eastAsia="Times New Roman"/>
          <w:bdr w:val="none" w:sz="0" w:space="0" w:color="auto"/>
        </w:rPr>
        <w:t xml:space="preserve"> in defined domains without ever losing visibility or control.</w:t>
      </w:r>
    </w:p>
    <w:p w14:paraId="51221E9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660BE87F">
          <v:rect id="_x0000_i1033" style="width:0;height:1.5pt" o:hralign="center" o:hrstd="t" o:hr="t" fillcolor="#a0a0a0" stroked="f"/>
        </w:pict>
      </w:r>
    </w:p>
    <w:p w14:paraId="24FC1EC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rPr>
          <w:rFonts w:eastAsia="Times New Roman"/>
          <w:b/>
          <w:bCs/>
          <w:kern w:val="36"/>
          <w:sz w:val="48"/>
          <w:szCs w:val="48"/>
          <w:bdr w:val="none" w:sz="0" w:space="0" w:color="auto"/>
        </w:rPr>
      </w:pPr>
      <w:r w:rsidRPr="000B3856">
        <w:rPr>
          <w:rFonts w:eastAsia="Times New Roman"/>
          <w:b/>
          <w:bCs/>
          <w:kern w:val="36"/>
          <w:sz w:val="48"/>
          <w:szCs w:val="48"/>
          <w:bdr w:val="none" w:sz="0" w:space="0" w:color="auto"/>
        </w:rPr>
        <w:t>Appendix Set (A–O) – At a Glance + Narrative Stubs</w:t>
      </w:r>
    </w:p>
    <w:p w14:paraId="7734D02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 xml:space="preserve">Below is the </w:t>
      </w:r>
      <w:r w:rsidRPr="000B3856">
        <w:rPr>
          <w:rFonts w:eastAsia="Times New Roman"/>
          <w:b/>
          <w:bCs/>
          <w:bdr w:val="none" w:sz="0" w:space="0" w:color="auto"/>
        </w:rPr>
        <w:t>canon list</w:t>
      </w:r>
      <w:r w:rsidRPr="000B3856">
        <w:rPr>
          <w:rFonts w:eastAsia="Times New Roman"/>
          <w:bdr w:val="none" w:sz="0" w:space="0" w:color="auto"/>
        </w:rPr>
        <w:t xml:space="preserve"> you shared, with each appendix given a short “At a Glance” and a narrative stub. These are the seeds of spec-ready docs; we can deepen any one of them as a next step.</w:t>
      </w:r>
    </w:p>
    <w:p w14:paraId="4021E2D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71E3355D">
          <v:rect id="_x0000_i1034" style="width:0;height:1.5pt" o:hralign="center" o:hrstd="t" o:hr="t" fillcolor="#a0a0a0" stroked="f"/>
        </w:pict>
      </w:r>
    </w:p>
    <w:p w14:paraId="6F087CB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A – Eden Crown FO-OS: At a Glance</w:t>
      </w:r>
    </w:p>
    <w:p w14:paraId="33A5692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6BC09E04" w14:textId="77777777" w:rsidR="000B3856" w:rsidRPr="000B3856" w:rsidRDefault="000B3856" w:rsidP="000B3856">
      <w:pPr>
        <w:numPr>
          <w:ilvl w:val="0"/>
          <w:numId w:val="13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Family offices, UHNW families, advisors</w:t>
      </w:r>
    </w:p>
    <w:p w14:paraId="577AE1E8" w14:textId="77777777" w:rsidR="000B3856" w:rsidRPr="000B3856" w:rsidRDefault="000B3856" w:rsidP="000B3856">
      <w:pPr>
        <w:numPr>
          <w:ilvl w:val="0"/>
          <w:numId w:val="13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how Eden Crown unifies trusts, entities, and mandates into one coherent system.</w:t>
      </w:r>
    </w:p>
    <w:p w14:paraId="20397533" w14:textId="77777777" w:rsidR="000B3856" w:rsidRPr="000B3856" w:rsidRDefault="000B3856" w:rsidP="000B3856">
      <w:pPr>
        <w:numPr>
          <w:ilvl w:val="0"/>
          <w:numId w:val="13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Sections 1, 2, 7.</w:t>
      </w:r>
    </w:p>
    <w:p w14:paraId="5751D8E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Appendix A expands Section 1 into a visual and structural reference:</w:t>
      </w:r>
    </w:p>
    <w:p w14:paraId="79FBED29" w14:textId="77777777" w:rsidR="000B3856" w:rsidRPr="000B3856" w:rsidRDefault="000B3856" w:rsidP="000B3856">
      <w:pPr>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System Map:</w:t>
      </w:r>
      <w:r w:rsidRPr="000B3856">
        <w:rPr>
          <w:rFonts w:eastAsia="Times New Roman"/>
          <w:bdr w:val="none" w:sz="0" w:space="0" w:color="auto"/>
        </w:rPr>
        <w:t xml:space="preserve"> diagrams of entities, trusts, and flows, with legend for roles (corpus, conduit, operating, philanthropic).</w:t>
      </w:r>
    </w:p>
    <w:p w14:paraId="50C641C5" w14:textId="77777777" w:rsidR="000B3856" w:rsidRPr="000B3856" w:rsidRDefault="000B3856" w:rsidP="000B3856">
      <w:pPr>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Trust Index Specification:</w:t>
      </w:r>
      <w:r w:rsidRPr="000B3856">
        <w:rPr>
          <w:rFonts w:eastAsia="Times New Roman"/>
          <w:bdr w:val="none" w:sz="0" w:space="0" w:color="auto"/>
        </w:rPr>
        <w:t xml:space="preserve"> fields, metrics, and calculation methods for the Index, with example dashboards and narrative outputs.</w:t>
      </w:r>
    </w:p>
    <w:p w14:paraId="60D5F06A" w14:textId="77777777" w:rsidR="000B3856" w:rsidRPr="000B3856" w:rsidRDefault="000B3856" w:rsidP="000B3856">
      <w:pPr>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Reporting Templates:</w:t>
      </w:r>
      <w:r w:rsidRPr="000B3856">
        <w:rPr>
          <w:rFonts w:eastAsia="Times New Roman"/>
          <w:bdr w:val="none" w:sz="0" w:space="0" w:color="auto"/>
        </w:rPr>
        <w:t xml:space="preserve"> example quarterly “signal reports” for the family council, including heatmaps, narrative highlights, and action prompts.</w:t>
      </w:r>
    </w:p>
    <w:p w14:paraId="0A750826" w14:textId="77777777" w:rsidR="000B3856" w:rsidRPr="000B3856" w:rsidRDefault="000B3856" w:rsidP="000B3856">
      <w:pPr>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Scaling Patterns:</w:t>
      </w:r>
      <w:r w:rsidRPr="000B3856">
        <w:rPr>
          <w:rFonts w:eastAsia="Times New Roman"/>
          <w:bdr w:val="none" w:sz="0" w:space="0" w:color="auto"/>
        </w:rPr>
        <w:t xml:space="preserve"> examples showing how the same FO-OS logic applies to a first-generation founder with one company, a home, and a starter trust.</w:t>
      </w:r>
    </w:p>
    <w:p w14:paraId="46C6540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348319D6">
          <v:rect id="_x0000_i1035" style="width:0;height:1.5pt" o:hralign="center" o:hrstd="t" o:hr="t" fillcolor="#a0a0a0" stroked="f"/>
        </w:pict>
      </w:r>
    </w:p>
    <w:p w14:paraId="4192493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B – Graduation Project &amp; Stewardship Curriculum</w:t>
      </w:r>
    </w:p>
    <w:p w14:paraId="240E9C9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5F993041" w14:textId="77777777" w:rsidR="000B3856" w:rsidRPr="000B3856" w:rsidRDefault="000B3856" w:rsidP="000B3856">
      <w:pPr>
        <w:numPr>
          <w:ilvl w:val="0"/>
          <w:numId w:val="1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Audience:</w:t>
      </w:r>
      <w:r w:rsidRPr="000B3856">
        <w:rPr>
          <w:rFonts w:eastAsia="Times New Roman"/>
          <w:bdr w:val="none" w:sz="0" w:space="0" w:color="auto"/>
        </w:rPr>
        <w:t xml:space="preserve"> FO education leads, next-gen stewards, curriculum partners</w:t>
      </w:r>
    </w:p>
    <w:p w14:paraId="12DD15B1" w14:textId="77777777" w:rsidR="000B3856" w:rsidRPr="000B3856" w:rsidRDefault="000B3856" w:rsidP="000B3856">
      <w:pPr>
        <w:numPr>
          <w:ilvl w:val="0"/>
          <w:numId w:val="1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Make the stewardship curriculum deployable: modules, flows, evaluation.</w:t>
      </w:r>
    </w:p>
    <w:p w14:paraId="4695E63E" w14:textId="77777777" w:rsidR="000B3856" w:rsidRPr="000B3856" w:rsidRDefault="000B3856" w:rsidP="000B3856">
      <w:pPr>
        <w:numPr>
          <w:ilvl w:val="0"/>
          <w:numId w:val="13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2; Positioning Systems (EPS/WPS/FOPS).</w:t>
      </w:r>
    </w:p>
    <w:p w14:paraId="7FAEA22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This appendix details:</w:t>
      </w:r>
    </w:p>
    <w:p w14:paraId="69908764" w14:textId="77777777" w:rsidR="000B3856" w:rsidRPr="000B3856" w:rsidRDefault="000B3856" w:rsidP="000B3856">
      <w:pPr>
        <w:numPr>
          <w:ilvl w:val="0"/>
          <w:numId w:val="1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Crowns Eye Curriculum Map:</w:t>
      </w:r>
      <w:r w:rsidRPr="000B3856">
        <w:rPr>
          <w:rFonts w:eastAsia="Times New Roman"/>
          <w:bdr w:val="none" w:sz="0" w:space="0" w:color="auto"/>
        </w:rPr>
        <w:t xml:space="preserve"> modules, learning outcomes, suggested timelines (e.g., 12–18 months).</w:t>
      </w:r>
    </w:p>
    <w:p w14:paraId="68A6E8A8" w14:textId="77777777" w:rsidR="000B3856" w:rsidRPr="000B3856" w:rsidRDefault="000B3856" w:rsidP="000B3856">
      <w:pPr>
        <w:numPr>
          <w:ilvl w:val="0"/>
          <w:numId w:val="1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EnvoyOS Orchestration Flows:</w:t>
      </w:r>
      <w:r w:rsidRPr="000B3856">
        <w:rPr>
          <w:rFonts w:eastAsia="Times New Roman"/>
          <w:bdr w:val="none" w:sz="0" w:space="0" w:color="auto"/>
        </w:rPr>
        <w:t xml:space="preserve"> how campaigns are defined, scheduled, and monitored for each heir.</w:t>
      </w:r>
    </w:p>
    <w:p w14:paraId="6638735C" w14:textId="77777777" w:rsidR="000B3856" w:rsidRPr="000B3856" w:rsidRDefault="000B3856" w:rsidP="000B3856">
      <w:pPr>
        <w:numPr>
          <w:ilvl w:val="0"/>
          <w:numId w:val="1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AI Guide Configuration:</w:t>
      </w:r>
      <w:r w:rsidRPr="000B3856">
        <w:rPr>
          <w:rFonts w:eastAsia="Times New Roman"/>
          <w:bdr w:val="none" w:sz="0" w:space="0" w:color="auto"/>
        </w:rPr>
        <w:t xml:space="preserve"> what content, guardrails, and personalization parameters are used to create a “family council in your ear.”</w:t>
      </w:r>
    </w:p>
    <w:p w14:paraId="1EAE73B4" w14:textId="77777777" w:rsidR="000B3856" w:rsidRPr="000B3856" w:rsidRDefault="000B3856" w:rsidP="000B3856">
      <w:pPr>
        <w:numPr>
          <w:ilvl w:val="0"/>
          <w:numId w:val="1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Capstone Rubric:</w:t>
      </w:r>
      <w:r w:rsidRPr="000B3856">
        <w:rPr>
          <w:rFonts w:eastAsia="Times New Roman"/>
          <w:bdr w:val="none" w:sz="0" w:space="0" w:color="auto"/>
        </w:rPr>
        <w:t xml:space="preserve"> scaffolding for charters, systems maps, and initiatives; example reflection questions and council debrief guides.</w:t>
      </w:r>
    </w:p>
    <w:p w14:paraId="25998DB8" w14:textId="77777777" w:rsidR="000B3856" w:rsidRPr="000B3856" w:rsidRDefault="000B3856" w:rsidP="000B3856">
      <w:pPr>
        <w:numPr>
          <w:ilvl w:val="0"/>
          <w:numId w:val="13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Adaptations:</w:t>
      </w:r>
      <w:r w:rsidRPr="000B3856">
        <w:rPr>
          <w:rFonts w:eastAsia="Times New Roman"/>
          <w:bdr w:val="none" w:sz="0" w:space="0" w:color="auto"/>
        </w:rPr>
        <w:t xml:space="preserve"> how the same pattern feeds EPS/WPS/TPS curricula for non-UHNW learners.</w:t>
      </w:r>
    </w:p>
    <w:p w14:paraId="0EDE90B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2482F3B2">
          <v:rect id="_x0000_i1036" style="width:0;height:1.5pt" o:hralign="center" o:hrstd="t" o:hr="t" fillcolor="#a0a0a0" stroked="f"/>
        </w:pict>
      </w:r>
    </w:p>
    <w:p w14:paraId="0B62207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C – Sentiarch OS &amp; Substrate: 7-Layer Technical Spine</w:t>
      </w:r>
    </w:p>
    <w:p w14:paraId="4E8404E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39BC773F" w14:textId="77777777" w:rsidR="000B3856" w:rsidRPr="000B3856" w:rsidRDefault="000B3856" w:rsidP="000B3856">
      <w:pPr>
        <w:numPr>
          <w:ilvl w:val="0"/>
          <w:numId w:val="1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CTOs, architects, technical due diligence, AI partners</w:t>
      </w:r>
    </w:p>
    <w:p w14:paraId="0E376C41" w14:textId="77777777" w:rsidR="000B3856" w:rsidRPr="000B3856" w:rsidRDefault="000B3856" w:rsidP="000B3856">
      <w:pPr>
        <w:numPr>
          <w:ilvl w:val="0"/>
          <w:numId w:val="1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that Sentiarch is a real OS spine, not just a model or an app.</w:t>
      </w:r>
    </w:p>
    <w:p w14:paraId="7F40AE36" w14:textId="77777777" w:rsidR="000B3856" w:rsidRPr="000B3856" w:rsidRDefault="000B3856" w:rsidP="000B3856">
      <w:pPr>
        <w:numPr>
          <w:ilvl w:val="0"/>
          <w:numId w:val="14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5 &amp; 7; AI Stack in Appendix J.</w:t>
      </w:r>
    </w:p>
    <w:p w14:paraId="6F683B1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Appendix C breaks the 7 layers into:</w:t>
      </w:r>
    </w:p>
    <w:p w14:paraId="0CAFA35F" w14:textId="77777777" w:rsidR="000B3856" w:rsidRPr="000B3856" w:rsidRDefault="000B3856" w:rsidP="000B3856">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Data Schemas &amp; APIs:</w:t>
      </w:r>
      <w:r w:rsidRPr="000B3856">
        <w:rPr>
          <w:rFonts w:eastAsia="Times New Roman"/>
          <w:bdr w:val="none" w:sz="0" w:space="0" w:color="auto"/>
        </w:rPr>
        <w:t xml:space="preserve"> canonical models for accounts, entities, transactions, obligations, and events; ingestion/egress interfaces.</w:t>
      </w:r>
    </w:p>
    <w:p w14:paraId="491B2809" w14:textId="77777777" w:rsidR="000B3856" w:rsidRPr="000B3856" w:rsidRDefault="000B3856" w:rsidP="000B3856">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Entity Graph Specification:</w:t>
      </w:r>
      <w:r w:rsidRPr="000B3856">
        <w:rPr>
          <w:rFonts w:eastAsia="Times New Roman"/>
          <w:bdr w:val="none" w:sz="0" w:space="0" w:color="auto"/>
        </w:rPr>
        <w:t xml:space="preserve"> how entities and relationships are represented; privacy and multi-tenant separation.</w:t>
      </w:r>
    </w:p>
    <w:p w14:paraId="31DBC7C6" w14:textId="77777777" w:rsidR="000B3856" w:rsidRPr="000B3856" w:rsidRDefault="000B3856" w:rsidP="000B3856">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Signal Library:</w:t>
      </w:r>
      <w:r w:rsidRPr="000B3856">
        <w:rPr>
          <w:rFonts w:eastAsia="Times New Roman"/>
          <w:bdr w:val="none" w:sz="0" w:space="0" w:color="auto"/>
        </w:rPr>
        <w:t xml:space="preserve"> list of baseline signals (stability, liquidity, stewardship, risk, trust health, portfolio resilience) with formulas and data requirements.</w:t>
      </w:r>
    </w:p>
    <w:p w14:paraId="578BBCFD" w14:textId="77777777" w:rsidR="000B3856" w:rsidRPr="000B3856" w:rsidRDefault="000B3856" w:rsidP="000B3856">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Scenario Engine Spec:</w:t>
      </w:r>
      <w:r w:rsidRPr="000B3856">
        <w:rPr>
          <w:rFonts w:eastAsia="Times New Roman"/>
          <w:bdr w:val="none" w:sz="0" w:space="0" w:color="auto"/>
        </w:rPr>
        <w:t xml:space="preserve"> configuration of “routes,” time horizons, and stressors; how scenarios can be reviewed and approved.</w:t>
      </w:r>
    </w:p>
    <w:p w14:paraId="26DE0962" w14:textId="77777777" w:rsidR="000B3856" w:rsidRPr="000B3856" w:rsidRDefault="000B3856" w:rsidP="000B3856">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Positioning System Hooks:</w:t>
      </w:r>
      <w:r w:rsidRPr="000B3856">
        <w:rPr>
          <w:rFonts w:eastAsia="Times New Roman"/>
          <w:bdr w:val="none" w:sz="0" w:space="0" w:color="auto"/>
        </w:rPr>
        <w:t xml:space="preserve"> how FPS/EPS/APS/etc. attach to the substrate; versioning and extensibility.</w:t>
      </w:r>
    </w:p>
    <w:p w14:paraId="2F1AB56A" w14:textId="77777777" w:rsidR="000B3856" w:rsidRPr="000B3856" w:rsidRDefault="000B3856" w:rsidP="000B3856">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Governance Layer:</w:t>
      </w:r>
      <w:r w:rsidRPr="000B3856">
        <w:rPr>
          <w:rFonts w:eastAsia="Times New Roman"/>
          <w:bdr w:val="none" w:sz="0" w:space="0" w:color="auto"/>
        </w:rPr>
        <w:t xml:space="preserve"> logging, audit trail, policy enforcement, override flows.</w:t>
      </w:r>
    </w:p>
    <w:p w14:paraId="2EAE81E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lastRenderedPageBreak/>
        <w:pict w14:anchorId="4ECBBC0B">
          <v:rect id="_x0000_i1037" style="width:0;height:1.5pt" o:hralign="center" o:hrstd="t" o:hr="t" fillcolor="#a0a0a0" stroked="f"/>
        </w:pict>
      </w:r>
    </w:p>
    <w:p w14:paraId="77BAE91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D – WayPoint FPS &amp; Product Tiers (Core / Edge / Crown)</w:t>
      </w:r>
    </w:p>
    <w:p w14:paraId="588DE81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570D52DB" w14:textId="77777777" w:rsidR="000B3856" w:rsidRPr="000B3856" w:rsidRDefault="000B3856" w:rsidP="000B3856">
      <w:pPr>
        <w:numPr>
          <w:ilvl w:val="0"/>
          <w:numId w:val="1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Product, UX, BaaS partners, early pilot institutions</w:t>
      </w:r>
    </w:p>
    <w:p w14:paraId="3530849C" w14:textId="77777777" w:rsidR="000B3856" w:rsidRPr="000B3856" w:rsidRDefault="000B3856" w:rsidP="000B3856">
      <w:pPr>
        <w:numPr>
          <w:ilvl w:val="0"/>
          <w:numId w:val="1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Turn the three-tier vision into concrete product definitions &amp; journeys.</w:t>
      </w:r>
    </w:p>
    <w:p w14:paraId="215C217A" w14:textId="77777777" w:rsidR="000B3856" w:rsidRPr="000B3856" w:rsidRDefault="000B3856" w:rsidP="000B3856">
      <w:pPr>
        <w:numPr>
          <w:ilvl w:val="0"/>
          <w:numId w:val="14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3 &amp; 4.</w:t>
      </w:r>
    </w:p>
    <w:p w14:paraId="667CFFC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This appendix covers:</w:t>
      </w:r>
    </w:p>
    <w:p w14:paraId="646CCFC1" w14:textId="77777777" w:rsidR="000B3856" w:rsidRPr="000B3856" w:rsidRDefault="000B3856" w:rsidP="000B3856">
      <w:pPr>
        <w:numPr>
          <w:ilvl w:val="0"/>
          <w:numId w:val="1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Feature Matrix:</w:t>
      </w:r>
      <w:r w:rsidRPr="000B3856">
        <w:rPr>
          <w:rFonts w:eastAsia="Times New Roman"/>
          <w:bdr w:val="none" w:sz="0" w:space="0" w:color="auto"/>
        </w:rPr>
        <w:t xml:space="preserve"> by tier (Core, Edge, Crown) – accounts, cards, credit, analytics, advisory, permissions, dashboards.</w:t>
      </w:r>
    </w:p>
    <w:p w14:paraId="3D6AF8E1" w14:textId="77777777" w:rsidR="000B3856" w:rsidRPr="000B3856" w:rsidRDefault="000B3856" w:rsidP="000B3856">
      <w:pPr>
        <w:numPr>
          <w:ilvl w:val="0"/>
          <w:numId w:val="1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User Journeys:</w:t>
      </w:r>
      <w:r w:rsidRPr="000B3856">
        <w:rPr>
          <w:rFonts w:eastAsia="Times New Roman"/>
          <w:bdr w:val="none" w:sz="0" w:space="0" w:color="auto"/>
        </w:rPr>
        <w:t xml:space="preserve"> narrative + flow diagrams for individuals, households, small businesses, verticals, family offices.</w:t>
      </w:r>
    </w:p>
    <w:p w14:paraId="4BDA9A71" w14:textId="77777777" w:rsidR="000B3856" w:rsidRPr="000B3856" w:rsidRDefault="000B3856" w:rsidP="000B3856">
      <w:pPr>
        <w:numPr>
          <w:ilvl w:val="0"/>
          <w:numId w:val="1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Tier Transitions:</w:t>
      </w:r>
      <w:r w:rsidRPr="000B3856">
        <w:rPr>
          <w:rFonts w:eastAsia="Times New Roman"/>
          <w:bdr w:val="none" w:sz="0" w:space="0" w:color="auto"/>
        </w:rPr>
        <w:t xml:space="preserve"> rules and triggers for when a user or entity should be invited from Core → Edge or Core → Crown.</w:t>
      </w:r>
    </w:p>
    <w:p w14:paraId="1C63BE90" w14:textId="77777777" w:rsidR="000B3856" w:rsidRPr="000B3856" w:rsidRDefault="000B3856" w:rsidP="000B3856">
      <w:pPr>
        <w:numPr>
          <w:ilvl w:val="0"/>
          <w:numId w:val="1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Partner Configurations:</w:t>
      </w:r>
      <w:r w:rsidRPr="000B3856">
        <w:rPr>
          <w:rFonts w:eastAsia="Times New Roman"/>
          <w:bdr w:val="none" w:sz="0" w:space="0" w:color="auto"/>
        </w:rPr>
        <w:t xml:space="preserve"> how a partner institution can opt into each tier, including white-label options and co-branding.</w:t>
      </w:r>
    </w:p>
    <w:p w14:paraId="3992682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78F9DDAA">
          <v:rect id="_x0000_i1038" style="width:0;height:1.5pt" o:hralign="center" o:hrstd="t" o:hr="t" fillcolor="#a0a0a0" stroked="f"/>
        </w:pict>
      </w:r>
    </w:p>
    <w:p w14:paraId="40B2E28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lang w:val="fr-FR"/>
        </w:rPr>
      </w:pPr>
      <w:r w:rsidRPr="000B3856">
        <w:rPr>
          <w:rFonts w:eastAsia="Times New Roman"/>
          <w:b/>
          <w:bCs/>
          <w:sz w:val="27"/>
          <w:szCs w:val="27"/>
          <w:bdr w:val="none" w:sz="0" w:space="0" w:color="auto"/>
          <w:lang w:val="fr-FR"/>
        </w:rPr>
        <w:t>Appendix E – SentiarchEnvoy FPS Nodes &amp; Cross-Institution Intelligence</w:t>
      </w:r>
    </w:p>
    <w:p w14:paraId="29A95BF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613AD7EB" w14:textId="77777777" w:rsidR="000B3856" w:rsidRPr="000B3856" w:rsidRDefault="000B3856" w:rsidP="000B3856">
      <w:pPr>
        <w:numPr>
          <w:ilvl w:val="0"/>
          <w:numId w:val="1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Partner institutions, risk teams, strategy / ecosystem leads</w:t>
      </w:r>
    </w:p>
    <w:p w14:paraId="297A3880" w14:textId="77777777" w:rsidR="000B3856" w:rsidRPr="000B3856" w:rsidRDefault="000B3856" w:rsidP="000B3856">
      <w:pPr>
        <w:numPr>
          <w:ilvl w:val="0"/>
          <w:numId w:val="1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Explain how cross-institution signals are computed safely.</w:t>
      </w:r>
    </w:p>
    <w:p w14:paraId="50D65014" w14:textId="77777777" w:rsidR="000B3856" w:rsidRPr="000B3856" w:rsidRDefault="000B3856" w:rsidP="000B3856">
      <w:pPr>
        <w:numPr>
          <w:ilvl w:val="0"/>
          <w:numId w:val="1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Sections 3, 4, 6.</w:t>
      </w:r>
    </w:p>
    <w:p w14:paraId="48CAF75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Key elements:</w:t>
      </w:r>
    </w:p>
    <w:p w14:paraId="2D7FA9E9" w14:textId="77777777" w:rsidR="000B3856" w:rsidRPr="000B3856" w:rsidRDefault="000B3856" w:rsidP="000B3856">
      <w:pPr>
        <w:numPr>
          <w:ilvl w:val="0"/>
          <w:numId w:val="1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Node Definition:</w:t>
      </w:r>
      <w:r w:rsidRPr="000B3856">
        <w:rPr>
          <w:rFonts w:eastAsia="Times New Roman"/>
          <w:bdr w:val="none" w:sz="0" w:space="0" w:color="auto"/>
        </w:rPr>
        <w:t xml:space="preserve"> what a node is (a logical cluster of signals &amp; data over a domain: region, vertical, product, etc.).</w:t>
      </w:r>
    </w:p>
    <w:p w14:paraId="15A6194D" w14:textId="77777777" w:rsidR="000B3856" w:rsidRPr="000B3856" w:rsidRDefault="000B3856" w:rsidP="000B3856">
      <w:pPr>
        <w:numPr>
          <w:ilvl w:val="0"/>
          <w:numId w:val="1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Privacy Model:</w:t>
      </w:r>
      <w:r w:rsidRPr="000B3856">
        <w:rPr>
          <w:rFonts w:eastAsia="Times New Roman"/>
          <w:bdr w:val="none" w:sz="0" w:space="0" w:color="auto"/>
        </w:rPr>
        <w:t xml:space="preserve"> how signals are aggregated and anonymized so no institution sees another’s proprietary data.</w:t>
      </w:r>
    </w:p>
    <w:p w14:paraId="202567A8" w14:textId="77777777" w:rsidR="000B3856" w:rsidRPr="000B3856" w:rsidRDefault="000B3856" w:rsidP="000B3856">
      <w:pPr>
        <w:numPr>
          <w:ilvl w:val="0"/>
          <w:numId w:val="1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Benchmarking:</w:t>
      </w:r>
      <w:r w:rsidRPr="000B3856">
        <w:rPr>
          <w:rFonts w:eastAsia="Times New Roman"/>
          <w:bdr w:val="none" w:sz="0" w:space="0" w:color="auto"/>
        </w:rPr>
        <w:t xml:space="preserve"> how institutions can see “you’re here vs. peers” without leaking identities.</w:t>
      </w:r>
    </w:p>
    <w:p w14:paraId="560652D9" w14:textId="77777777" w:rsidR="000B3856" w:rsidRPr="000B3856" w:rsidRDefault="000B3856" w:rsidP="000B3856">
      <w:pPr>
        <w:numPr>
          <w:ilvl w:val="0"/>
          <w:numId w:val="1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Multi-Institution Sandboxes:</w:t>
      </w:r>
      <w:r w:rsidRPr="000B3856">
        <w:rPr>
          <w:rFonts w:eastAsia="Times New Roman"/>
          <w:bdr w:val="none" w:sz="0" w:space="0" w:color="auto"/>
        </w:rPr>
        <w:t xml:space="preserve"> how joint pilots (e.g., two banks co-serving a vertical) are structured and monitored.</w:t>
      </w:r>
    </w:p>
    <w:p w14:paraId="4BA53F3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24B9C3A3">
          <v:rect id="_x0000_i1039" style="width:0;height:1.5pt" o:hralign="center" o:hrstd="t" o:hr="t" fillcolor="#a0a0a0" stroked="f"/>
        </w:pict>
      </w:r>
    </w:p>
    <w:p w14:paraId="1D77593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F – Sandbox Lifecycle &amp; Pilot Playbook</w:t>
      </w:r>
    </w:p>
    <w:p w14:paraId="06A6F90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4EABB3FE" w14:textId="77777777" w:rsidR="000B3856" w:rsidRPr="000B3856" w:rsidRDefault="000B3856" w:rsidP="000B3856">
      <w:pPr>
        <w:numPr>
          <w:ilvl w:val="0"/>
          <w:numId w:val="1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BD, implementation, partner success, institutional sponsors</w:t>
      </w:r>
    </w:p>
    <w:p w14:paraId="2C24F130" w14:textId="77777777" w:rsidR="000B3856" w:rsidRPr="000B3856" w:rsidRDefault="000B3856" w:rsidP="000B3856">
      <w:pPr>
        <w:numPr>
          <w:ilvl w:val="0"/>
          <w:numId w:val="1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Provide a repeatable playbook for pilots.</w:t>
      </w:r>
    </w:p>
    <w:p w14:paraId="20459714" w14:textId="77777777" w:rsidR="000B3856" w:rsidRPr="000B3856" w:rsidRDefault="000B3856" w:rsidP="000B3856">
      <w:pPr>
        <w:numPr>
          <w:ilvl w:val="0"/>
          <w:numId w:val="1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4.3 and 6.</w:t>
      </w:r>
    </w:p>
    <w:p w14:paraId="28C1AF8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Included:</w:t>
      </w:r>
    </w:p>
    <w:p w14:paraId="2977E95F" w14:textId="77777777" w:rsidR="000B3856" w:rsidRPr="000B3856" w:rsidRDefault="000B3856" w:rsidP="000B3856">
      <w:pPr>
        <w:numPr>
          <w:ilvl w:val="0"/>
          <w:numId w:val="1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Stage-by-Stage Guide:</w:t>
      </w:r>
      <w:r w:rsidRPr="000B3856">
        <w:rPr>
          <w:rFonts w:eastAsia="Times New Roman"/>
          <w:bdr w:val="none" w:sz="0" w:space="0" w:color="auto"/>
        </w:rPr>
        <w:t xml:space="preserve"> Discovery → Read-Only → Guided Intervention → Embedded Practice.</w:t>
      </w:r>
    </w:p>
    <w:p w14:paraId="7840A9BD" w14:textId="77777777" w:rsidR="000B3856" w:rsidRPr="000B3856" w:rsidRDefault="000B3856" w:rsidP="000B3856">
      <w:pPr>
        <w:numPr>
          <w:ilvl w:val="0"/>
          <w:numId w:val="1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Success Metrics:</w:t>
      </w:r>
      <w:r w:rsidRPr="000B3856">
        <w:rPr>
          <w:rFonts w:eastAsia="Times New Roman"/>
          <w:bdr w:val="none" w:sz="0" w:space="0" w:color="auto"/>
        </w:rPr>
        <w:t xml:space="preserve"> portfolio lift, risk containment, customer engagement, internal adoption.</w:t>
      </w:r>
    </w:p>
    <w:p w14:paraId="63BCBBC2" w14:textId="77777777" w:rsidR="000B3856" w:rsidRPr="000B3856" w:rsidRDefault="000B3856" w:rsidP="000B3856">
      <w:pPr>
        <w:numPr>
          <w:ilvl w:val="0"/>
          <w:numId w:val="1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Risk &amp; Control Checklists:</w:t>
      </w:r>
      <w:r w:rsidRPr="000B3856">
        <w:rPr>
          <w:rFonts w:eastAsia="Times New Roman"/>
          <w:bdr w:val="none" w:sz="0" w:space="0" w:color="auto"/>
        </w:rPr>
        <w:t xml:space="preserve"> what must be in place before each stage begins.</w:t>
      </w:r>
    </w:p>
    <w:p w14:paraId="5A7BE44E" w14:textId="77777777" w:rsidR="000B3856" w:rsidRPr="000B3856" w:rsidRDefault="000B3856" w:rsidP="000B3856">
      <w:pPr>
        <w:numPr>
          <w:ilvl w:val="0"/>
          <w:numId w:val="1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Communication Templates:</w:t>
      </w:r>
      <w:r w:rsidRPr="000B3856">
        <w:rPr>
          <w:rFonts w:eastAsia="Times New Roman"/>
          <w:bdr w:val="none" w:sz="0" w:space="0" w:color="auto"/>
        </w:rPr>
        <w:t xml:space="preserve"> internal memos, board updates, regulatory briefing decks.</w:t>
      </w:r>
    </w:p>
    <w:p w14:paraId="5DF2749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059307E1">
          <v:rect id="_x0000_i1040" style="width:0;height:1.5pt" o:hralign="center" o:hrstd="t" o:hr="t" fillcolor="#a0a0a0" stroked="f"/>
        </w:pict>
      </w:r>
    </w:p>
    <w:p w14:paraId="396F2F5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G – Council Governance &amp; Risk Framework</w:t>
      </w:r>
    </w:p>
    <w:p w14:paraId="7978648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1AB4E71C" w14:textId="77777777" w:rsidR="000B3856" w:rsidRPr="000B3856" w:rsidRDefault="000B3856" w:rsidP="000B3856">
      <w:pPr>
        <w:numPr>
          <w:ilvl w:val="0"/>
          <w:numId w:val="1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Internal Sentiarch leadership, boards, regulators, partners</w:t>
      </w:r>
    </w:p>
    <w:p w14:paraId="2912D7D8" w14:textId="77777777" w:rsidR="000B3856" w:rsidRPr="000B3856" w:rsidRDefault="000B3856" w:rsidP="000B3856">
      <w:pPr>
        <w:numPr>
          <w:ilvl w:val="0"/>
          <w:numId w:val="1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how decisions about models, products, and partnerships are made and constrained.</w:t>
      </w:r>
    </w:p>
    <w:p w14:paraId="52EF358F" w14:textId="77777777" w:rsidR="000B3856" w:rsidRPr="000B3856" w:rsidRDefault="000B3856" w:rsidP="000B3856">
      <w:pPr>
        <w:numPr>
          <w:ilvl w:val="0"/>
          <w:numId w:val="1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7; Appendix J &amp; O.</w:t>
      </w:r>
    </w:p>
    <w:p w14:paraId="3DE6A2B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This appendix formalizes:</w:t>
      </w:r>
    </w:p>
    <w:p w14:paraId="53FD124F" w14:textId="77777777" w:rsidR="000B3856" w:rsidRPr="000B3856" w:rsidRDefault="000B3856" w:rsidP="000B3856">
      <w:pPr>
        <w:numPr>
          <w:ilvl w:val="0"/>
          <w:numId w:val="1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Council Structure:</w:t>
      </w:r>
      <w:r w:rsidRPr="000B3856">
        <w:rPr>
          <w:rFonts w:eastAsia="Times New Roman"/>
          <w:bdr w:val="none" w:sz="0" w:space="0" w:color="auto"/>
        </w:rPr>
        <w:t xml:space="preserve"> Rails &amp; Treasury, Intelligence &amp; Products, Risk &amp; Governance, Experience &amp; Stewardship, Growth &amp; Partnerships.</w:t>
      </w:r>
    </w:p>
    <w:p w14:paraId="2EB433A5" w14:textId="77777777" w:rsidR="000B3856" w:rsidRPr="000B3856" w:rsidRDefault="000B3856" w:rsidP="000B3856">
      <w:pPr>
        <w:numPr>
          <w:ilvl w:val="0"/>
          <w:numId w:val="1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R&amp;R Matrix:</w:t>
      </w:r>
      <w:r w:rsidRPr="000B3856">
        <w:rPr>
          <w:rFonts w:eastAsia="Times New Roman"/>
          <w:bdr w:val="none" w:sz="0" w:space="0" w:color="auto"/>
        </w:rPr>
        <w:t xml:space="preserve"> who approves what (model changes, sandbox scopes, new products, partner onboarding).</w:t>
      </w:r>
    </w:p>
    <w:p w14:paraId="522E1DB4" w14:textId="77777777" w:rsidR="000B3856" w:rsidRPr="000B3856" w:rsidRDefault="000B3856" w:rsidP="000B3856">
      <w:pPr>
        <w:numPr>
          <w:ilvl w:val="0"/>
          <w:numId w:val="1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Escalation Paths:</w:t>
      </w:r>
      <w:r w:rsidRPr="000B3856">
        <w:rPr>
          <w:rFonts w:eastAsia="Times New Roman"/>
          <w:bdr w:val="none" w:sz="0" w:space="0" w:color="auto"/>
        </w:rPr>
        <w:t xml:space="preserve"> how conflicts are resolved, and how “stop” powers are exercised.</w:t>
      </w:r>
    </w:p>
    <w:p w14:paraId="4E365749" w14:textId="77777777" w:rsidR="000B3856" w:rsidRPr="000B3856" w:rsidRDefault="000B3856" w:rsidP="000B3856">
      <w:pPr>
        <w:numPr>
          <w:ilvl w:val="0"/>
          <w:numId w:val="1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Model Governance:</w:t>
      </w:r>
      <w:r w:rsidRPr="000B3856">
        <w:rPr>
          <w:rFonts w:eastAsia="Times New Roman"/>
          <w:bdr w:val="none" w:sz="0" w:space="0" w:color="auto"/>
        </w:rPr>
        <w:t xml:space="preserve"> lifecycle from proposal → sandbox → monitored deployment → periodic review.</w:t>
      </w:r>
    </w:p>
    <w:p w14:paraId="15BF5DA5" w14:textId="77777777" w:rsidR="000B3856" w:rsidRPr="000B3856" w:rsidRDefault="000B3856" w:rsidP="000B3856">
      <w:pPr>
        <w:numPr>
          <w:ilvl w:val="0"/>
          <w:numId w:val="1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External Advisory:</w:t>
      </w:r>
      <w:r w:rsidRPr="000B3856">
        <w:rPr>
          <w:rFonts w:eastAsia="Times New Roman"/>
          <w:bdr w:val="none" w:sz="0" w:space="0" w:color="auto"/>
        </w:rPr>
        <w:t xml:space="preserve"> how FO/institutional advisors can sit alongside internal councils for oversight.</w:t>
      </w:r>
    </w:p>
    <w:p w14:paraId="69783969"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74A1F709">
          <v:rect id="_x0000_i1041" style="width:0;height:1.5pt" o:hralign="center" o:hrstd="t" o:hr="t" fillcolor="#a0a0a0" stroked="f"/>
        </w:pict>
      </w:r>
    </w:p>
    <w:p w14:paraId="443F735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H – Trust, Capital &amp; Reassurance Stack (ECS / NGE)</w:t>
      </w:r>
    </w:p>
    <w:p w14:paraId="5139D183"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32276BCD" w14:textId="77777777" w:rsidR="000B3856" w:rsidRPr="000B3856" w:rsidRDefault="000B3856" w:rsidP="000B3856">
      <w:pPr>
        <w:numPr>
          <w:ilvl w:val="0"/>
          <w:numId w:val="1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Structuring counsel, FO principals, capital partners</w:t>
      </w:r>
    </w:p>
    <w:p w14:paraId="2D5F6FD1" w14:textId="77777777" w:rsidR="000B3856" w:rsidRPr="000B3856" w:rsidRDefault="000B3856" w:rsidP="000B3856">
      <w:pPr>
        <w:numPr>
          <w:ilvl w:val="0"/>
          <w:numId w:val="1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how trust vehicles and operating entities interlock without blurring liability.</w:t>
      </w:r>
    </w:p>
    <w:p w14:paraId="41515E52" w14:textId="77777777" w:rsidR="000B3856" w:rsidRPr="000B3856" w:rsidRDefault="000B3856" w:rsidP="000B3856">
      <w:pPr>
        <w:numPr>
          <w:ilvl w:val="0"/>
          <w:numId w:val="1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Sections 1, 5, 7.</w:t>
      </w:r>
    </w:p>
    <w:p w14:paraId="699C4EDF"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Contents:</w:t>
      </w:r>
    </w:p>
    <w:p w14:paraId="2C8AAE1C" w14:textId="77777777" w:rsidR="000B3856" w:rsidRPr="000B3856" w:rsidRDefault="000B3856" w:rsidP="000B3856">
      <w:pPr>
        <w:numPr>
          <w:ilvl w:val="0"/>
          <w:numId w:val="1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ECS Trust Role:</w:t>
      </w:r>
      <w:r w:rsidRPr="000B3856">
        <w:rPr>
          <w:rFonts w:eastAsia="Times New Roman"/>
          <w:bdr w:val="none" w:sz="0" w:space="0" w:color="auto"/>
        </w:rPr>
        <w:t xml:space="preserve"> corpus protection, multi-generational horizon, corpus vs. operational liquidity separation.</w:t>
      </w:r>
    </w:p>
    <w:p w14:paraId="5F462DA1" w14:textId="77777777" w:rsidR="000B3856" w:rsidRPr="000B3856" w:rsidRDefault="000B3856" w:rsidP="000B3856">
      <w:pPr>
        <w:numPr>
          <w:ilvl w:val="0"/>
          <w:numId w:val="1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NGE / RailCo Role:</w:t>
      </w:r>
      <w:r w:rsidRPr="000B3856">
        <w:rPr>
          <w:rFonts w:eastAsia="Times New Roman"/>
          <w:bdr w:val="none" w:sz="0" w:space="0" w:color="auto"/>
        </w:rPr>
        <w:t xml:space="preserve"> visible operating rail layer (BaaS, MSAs, white labels, JVs) under a trust umbrella.</w:t>
      </w:r>
    </w:p>
    <w:p w14:paraId="225161F1" w14:textId="77777777" w:rsidR="000B3856" w:rsidRPr="000B3856" w:rsidRDefault="000B3856" w:rsidP="000B3856">
      <w:pPr>
        <w:numPr>
          <w:ilvl w:val="0"/>
          <w:numId w:val="1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Reassurance Mechanics:</w:t>
      </w:r>
      <w:r w:rsidRPr="000B3856">
        <w:rPr>
          <w:rFonts w:eastAsia="Times New Roman"/>
          <w:bdr w:val="none" w:sz="0" w:space="0" w:color="auto"/>
        </w:rPr>
        <w:t xml:space="preserve"> how capital is pooled or backstopped to stabilize pilots/verticals without promising outcomes.</w:t>
      </w:r>
    </w:p>
    <w:p w14:paraId="272715F9" w14:textId="77777777" w:rsidR="000B3856" w:rsidRPr="000B3856" w:rsidRDefault="000B3856" w:rsidP="000B3856">
      <w:pPr>
        <w:numPr>
          <w:ilvl w:val="0"/>
          <w:numId w:val="1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Securitization &amp; Reassignment:</w:t>
      </w:r>
      <w:r w:rsidRPr="000B3856">
        <w:rPr>
          <w:rFonts w:eastAsia="Times New Roman"/>
          <w:bdr w:val="none" w:sz="0" w:space="0" w:color="auto"/>
        </w:rPr>
        <w:t xml:space="preserve"> principles for participating in SPVs, reassigning slices of portfolios into trust wrappers under regulator-friendly conditions.</w:t>
      </w:r>
    </w:p>
    <w:p w14:paraId="2182A682" w14:textId="77777777" w:rsidR="000B3856" w:rsidRPr="000B3856" w:rsidRDefault="000B3856" w:rsidP="000B3856">
      <w:pPr>
        <w:numPr>
          <w:ilvl w:val="0"/>
          <w:numId w:val="1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Edge/Renaissance Trusts:</w:t>
      </w:r>
      <w:r w:rsidRPr="000B3856">
        <w:rPr>
          <w:rFonts w:eastAsia="Times New Roman"/>
          <w:bdr w:val="none" w:sz="0" w:space="0" w:color="auto"/>
        </w:rPr>
        <w:t xml:space="preserve"> how high-risk or novel verticals are isolated structurally while still being supported.</w:t>
      </w:r>
    </w:p>
    <w:p w14:paraId="2C3A93C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048F0C3C">
          <v:rect id="_x0000_i1042" style="width:0;height:1.5pt" o:hralign="center" o:hrstd="t" o:hr="t" fillcolor="#a0a0a0" stroked="f"/>
        </w:pict>
      </w:r>
    </w:p>
    <w:p w14:paraId="5E442F3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I – Positioning Systems Catalog</w:t>
      </w:r>
    </w:p>
    <w:p w14:paraId="78D4C086"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(FPS, EPS, APS, WPS, TPS, IPS, GovPS, FOPS)</w:t>
      </w:r>
    </w:p>
    <w:p w14:paraId="14EAC99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0E43A74E" w14:textId="77777777" w:rsidR="000B3856" w:rsidRPr="000B3856" w:rsidRDefault="000B3856" w:rsidP="000B3856">
      <w:pPr>
        <w:numPr>
          <w:ilvl w:val="0"/>
          <w:numId w:val="1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Product &amp; curriculum designers, FO educators, institutional partners</w:t>
      </w:r>
    </w:p>
    <w:p w14:paraId="547616D4" w14:textId="77777777" w:rsidR="000B3856" w:rsidRPr="000B3856" w:rsidRDefault="000B3856" w:rsidP="000B3856">
      <w:pPr>
        <w:numPr>
          <w:ilvl w:val="0"/>
          <w:numId w:val="1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Give a unified view of all positioning systems and where they plug in.</w:t>
      </w:r>
    </w:p>
    <w:p w14:paraId="5156A565" w14:textId="77777777" w:rsidR="000B3856" w:rsidRPr="000B3856" w:rsidRDefault="000B3856" w:rsidP="000B3856">
      <w:pPr>
        <w:numPr>
          <w:ilvl w:val="0"/>
          <w:numId w:val="1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Sections 2, 3, 5.</w:t>
      </w:r>
    </w:p>
    <w:p w14:paraId="0414007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Narrative Stub</w:t>
      </w:r>
      <w:r w:rsidRPr="000B3856">
        <w:rPr>
          <w:rFonts w:eastAsia="Times New Roman"/>
          <w:bdr w:val="none" w:sz="0" w:space="0" w:color="auto"/>
        </w:rPr>
        <w:br/>
        <w:t>This appendix outlines:</w:t>
      </w:r>
    </w:p>
    <w:p w14:paraId="0E638B5D" w14:textId="77777777" w:rsidR="000B3856" w:rsidRPr="000B3856" w:rsidRDefault="000B3856" w:rsidP="000B3856">
      <w:pPr>
        <w:numPr>
          <w:ilvl w:val="0"/>
          <w:numId w:val="1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Definitions:</w:t>
      </w:r>
      <w:r w:rsidRPr="000B3856">
        <w:rPr>
          <w:rFonts w:eastAsia="Times New Roman"/>
          <w:bdr w:val="none" w:sz="0" w:space="0" w:color="auto"/>
        </w:rPr>
        <w:t xml:space="preserve"> what each system is “positioning” (finance, education, artistry, wealth, tax, institutions, governments, family offices).</w:t>
      </w:r>
    </w:p>
    <w:p w14:paraId="1BE61AFF" w14:textId="77777777" w:rsidR="000B3856" w:rsidRPr="000B3856" w:rsidRDefault="000B3856" w:rsidP="000B3856">
      <w:pPr>
        <w:numPr>
          <w:ilvl w:val="0"/>
          <w:numId w:val="1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Primary Users:</w:t>
      </w:r>
      <w:r w:rsidRPr="000B3856">
        <w:rPr>
          <w:rFonts w:eastAsia="Times New Roman"/>
          <w:bdr w:val="none" w:sz="0" w:space="0" w:color="auto"/>
        </w:rPr>
        <w:t xml:space="preserve"> who each system is for (student, heir, founder, bank, regulator, FO CIO).</w:t>
      </w:r>
    </w:p>
    <w:p w14:paraId="65A6628E" w14:textId="77777777" w:rsidR="000B3856" w:rsidRPr="000B3856" w:rsidRDefault="000B3856" w:rsidP="000B3856">
      <w:pPr>
        <w:numPr>
          <w:ilvl w:val="0"/>
          <w:numId w:val="1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Core Metrics:</w:t>
      </w:r>
      <w:r w:rsidRPr="000B3856">
        <w:rPr>
          <w:rFonts w:eastAsia="Times New Roman"/>
          <w:bdr w:val="none" w:sz="0" w:space="0" w:color="auto"/>
        </w:rPr>
        <w:t xml:space="preserve"> each system’s canonical metrics (e.g., EPS → learning velocity; WPS → wealth health; IPS → institutional alignment).</w:t>
      </w:r>
    </w:p>
    <w:p w14:paraId="3B1FCB16" w14:textId="77777777" w:rsidR="000B3856" w:rsidRPr="000B3856" w:rsidRDefault="000B3856" w:rsidP="000B3856">
      <w:pPr>
        <w:numPr>
          <w:ilvl w:val="0"/>
          <w:numId w:val="1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Crosslinks:</w:t>
      </w:r>
      <w:r w:rsidRPr="000B3856">
        <w:rPr>
          <w:rFonts w:eastAsia="Times New Roman"/>
          <w:bdr w:val="none" w:sz="0" w:space="0" w:color="auto"/>
        </w:rPr>
        <w:t xml:space="preserve"> explicit references back to relevant sections in the main brief for context.</w:t>
      </w:r>
    </w:p>
    <w:p w14:paraId="4DBEDB3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7ED505ED">
          <v:rect id="_x0000_i1043" style="width:0;height:1.5pt" o:hralign="center" o:hrstd="t" o:hr="t" fillcolor="#a0a0a0" stroked="f"/>
        </w:pict>
      </w:r>
    </w:p>
    <w:p w14:paraId="2DEDA19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J – AI Stack &amp; Boardroom Orchestration</w:t>
      </w:r>
    </w:p>
    <w:p w14:paraId="105D871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6F1501CE" w14:textId="77777777" w:rsidR="000B3856" w:rsidRPr="000B3856" w:rsidRDefault="000B3856" w:rsidP="000B3856">
      <w:pPr>
        <w:numPr>
          <w:ilvl w:val="0"/>
          <w:numId w:val="1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AI leads, CTOs, risk, “AI boardroom” buyers</w:t>
      </w:r>
    </w:p>
    <w:p w14:paraId="13F3245D" w14:textId="77777777" w:rsidR="000B3856" w:rsidRPr="000B3856" w:rsidRDefault="000B3856" w:rsidP="000B3856">
      <w:pPr>
        <w:numPr>
          <w:ilvl w:val="0"/>
          <w:numId w:val="1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how different AI capabilities are orchestrated as a coherent executive stack.</w:t>
      </w:r>
    </w:p>
    <w:p w14:paraId="71C6C63E" w14:textId="77777777" w:rsidR="000B3856" w:rsidRPr="000B3856" w:rsidRDefault="000B3856" w:rsidP="000B3856">
      <w:pPr>
        <w:numPr>
          <w:ilvl w:val="0"/>
          <w:numId w:val="1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Sections 5 &amp; 7.</w:t>
      </w:r>
    </w:p>
    <w:p w14:paraId="71B03D2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Includes:</w:t>
      </w:r>
    </w:p>
    <w:p w14:paraId="1126A1C4" w14:textId="77777777" w:rsidR="000B3856" w:rsidRPr="000B3856" w:rsidRDefault="000B3856" w:rsidP="000B3856">
      <w:pPr>
        <w:numPr>
          <w:ilvl w:val="0"/>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Three-Tier AI Model:</w:t>
      </w:r>
    </w:p>
    <w:p w14:paraId="12189048" w14:textId="77777777" w:rsidR="000B3856" w:rsidRPr="000B3856" w:rsidRDefault="000B3856" w:rsidP="000B3856">
      <w:pPr>
        <w:numPr>
          <w:ilvl w:val="1"/>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Operational / transactional AI (tickets, docs, automation).</w:t>
      </w:r>
    </w:p>
    <w:p w14:paraId="5363D6D9" w14:textId="77777777" w:rsidR="000B3856" w:rsidRPr="000B3856" w:rsidRDefault="000B3856" w:rsidP="000B3856">
      <w:pPr>
        <w:numPr>
          <w:ilvl w:val="1"/>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Interpretive / advisory AI (Sentiarch core).</w:t>
      </w:r>
    </w:p>
    <w:p w14:paraId="3836219E" w14:textId="77777777" w:rsidR="000B3856" w:rsidRPr="000B3856" w:rsidRDefault="000B3856" w:rsidP="000B3856">
      <w:pPr>
        <w:numPr>
          <w:ilvl w:val="1"/>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dr w:val="none" w:sz="0" w:space="0" w:color="auto"/>
        </w:rPr>
        <w:t>Strategic / orchestration AI (Boardroom layer coordinating agents and tools).</w:t>
      </w:r>
    </w:p>
    <w:p w14:paraId="0FB47BA0" w14:textId="77777777" w:rsidR="000B3856" w:rsidRPr="000B3856" w:rsidRDefault="000B3856" w:rsidP="000B3856">
      <w:pPr>
        <w:numPr>
          <w:ilvl w:val="0"/>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Tooling Integrations:</w:t>
      </w:r>
      <w:r w:rsidRPr="000B3856">
        <w:rPr>
          <w:rFonts w:eastAsia="Times New Roman"/>
          <w:bdr w:val="none" w:sz="0" w:space="0" w:color="auto"/>
        </w:rPr>
        <w:t xml:space="preserve"> how external models (Claude, Perplexity, etc.) plug into the stack under supervision.</w:t>
      </w:r>
    </w:p>
    <w:p w14:paraId="19F758B5" w14:textId="77777777" w:rsidR="000B3856" w:rsidRPr="000B3856" w:rsidRDefault="000B3856" w:rsidP="000B3856">
      <w:pPr>
        <w:numPr>
          <w:ilvl w:val="0"/>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Manus / Galaxy / Agent Platforms:</w:t>
      </w:r>
      <w:r w:rsidRPr="000B3856">
        <w:rPr>
          <w:rFonts w:eastAsia="Times New Roman"/>
          <w:bdr w:val="none" w:sz="0" w:space="0" w:color="auto"/>
        </w:rPr>
        <w:t xml:space="preserve"> what roles specialized agent platforms play vs. core Sentiarch capabilities.</w:t>
      </w:r>
    </w:p>
    <w:p w14:paraId="4112D858" w14:textId="77777777" w:rsidR="000B3856" w:rsidRPr="000B3856" w:rsidRDefault="000B3856" w:rsidP="000B3856">
      <w:pPr>
        <w:numPr>
          <w:ilvl w:val="0"/>
          <w:numId w:val="1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Governance Link:</w:t>
      </w:r>
      <w:r w:rsidRPr="000B3856">
        <w:rPr>
          <w:rFonts w:eastAsia="Times New Roman"/>
          <w:bdr w:val="none" w:sz="0" w:space="0" w:color="auto"/>
        </w:rPr>
        <w:t xml:space="preserve"> explicit reference to Appendix O controls and Appendix G councils.</w:t>
      </w:r>
    </w:p>
    <w:p w14:paraId="0B02717A"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4D5154C6">
          <v:rect id="_x0000_i1044" style="width:0;height:1.5pt" o:hralign="center" o:hrstd="t" o:hr="t" fillcolor="#a0a0a0" stroked="f"/>
        </w:pict>
      </w:r>
    </w:p>
    <w:p w14:paraId="77C8101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lang w:val="fr-FR"/>
        </w:rPr>
      </w:pPr>
      <w:r w:rsidRPr="000B3856">
        <w:rPr>
          <w:rFonts w:eastAsia="Times New Roman"/>
          <w:b/>
          <w:bCs/>
          <w:sz w:val="27"/>
          <w:szCs w:val="27"/>
          <w:bdr w:val="none" w:sz="0" w:space="0" w:color="auto"/>
          <w:lang w:val="fr-FR"/>
        </w:rPr>
        <w:t>Appendix K – WayPoint Renaissance &amp; Edge Verticals</w:t>
      </w:r>
    </w:p>
    <w:p w14:paraId="511D1F3C"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65443083" w14:textId="77777777" w:rsidR="000B3856" w:rsidRPr="000B3856" w:rsidRDefault="000B3856" w:rsidP="000B3856">
      <w:pPr>
        <w:numPr>
          <w:ilvl w:val="0"/>
          <w:numId w:val="1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Audience:</w:t>
      </w:r>
      <w:r w:rsidRPr="000B3856">
        <w:rPr>
          <w:rFonts w:eastAsia="Times New Roman"/>
          <w:bdr w:val="none" w:sz="0" w:space="0" w:color="auto"/>
        </w:rPr>
        <w:t xml:space="preserve"> BD for niche verticals, regulators, community partners</w:t>
      </w:r>
    </w:p>
    <w:p w14:paraId="04060B21" w14:textId="77777777" w:rsidR="000B3856" w:rsidRPr="000B3856" w:rsidRDefault="000B3856" w:rsidP="000B3856">
      <w:pPr>
        <w:numPr>
          <w:ilvl w:val="0"/>
          <w:numId w:val="1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how Edge &amp; Renaissance products serve sectors that legacy banking underserves or misreads.</w:t>
      </w:r>
    </w:p>
    <w:p w14:paraId="76E595ED" w14:textId="77777777" w:rsidR="000B3856" w:rsidRPr="000B3856" w:rsidRDefault="000B3856" w:rsidP="000B3856">
      <w:pPr>
        <w:numPr>
          <w:ilvl w:val="0"/>
          <w:numId w:val="15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3 (Edge), Section 4.2.</w:t>
      </w:r>
    </w:p>
    <w:p w14:paraId="60B593F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Content:</w:t>
      </w:r>
    </w:p>
    <w:p w14:paraId="30FB4A85" w14:textId="77777777" w:rsidR="000B3856" w:rsidRPr="000B3856" w:rsidRDefault="000B3856" w:rsidP="000B3856">
      <w:pPr>
        <w:numPr>
          <w:ilvl w:val="0"/>
          <w:numId w:val="1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Vertical Catalog:</w:t>
      </w:r>
      <w:r w:rsidRPr="000B3856">
        <w:rPr>
          <w:rFonts w:eastAsia="Times New Roman"/>
          <w:bdr w:val="none" w:sz="0" w:space="0" w:color="auto"/>
        </w:rPr>
        <w:t xml:space="preserve"> cannabis, creator/platform, OnlyFans/creator, micro-fleet/transport, etc.</w:t>
      </w:r>
    </w:p>
    <w:p w14:paraId="3366A297" w14:textId="77777777" w:rsidR="000B3856" w:rsidRPr="000B3856" w:rsidRDefault="000B3856" w:rsidP="000B3856">
      <w:pPr>
        <w:numPr>
          <w:ilvl w:val="0"/>
          <w:numId w:val="1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Risk–Signal Maps:</w:t>
      </w:r>
      <w:r w:rsidRPr="000B3856">
        <w:rPr>
          <w:rFonts w:eastAsia="Times New Roman"/>
          <w:bdr w:val="none" w:sz="0" w:space="0" w:color="auto"/>
        </w:rPr>
        <w:t xml:space="preserve"> which behaviors matter, what “healthy” looks like for each vertical.</w:t>
      </w:r>
    </w:p>
    <w:p w14:paraId="03783F45" w14:textId="77777777" w:rsidR="000B3856" w:rsidRPr="000B3856" w:rsidRDefault="000B3856" w:rsidP="000B3856">
      <w:pPr>
        <w:numPr>
          <w:ilvl w:val="0"/>
          <w:numId w:val="1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Product Examples:</w:t>
      </w:r>
      <w:r w:rsidRPr="000B3856">
        <w:rPr>
          <w:rFonts w:eastAsia="Times New Roman"/>
          <w:bdr w:val="none" w:sz="0" w:space="0" w:color="auto"/>
        </w:rPr>
        <w:t xml:space="preserve"> how deposit accounts, credit, and advisory offerings differ by vertical while sharing a common core.</w:t>
      </w:r>
    </w:p>
    <w:p w14:paraId="371FE753" w14:textId="77777777" w:rsidR="000B3856" w:rsidRPr="000B3856" w:rsidRDefault="000B3856" w:rsidP="000B3856">
      <w:pPr>
        <w:numPr>
          <w:ilvl w:val="0"/>
          <w:numId w:val="15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Community Impact Lens:</w:t>
      </w:r>
      <w:r w:rsidRPr="000B3856">
        <w:rPr>
          <w:rFonts w:eastAsia="Times New Roman"/>
          <w:bdr w:val="none" w:sz="0" w:space="0" w:color="auto"/>
        </w:rPr>
        <w:t xml:space="preserve"> how Edge &amp; Renaissance tiers can be used for community revitalization without exploitation.</w:t>
      </w:r>
    </w:p>
    <w:p w14:paraId="5DFA29E7"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442E1D8D">
          <v:rect id="_x0000_i1045" style="width:0;height:1.5pt" o:hralign="center" o:hrstd="t" o:hr="t" fillcolor="#a0a0a0" stroked="f"/>
        </w:pict>
      </w:r>
    </w:p>
    <w:p w14:paraId="6126591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L – Manus Layer &amp; Wearable / Tokenized Access Concept</w:t>
      </w:r>
    </w:p>
    <w:p w14:paraId="1734767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52B2568D" w14:textId="77777777" w:rsidR="000B3856" w:rsidRPr="000B3856" w:rsidRDefault="000B3856" w:rsidP="000B3856">
      <w:pPr>
        <w:numPr>
          <w:ilvl w:val="0"/>
          <w:numId w:val="1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Hardware partners, OEMs, experience designers</w:t>
      </w:r>
    </w:p>
    <w:p w14:paraId="1EAF4175" w14:textId="77777777" w:rsidR="000B3856" w:rsidRPr="000B3856" w:rsidRDefault="000B3856" w:rsidP="000B3856">
      <w:pPr>
        <w:numPr>
          <w:ilvl w:val="0"/>
          <w:numId w:val="1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Describe the “always-with-you” OS layer (glasses, vehicles, devices) that makes the council real-time.</w:t>
      </w:r>
    </w:p>
    <w:p w14:paraId="446EDE00" w14:textId="77777777" w:rsidR="000B3856" w:rsidRPr="000B3856" w:rsidRDefault="000B3856" w:rsidP="000B3856">
      <w:pPr>
        <w:numPr>
          <w:ilvl w:val="0"/>
          <w:numId w:val="15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Future-state in Section 5, 7.</w:t>
      </w:r>
    </w:p>
    <w:p w14:paraId="6C477E30"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Highlights:</w:t>
      </w:r>
    </w:p>
    <w:p w14:paraId="0DC0EFA0" w14:textId="77777777" w:rsidR="000B3856" w:rsidRPr="000B3856" w:rsidRDefault="000B3856" w:rsidP="000B3856">
      <w:pPr>
        <w:numPr>
          <w:ilvl w:val="0"/>
          <w:numId w:val="1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Wearable OS Concept:</w:t>
      </w:r>
      <w:r w:rsidRPr="000B3856">
        <w:rPr>
          <w:rFonts w:eastAsia="Times New Roman"/>
          <w:bdr w:val="none" w:sz="0" w:space="0" w:color="auto"/>
        </w:rPr>
        <w:t xml:space="preserve"> smart glasses / contacts / vehicle HUD as persistent Sentiarch envoys: see what you see, hear what you hear, within privacy settings.</w:t>
      </w:r>
    </w:p>
    <w:p w14:paraId="3DB58E17" w14:textId="77777777" w:rsidR="000B3856" w:rsidRPr="000B3856" w:rsidRDefault="000B3856" w:rsidP="000B3856">
      <w:pPr>
        <w:numPr>
          <w:ilvl w:val="0"/>
          <w:numId w:val="1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Biometrics &amp; NFC:</w:t>
      </w:r>
      <w:r w:rsidRPr="000B3856">
        <w:rPr>
          <w:rFonts w:eastAsia="Times New Roman"/>
          <w:bdr w:val="none" w:sz="0" w:space="0" w:color="auto"/>
        </w:rPr>
        <w:t xml:space="preserve"> fingerprint, heartbeat, NFC tokenization for secure access and payments.</w:t>
      </w:r>
    </w:p>
    <w:p w14:paraId="7918CE56" w14:textId="77777777" w:rsidR="000B3856" w:rsidRPr="000B3856" w:rsidRDefault="000B3856" w:rsidP="000B3856">
      <w:pPr>
        <w:numPr>
          <w:ilvl w:val="0"/>
          <w:numId w:val="1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Manus-Style Interaction:</w:t>
      </w:r>
      <w:r w:rsidRPr="000B3856">
        <w:rPr>
          <w:rFonts w:eastAsia="Times New Roman"/>
          <w:bdr w:val="none" w:sz="0" w:space="0" w:color="auto"/>
        </w:rPr>
        <w:t xml:space="preserve"> “call your council” via natural language, with AI actively notifying you of key shifts (“Your liquidity buffer just dropped below your covenant threshold”).</w:t>
      </w:r>
    </w:p>
    <w:p w14:paraId="47B0AC1B" w14:textId="77777777" w:rsidR="000B3856" w:rsidRPr="000B3856" w:rsidRDefault="000B3856" w:rsidP="000B3856">
      <w:pPr>
        <w:numPr>
          <w:ilvl w:val="0"/>
          <w:numId w:val="15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UHNW &amp; Enterprise Plays:</w:t>
      </w:r>
      <w:r w:rsidRPr="000B3856">
        <w:rPr>
          <w:rFonts w:eastAsia="Times New Roman"/>
          <w:bdr w:val="none" w:sz="0" w:space="0" w:color="auto"/>
        </w:rPr>
        <w:t xml:space="preserve"> how this layer becomes the “OnStar on steroids” for FO principals, executives, and high-trust environments—then scales down for everyday users.</w:t>
      </w:r>
    </w:p>
    <w:p w14:paraId="5FC7732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38307A19">
          <v:rect id="_x0000_i1046" style="width:0;height:1.5pt" o:hralign="center" o:hrstd="t" o:hr="t" fillcolor="#a0a0a0" stroked="f"/>
        </w:pict>
      </w:r>
    </w:p>
    <w:p w14:paraId="019A90B8"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lastRenderedPageBreak/>
        <w:t>Appendix M – Implementation Roadmap: MVP → Pilot → Ecosystem</w:t>
      </w:r>
    </w:p>
    <w:p w14:paraId="21AE90A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40EF234B" w14:textId="77777777" w:rsidR="000B3856" w:rsidRPr="000B3856" w:rsidRDefault="000B3856" w:rsidP="000B3856">
      <w:pPr>
        <w:numPr>
          <w:ilvl w:val="0"/>
          <w:numId w:val="1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Founders, investors, early institutional champions</w:t>
      </w:r>
    </w:p>
    <w:p w14:paraId="3129B912" w14:textId="77777777" w:rsidR="000B3856" w:rsidRPr="000B3856" w:rsidRDefault="000B3856" w:rsidP="000B3856">
      <w:pPr>
        <w:numPr>
          <w:ilvl w:val="0"/>
          <w:numId w:val="1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Show how this becomes real over 3–5 years, not in fantasy.</w:t>
      </w:r>
    </w:p>
    <w:p w14:paraId="28ADA7FB" w14:textId="77777777" w:rsidR="000B3856" w:rsidRPr="000B3856" w:rsidRDefault="000B3856" w:rsidP="000B3856">
      <w:pPr>
        <w:numPr>
          <w:ilvl w:val="0"/>
          <w:numId w:val="16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4 &amp; 6.</w:t>
      </w:r>
    </w:p>
    <w:p w14:paraId="291203C1"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Covers:</w:t>
      </w:r>
    </w:p>
    <w:p w14:paraId="3326C61A" w14:textId="77777777" w:rsidR="000B3856" w:rsidRPr="000B3856" w:rsidRDefault="000B3856" w:rsidP="000B3856">
      <w:pPr>
        <w:numPr>
          <w:ilvl w:val="0"/>
          <w:numId w:val="1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Phase 0 – Foundational MVP:</w:t>
      </w:r>
      <w:r w:rsidRPr="000B3856">
        <w:rPr>
          <w:rFonts w:eastAsia="Times New Roman"/>
          <w:bdr w:val="none" w:sz="0" w:space="0" w:color="auto"/>
        </w:rPr>
        <w:t xml:space="preserve"> WayPoint Core FPS report engine + sandbox-ready Sentiarch spine, no money movement.</w:t>
      </w:r>
    </w:p>
    <w:p w14:paraId="718A95C1" w14:textId="77777777" w:rsidR="000B3856" w:rsidRPr="000B3856" w:rsidRDefault="000B3856" w:rsidP="000B3856">
      <w:pPr>
        <w:numPr>
          <w:ilvl w:val="0"/>
          <w:numId w:val="1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Phase 1 – Advisory Pilots:</w:t>
      </w:r>
      <w:r w:rsidRPr="000B3856">
        <w:rPr>
          <w:rFonts w:eastAsia="Times New Roman"/>
          <w:bdr w:val="none" w:sz="0" w:space="0" w:color="auto"/>
        </w:rPr>
        <w:t xml:space="preserve"> FO/Eden Crown reporting + read-only WayPoint for individuals and small businesses, with 1–2 partner sandboxes.</w:t>
      </w:r>
    </w:p>
    <w:p w14:paraId="6CA003CC" w14:textId="77777777" w:rsidR="000B3856" w:rsidRPr="000B3856" w:rsidRDefault="000B3856" w:rsidP="000B3856">
      <w:pPr>
        <w:numPr>
          <w:ilvl w:val="0"/>
          <w:numId w:val="1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Phase 2 – Co-Branded Banking:</w:t>
      </w:r>
      <w:r w:rsidRPr="000B3856">
        <w:rPr>
          <w:rFonts w:eastAsia="Times New Roman"/>
          <w:bdr w:val="none" w:sz="0" w:space="0" w:color="auto"/>
        </w:rPr>
        <w:t xml:space="preserve"> fully functional WayPoint Core with BaaS partners; initial Edge verticals; FO OS deployments.</w:t>
      </w:r>
    </w:p>
    <w:p w14:paraId="51BE9E85" w14:textId="77777777" w:rsidR="000B3856" w:rsidRPr="000B3856" w:rsidRDefault="000B3856" w:rsidP="000B3856">
      <w:pPr>
        <w:numPr>
          <w:ilvl w:val="0"/>
          <w:numId w:val="1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Phase 3 – Ecosystem:</w:t>
      </w:r>
      <w:r w:rsidRPr="000B3856">
        <w:rPr>
          <w:rFonts w:eastAsia="Times New Roman"/>
          <w:bdr w:val="none" w:sz="0" w:space="0" w:color="auto"/>
        </w:rPr>
        <w:t xml:space="preserve"> multi-bank WayPoint network, full positioning catalog in-market, Manus/wearable pilot cohorts.</w:t>
      </w:r>
    </w:p>
    <w:p w14:paraId="18D4466F" w14:textId="77777777" w:rsidR="000B3856" w:rsidRPr="000B3856" w:rsidRDefault="000B3856" w:rsidP="000B3856">
      <w:pPr>
        <w:numPr>
          <w:ilvl w:val="0"/>
          <w:numId w:val="16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Key Dependencies:</w:t>
      </w:r>
      <w:r w:rsidRPr="000B3856">
        <w:rPr>
          <w:rFonts w:eastAsia="Times New Roman"/>
          <w:bdr w:val="none" w:sz="0" w:space="0" w:color="auto"/>
        </w:rPr>
        <w:t xml:space="preserve"> technical hires, capital milestones, regulatory engagements, FO anchor clients.</w:t>
      </w:r>
    </w:p>
    <w:p w14:paraId="229EDC4E"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36C8DCB0">
          <v:rect id="_x0000_i1047" style="width:0;height:1.5pt" o:hralign="center" o:hrstd="t" o:hr="t" fillcolor="#a0a0a0" stroked="f"/>
        </w:pict>
      </w:r>
    </w:p>
    <w:p w14:paraId="437656DB"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N – Future-State Products, Enhancements &amp; Positioning Systems</w:t>
      </w:r>
    </w:p>
    <w:p w14:paraId="2DEEE41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40B0A8E9" w14:textId="77777777" w:rsidR="000B3856" w:rsidRPr="000B3856" w:rsidRDefault="000B3856" w:rsidP="000B3856">
      <w:pPr>
        <w:numPr>
          <w:ilvl w:val="0"/>
          <w:numId w:val="1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Internal strategy, visionary investors, FO partners</w:t>
      </w:r>
    </w:p>
    <w:p w14:paraId="544CBDB9" w14:textId="77777777" w:rsidR="000B3856" w:rsidRPr="000B3856" w:rsidRDefault="000B3856" w:rsidP="000B3856">
      <w:pPr>
        <w:numPr>
          <w:ilvl w:val="0"/>
          <w:numId w:val="1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Capture the horizon: smart-glasses OS, education platforms, tax OS, creative OS, etc.</w:t>
      </w:r>
    </w:p>
    <w:p w14:paraId="1F173C33" w14:textId="77777777" w:rsidR="000B3856" w:rsidRPr="000B3856" w:rsidRDefault="000B3856" w:rsidP="000B3856">
      <w:pPr>
        <w:numPr>
          <w:ilvl w:val="0"/>
          <w:numId w:val="16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Sections 2, 5, 7.</w:t>
      </w:r>
    </w:p>
    <w:p w14:paraId="596D29C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Includes:</w:t>
      </w:r>
    </w:p>
    <w:p w14:paraId="4BE86214" w14:textId="77777777" w:rsidR="000B3856" w:rsidRPr="000B3856" w:rsidRDefault="000B3856" w:rsidP="000B3856">
      <w:pPr>
        <w:numPr>
          <w:ilvl w:val="0"/>
          <w:numId w:val="1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Education OS:</w:t>
      </w:r>
      <w:r w:rsidRPr="000B3856">
        <w:rPr>
          <w:rFonts w:eastAsia="Times New Roman"/>
          <w:bdr w:val="none" w:sz="0" w:space="0" w:color="auto"/>
        </w:rPr>
        <w:t xml:space="preserve"> EPS as a fully fledged learning platform for schools, universities, and adult learning.</w:t>
      </w:r>
    </w:p>
    <w:p w14:paraId="2D07683E" w14:textId="77777777" w:rsidR="000B3856" w:rsidRPr="000B3856" w:rsidRDefault="000B3856" w:rsidP="000B3856">
      <w:pPr>
        <w:numPr>
          <w:ilvl w:val="0"/>
          <w:numId w:val="1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Music / APS:</w:t>
      </w:r>
      <w:r w:rsidRPr="000B3856">
        <w:rPr>
          <w:rFonts w:eastAsia="Times New Roman"/>
          <w:bdr w:val="none" w:sz="0" w:space="0" w:color="auto"/>
        </w:rPr>
        <w:t xml:space="preserve"> audio-to-sheet transcription, creative routing, rights tracking, and real-time IP protection signals.</w:t>
      </w:r>
    </w:p>
    <w:p w14:paraId="1036D73C" w14:textId="77777777" w:rsidR="000B3856" w:rsidRPr="000B3856" w:rsidRDefault="000B3856" w:rsidP="000B3856">
      <w:pPr>
        <w:numPr>
          <w:ilvl w:val="0"/>
          <w:numId w:val="1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Automotive &amp; Fleet:</w:t>
      </w:r>
      <w:r w:rsidRPr="000B3856">
        <w:rPr>
          <w:rFonts w:eastAsia="Times New Roman"/>
          <w:bdr w:val="none" w:sz="0" w:space="0" w:color="auto"/>
        </w:rPr>
        <w:t xml:space="preserve"> Turo/rental integrations, micro-fleet analytics, AI-driven underwriting in transportation.</w:t>
      </w:r>
    </w:p>
    <w:p w14:paraId="22EBE1EE" w14:textId="77777777" w:rsidR="000B3856" w:rsidRPr="000B3856" w:rsidRDefault="000B3856" w:rsidP="000B3856">
      <w:pPr>
        <w:numPr>
          <w:ilvl w:val="0"/>
          <w:numId w:val="1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lastRenderedPageBreak/>
        <w:t>End-to-End Tax OS (TPS):</w:t>
      </w:r>
      <w:r w:rsidRPr="000B3856">
        <w:rPr>
          <w:rFonts w:eastAsia="Times New Roman"/>
          <w:bdr w:val="none" w:sz="0" w:space="0" w:color="auto"/>
        </w:rPr>
        <w:t xml:space="preserve"> AI-driven tax analysis, preparer copilot, “graduation project” for tax literacy.</w:t>
      </w:r>
    </w:p>
    <w:p w14:paraId="4E4725BA" w14:textId="77777777" w:rsidR="000B3856" w:rsidRPr="000B3856" w:rsidRDefault="000B3856" w:rsidP="000B3856">
      <w:pPr>
        <w:numPr>
          <w:ilvl w:val="0"/>
          <w:numId w:val="16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AI Workforce / Boardroom:</w:t>
      </w:r>
      <w:r w:rsidRPr="000B3856">
        <w:rPr>
          <w:rFonts w:eastAsia="Times New Roman"/>
          <w:bdr w:val="none" w:sz="0" w:space="0" w:color="auto"/>
        </w:rPr>
        <w:t xml:space="preserve"> the broader vision of AI staffing/company OS beyond finance.</w:t>
      </w:r>
    </w:p>
    <w:p w14:paraId="1A7F283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52C709FA">
          <v:rect id="_x0000_i1048" style="width:0;height:1.5pt" o:hralign="center" o:hrstd="t" o:hr="t" fillcolor="#a0a0a0" stroked="f"/>
        </w:pict>
      </w:r>
    </w:p>
    <w:p w14:paraId="1B377392"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sz w:val="27"/>
          <w:szCs w:val="27"/>
          <w:bdr w:val="none" w:sz="0" w:space="0" w:color="auto"/>
        </w:rPr>
      </w:pPr>
      <w:r w:rsidRPr="000B3856">
        <w:rPr>
          <w:rFonts w:eastAsia="Times New Roman"/>
          <w:b/>
          <w:bCs/>
          <w:sz w:val="27"/>
          <w:szCs w:val="27"/>
          <w:bdr w:val="none" w:sz="0" w:space="0" w:color="auto"/>
        </w:rPr>
        <w:t>Appendix O – Governance, Supervision &amp; Institutional Control</w:t>
      </w:r>
    </w:p>
    <w:p w14:paraId="39595F7D"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At a Glance</w:t>
      </w:r>
    </w:p>
    <w:p w14:paraId="34B101C6" w14:textId="77777777" w:rsidR="000B3856" w:rsidRPr="000B3856" w:rsidRDefault="000B3856" w:rsidP="000B3856">
      <w:pPr>
        <w:numPr>
          <w:ilvl w:val="0"/>
          <w:numId w:val="1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Audience:</w:t>
      </w:r>
      <w:r w:rsidRPr="000B3856">
        <w:rPr>
          <w:rFonts w:eastAsia="Times New Roman"/>
          <w:bdr w:val="none" w:sz="0" w:space="0" w:color="auto"/>
        </w:rPr>
        <w:t xml:space="preserve"> Boards, regulators, risk committees, external counsel</w:t>
      </w:r>
    </w:p>
    <w:p w14:paraId="059DC7B9" w14:textId="77777777" w:rsidR="000B3856" w:rsidRPr="000B3856" w:rsidRDefault="000B3856" w:rsidP="000B3856">
      <w:pPr>
        <w:numPr>
          <w:ilvl w:val="0"/>
          <w:numId w:val="1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Purpose:</w:t>
      </w:r>
      <w:r w:rsidRPr="000B3856">
        <w:rPr>
          <w:rFonts w:eastAsia="Times New Roman"/>
          <w:bdr w:val="none" w:sz="0" w:space="0" w:color="auto"/>
        </w:rPr>
        <w:t xml:space="preserve"> Make it clear how supervisors can understand, oversee, and constrain Sentiarch/WayPoint/Eden Crown.</w:t>
      </w:r>
    </w:p>
    <w:p w14:paraId="1103BFEE" w14:textId="77777777" w:rsidR="000B3856" w:rsidRPr="000B3856" w:rsidRDefault="000B3856" w:rsidP="000B3856">
      <w:pPr>
        <w:numPr>
          <w:ilvl w:val="0"/>
          <w:numId w:val="16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Ties to main brief:</w:t>
      </w:r>
      <w:r w:rsidRPr="000B3856">
        <w:rPr>
          <w:rFonts w:eastAsia="Times New Roman"/>
          <w:bdr w:val="none" w:sz="0" w:space="0" w:color="auto"/>
        </w:rPr>
        <w:t xml:space="preserve"> Section 7; Appendices G &amp; J.</w:t>
      </w:r>
    </w:p>
    <w:p w14:paraId="57E6B805"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Narrative Stub</w:t>
      </w:r>
      <w:r w:rsidRPr="000B3856">
        <w:rPr>
          <w:rFonts w:eastAsia="Times New Roman"/>
          <w:bdr w:val="none" w:sz="0" w:space="0" w:color="auto"/>
        </w:rPr>
        <w:br/>
        <w:t>This appendix documents:</w:t>
      </w:r>
    </w:p>
    <w:p w14:paraId="492E7840" w14:textId="77777777" w:rsidR="000B3856" w:rsidRPr="000B3856" w:rsidRDefault="000B3856" w:rsidP="000B3856">
      <w:pPr>
        <w:numPr>
          <w:ilvl w:val="0"/>
          <w:numId w:val="1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Regulatory Alignment:</w:t>
      </w:r>
      <w:r w:rsidRPr="000B3856">
        <w:rPr>
          <w:rFonts w:eastAsia="Times New Roman"/>
          <w:bdr w:val="none" w:sz="0" w:space="0" w:color="auto"/>
        </w:rPr>
        <w:t xml:space="preserve"> how the system aligns with existing frameworks (model risk management, data privacy, consumer protection, fiduciary duties).</w:t>
      </w:r>
    </w:p>
    <w:p w14:paraId="16C80053" w14:textId="77777777" w:rsidR="000B3856" w:rsidRPr="000B3856" w:rsidRDefault="000B3856" w:rsidP="000B3856">
      <w:pPr>
        <w:numPr>
          <w:ilvl w:val="0"/>
          <w:numId w:val="1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Control Surfaces for Institutions:</w:t>
      </w:r>
      <w:r w:rsidRPr="000B3856">
        <w:rPr>
          <w:rFonts w:eastAsia="Times New Roman"/>
          <w:bdr w:val="none" w:sz="0" w:space="0" w:color="auto"/>
        </w:rPr>
        <w:t xml:space="preserve"> parameters they can adjust; events that trigger review; kill-switch designs for specific features.</w:t>
      </w:r>
    </w:p>
    <w:p w14:paraId="11C13829" w14:textId="77777777" w:rsidR="000B3856" w:rsidRPr="000B3856" w:rsidRDefault="000B3856" w:rsidP="000B3856">
      <w:pPr>
        <w:numPr>
          <w:ilvl w:val="0"/>
          <w:numId w:val="1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Auditability:</w:t>
      </w:r>
      <w:r w:rsidRPr="000B3856">
        <w:rPr>
          <w:rFonts w:eastAsia="Times New Roman"/>
          <w:bdr w:val="none" w:sz="0" w:space="0" w:color="auto"/>
        </w:rPr>
        <w:t xml:space="preserve"> logging strategy, evidence packs, and how institutions can run independent validations.</w:t>
      </w:r>
    </w:p>
    <w:p w14:paraId="3C9445BA" w14:textId="77777777" w:rsidR="000B3856" w:rsidRPr="000B3856" w:rsidRDefault="000B3856" w:rsidP="000B3856">
      <w:pPr>
        <w:numPr>
          <w:ilvl w:val="0"/>
          <w:numId w:val="16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rPr>
      </w:pPr>
      <w:r w:rsidRPr="000B3856">
        <w:rPr>
          <w:rFonts w:eastAsia="Times New Roman"/>
          <w:b/>
          <w:bCs/>
          <w:bdr w:val="none" w:sz="0" w:space="0" w:color="auto"/>
        </w:rPr>
        <w:t>Boundary Conditions:</w:t>
      </w:r>
      <w:r w:rsidRPr="000B3856">
        <w:rPr>
          <w:rFonts w:eastAsia="Times New Roman"/>
          <w:bdr w:val="none" w:sz="0" w:space="0" w:color="auto"/>
        </w:rPr>
        <w:t xml:space="preserve"> explicit statements of what the system will not do (e.g., no unilateral credit decisions; no changes to legal obligations without human approvals).</w:t>
      </w:r>
    </w:p>
    <w:p w14:paraId="1F43B954" w14:textId="77777777" w:rsidR="000B3856" w:rsidRPr="000B3856" w:rsidRDefault="000B3856" w:rsidP="000B3856">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rPr>
      </w:pPr>
      <w:r w:rsidRPr="000B3856">
        <w:rPr>
          <w:rFonts w:eastAsia="Times New Roman"/>
          <w:bdr w:val="none" w:sz="0" w:space="0" w:color="auto"/>
        </w:rPr>
        <w:pict w14:anchorId="38D6A4F2">
          <v:rect id="_x0000_i1049" style="width:0;height:1.5pt" o:hralign="center" o:hrstd="t" o:hr="t" fillcolor="#a0a0a0" stroked="f"/>
        </w:pict>
      </w:r>
    </w:p>
    <w:p w14:paraId="6A1F9433" w14:textId="590DDD8B" w:rsidR="007B08E2" w:rsidRDefault="007B08E2">
      <w:pPr>
        <w:pStyle w:val="Body"/>
      </w:pPr>
    </w:p>
    <w:sectPr w:rsidR="007B08E2">
      <w:pgSz w:w="12240" w:h="15840"/>
      <w:pgMar w:top="2592" w:right="1656" w:bottom="1296" w:left="165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BE697" w14:textId="77777777" w:rsidR="00A75560" w:rsidRDefault="00A75560">
      <w:r>
        <w:separator/>
      </w:r>
    </w:p>
  </w:endnote>
  <w:endnote w:type="continuationSeparator" w:id="0">
    <w:p w14:paraId="4EAD4A4A" w14:textId="77777777" w:rsidR="00A75560" w:rsidRDefault="00A75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auto"/>
    <w:pitch w:val="variable"/>
    <w:sig w:usb0="E50002FF" w:usb1="500079DB" w:usb2="00000010" w:usb3="00000000" w:csb0="0000000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F9ABD" w14:textId="77777777" w:rsidR="00A75560" w:rsidRDefault="00A75560">
      <w:r>
        <w:separator/>
      </w:r>
    </w:p>
  </w:footnote>
  <w:footnote w:type="continuationSeparator" w:id="0">
    <w:p w14:paraId="2ABB963A" w14:textId="77777777" w:rsidR="00A75560" w:rsidRDefault="00A755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DADB5D" id="_x0000_i1025" style="width:0;height:1.5pt" o:hralign="center" o:bullet="t" o:hrstd="t" o:hr="t" fillcolor="#a0a0a0" stroked="f"/>
    </w:pict>
  </w:numPicBullet>
  <w:abstractNum w:abstractNumId="0" w15:restartNumberingAfterBreak="0">
    <w:nsid w:val="005B4A1D"/>
    <w:multiLevelType w:val="multilevel"/>
    <w:tmpl w:val="E97A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91ABF"/>
    <w:multiLevelType w:val="multilevel"/>
    <w:tmpl w:val="876A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8676F"/>
    <w:multiLevelType w:val="multilevel"/>
    <w:tmpl w:val="C948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97DC2"/>
    <w:multiLevelType w:val="multilevel"/>
    <w:tmpl w:val="C3AC1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87344"/>
    <w:multiLevelType w:val="multilevel"/>
    <w:tmpl w:val="B6C0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66690"/>
    <w:multiLevelType w:val="hybridMultilevel"/>
    <w:tmpl w:val="EBA24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CD5DD3"/>
    <w:multiLevelType w:val="multilevel"/>
    <w:tmpl w:val="7CE0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20E11"/>
    <w:multiLevelType w:val="multilevel"/>
    <w:tmpl w:val="AF3E7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D6B1E"/>
    <w:multiLevelType w:val="multilevel"/>
    <w:tmpl w:val="6248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F7021E"/>
    <w:multiLevelType w:val="multilevel"/>
    <w:tmpl w:val="EF7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96676"/>
    <w:multiLevelType w:val="multilevel"/>
    <w:tmpl w:val="12E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52F0C"/>
    <w:multiLevelType w:val="multilevel"/>
    <w:tmpl w:val="4690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A1FD3"/>
    <w:multiLevelType w:val="multilevel"/>
    <w:tmpl w:val="45A0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D917F5"/>
    <w:multiLevelType w:val="multilevel"/>
    <w:tmpl w:val="98FC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96F2E"/>
    <w:multiLevelType w:val="multilevel"/>
    <w:tmpl w:val="2EB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764FF2"/>
    <w:multiLevelType w:val="multilevel"/>
    <w:tmpl w:val="8DF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95540"/>
    <w:multiLevelType w:val="multilevel"/>
    <w:tmpl w:val="67D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E3831"/>
    <w:multiLevelType w:val="multilevel"/>
    <w:tmpl w:val="F76C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71BC5"/>
    <w:multiLevelType w:val="multilevel"/>
    <w:tmpl w:val="0CC41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830AA"/>
    <w:multiLevelType w:val="multilevel"/>
    <w:tmpl w:val="5AFC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E4E09"/>
    <w:multiLevelType w:val="multilevel"/>
    <w:tmpl w:val="0D7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85A0D"/>
    <w:multiLevelType w:val="multilevel"/>
    <w:tmpl w:val="D07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B279E"/>
    <w:multiLevelType w:val="multilevel"/>
    <w:tmpl w:val="FF3C4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C70E32"/>
    <w:multiLevelType w:val="multilevel"/>
    <w:tmpl w:val="755E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917008"/>
    <w:multiLevelType w:val="hybridMultilevel"/>
    <w:tmpl w:val="62C2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DC29DF"/>
    <w:multiLevelType w:val="hybridMultilevel"/>
    <w:tmpl w:val="252E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258602A"/>
    <w:multiLevelType w:val="multilevel"/>
    <w:tmpl w:val="38FC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7845A6"/>
    <w:multiLevelType w:val="multilevel"/>
    <w:tmpl w:val="436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05F48"/>
    <w:multiLevelType w:val="multilevel"/>
    <w:tmpl w:val="0F60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FD340B"/>
    <w:multiLevelType w:val="hybridMultilevel"/>
    <w:tmpl w:val="B4BE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30438B3"/>
    <w:multiLevelType w:val="multilevel"/>
    <w:tmpl w:val="C642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740928"/>
    <w:multiLevelType w:val="multilevel"/>
    <w:tmpl w:val="0A945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0D4B11"/>
    <w:multiLevelType w:val="multilevel"/>
    <w:tmpl w:val="FD22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B0AFE"/>
    <w:multiLevelType w:val="multilevel"/>
    <w:tmpl w:val="D55A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66712"/>
    <w:multiLevelType w:val="multilevel"/>
    <w:tmpl w:val="F74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792E36"/>
    <w:multiLevelType w:val="multilevel"/>
    <w:tmpl w:val="341A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9B5AEE"/>
    <w:multiLevelType w:val="multilevel"/>
    <w:tmpl w:val="699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693532"/>
    <w:multiLevelType w:val="multilevel"/>
    <w:tmpl w:val="E198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A63D93"/>
    <w:multiLevelType w:val="multilevel"/>
    <w:tmpl w:val="D1D4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034018"/>
    <w:multiLevelType w:val="multilevel"/>
    <w:tmpl w:val="5358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2D0DD8"/>
    <w:multiLevelType w:val="multilevel"/>
    <w:tmpl w:val="A66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3B344F"/>
    <w:multiLevelType w:val="multilevel"/>
    <w:tmpl w:val="F29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4C13EC"/>
    <w:multiLevelType w:val="multilevel"/>
    <w:tmpl w:val="E9F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CB1BBC"/>
    <w:multiLevelType w:val="multilevel"/>
    <w:tmpl w:val="684A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C801CAA"/>
    <w:multiLevelType w:val="multilevel"/>
    <w:tmpl w:val="D28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3D733C"/>
    <w:multiLevelType w:val="multilevel"/>
    <w:tmpl w:val="1E62D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40592D"/>
    <w:multiLevelType w:val="multilevel"/>
    <w:tmpl w:val="D032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7B3763"/>
    <w:multiLevelType w:val="multilevel"/>
    <w:tmpl w:val="45CE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FA49C1"/>
    <w:multiLevelType w:val="multilevel"/>
    <w:tmpl w:val="8BB0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892593"/>
    <w:multiLevelType w:val="multilevel"/>
    <w:tmpl w:val="6A4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F96C4E"/>
    <w:multiLevelType w:val="multilevel"/>
    <w:tmpl w:val="72AA4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25074B"/>
    <w:multiLevelType w:val="multilevel"/>
    <w:tmpl w:val="DD3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E45D37"/>
    <w:multiLevelType w:val="multilevel"/>
    <w:tmpl w:val="B194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A728FD"/>
    <w:multiLevelType w:val="multilevel"/>
    <w:tmpl w:val="5034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F36D02"/>
    <w:multiLevelType w:val="multilevel"/>
    <w:tmpl w:val="6036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6608FC"/>
    <w:multiLevelType w:val="multilevel"/>
    <w:tmpl w:val="BEE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432D3C"/>
    <w:multiLevelType w:val="multilevel"/>
    <w:tmpl w:val="21A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1757DA"/>
    <w:multiLevelType w:val="multilevel"/>
    <w:tmpl w:val="272E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A232C7"/>
    <w:multiLevelType w:val="multilevel"/>
    <w:tmpl w:val="7D9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C30567"/>
    <w:multiLevelType w:val="multilevel"/>
    <w:tmpl w:val="02B2E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794147"/>
    <w:multiLevelType w:val="multilevel"/>
    <w:tmpl w:val="0CFE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D31E64"/>
    <w:multiLevelType w:val="multilevel"/>
    <w:tmpl w:val="2422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E9672A"/>
    <w:multiLevelType w:val="multilevel"/>
    <w:tmpl w:val="073A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304159"/>
    <w:multiLevelType w:val="multilevel"/>
    <w:tmpl w:val="5908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CE7C08"/>
    <w:multiLevelType w:val="multilevel"/>
    <w:tmpl w:val="26DE9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E930B6F"/>
    <w:multiLevelType w:val="multilevel"/>
    <w:tmpl w:val="C982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15541B"/>
    <w:multiLevelType w:val="multilevel"/>
    <w:tmpl w:val="A4167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BC1D95"/>
    <w:multiLevelType w:val="multilevel"/>
    <w:tmpl w:val="0324B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2D257F8"/>
    <w:multiLevelType w:val="multilevel"/>
    <w:tmpl w:val="3B98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CF2833"/>
    <w:multiLevelType w:val="multilevel"/>
    <w:tmpl w:val="EF9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1B7875"/>
    <w:multiLevelType w:val="multilevel"/>
    <w:tmpl w:val="BF501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244652"/>
    <w:multiLevelType w:val="multilevel"/>
    <w:tmpl w:val="DE2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7F611F"/>
    <w:multiLevelType w:val="multilevel"/>
    <w:tmpl w:val="414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0C5BDA"/>
    <w:multiLevelType w:val="multilevel"/>
    <w:tmpl w:val="F7DC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2119DE"/>
    <w:multiLevelType w:val="multilevel"/>
    <w:tmpl w:val="3D92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F02039"/>
    <w:multiLevelType w:val="multilevel"/>
    <w:tmpl w:val="A82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9B341A"/>
    <w:multiLevelType w:val="multilevel"/>
    <w:tmpl w:val="11F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366C6B"/>
    <w:multiLevelType w:val="multilevel"/>
    <w:tmpl w:val="0AFE1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6D342B"/>
    <w:multiLevelType w:val="multilevel"/>
    <w:tmpl w:val="388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7561BE"/>
    <w:multiLevelType w:val="multilevel"/>
    <w:tmpl w:val="1F10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B4579E"/>
    <w:multiLevelType w:val="multilevel"/>
    <w:tmpl w:val="1960E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F708C"/>
    <w:multiLevelType w:val="multilevel"/>
    <w:tmpl w:val="D28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451DF"/>
    <w:multiLevelType w:val="multilevel"/>
    <w:tmpl w:val="20A6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B0053A"/>
    <w:multiLevelType w:val="multilevel"/>
    <w:tmpl w:val="628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5D03F7"/>
    <w:multiLevelType w:val="multilevel"/>
    <w:tmpl w:val="A94EB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B93296"/>
    <w:multiLevelType w:val="hybridMultilevel"/>
    <w:tmpl w:val="BA16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E686618"/>
    <w:multiLevelType w:val="multilevel"/>
    <w:tmpl w:val="C4D0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B004DC"/>
    <w:multiLevelType w:val="multilevel"/>
    <w:tmpl w:val="13587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F979C1"/>
    <w:multiLevelType w:val="multilevel"/>
    <w:tmpl w:val="78AAA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31594A"/>
    <w:multiLevelType w:val="multilevel"/>
    <w:tmpl w:val="6100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484442"/>
    <w:multiLevelType w:val="hybridMultilevel"/>
    <w:tmpl w:val="BBE4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0E43D35"/>
    <w:multiLevelType w:val="hybridMultilevel"/>
    <w:tmpl w:val="02F00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10E7EAA"/>
    <w:multiLevelType w:val="multilevel"/>
    <w:tmpl w:val="493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E539CD"/>
    <w:multiLevelType w:val="multilevel"/>
    <w:tmpl w:val="35C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F44361"/>
    <w:multiLevelType w:val="multilevel"/>
    <w:tmpl w:val="38360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B935EF"/>
    <w:multiLevelType w:val="multilevel"/>
    <w:tmpl w:val="AFF8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4A4AB9"/>
    <w:multiLevelType w:val="multilevel"/>
    <w:tmpl w:val="D68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6968B5"/>
    <w:multiLevelType w:val="multilevel"/>
    <w:tmpl w:val="499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B80601"/>
    <w:multiLevelType w:val="multilevel"/>
    <w:tmpl w:val="249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6E513B"/>
    <w:multiLevelType w:val="multilevel"/>
    <w:tmpl w:val="169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C47E5D"/>
    <w:multiLevelType w:val="multilevel"/>
    <w:tmpl w:val="23C0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250F07"/>
    <w:multiLevelType w:val="multilevel"/>
    <w:tmpl w:val="5B6EF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4A063E"/>
    <w:multiLevelType w:val="multilevel"/>
    <w:tmpl w:val="5E66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B03B42"/>
    <w:multiLevelType w:val="multilevel"/>
    <w:tmpl w:val="45A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C30955"/>
    <w:multiLevelType w:val="multilevel"/>
    <w:tmpl w:val="85A8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B42E46"/>
    <w:multiLevelType w:val="multilevel"/>
    <w:tmpl w:val="F5D46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E9917CC"/>
    <w:multiLevelType w:val="multilevel"/>
    <w:tmpl w:val="498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586870"/>
    <w:multiLevelType w:val="multilevel"/>
    <w:tmpl w:val="A67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4C7B72"/>
    <w:multiLevelType w:val="multilevel"/>
    <w:tmpl w:val="4DF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C7704B"/>
    <w:multiLevelType w:val="multilevel"/>
    <w:tmpl w:val="8364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3B639DF"/>
    <w:multiLevelType w:val="multilevel"/>
    <w:tmpl w:val="99AA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1F4E99"/>
    <w:multiLevelType w:val="multilevel"/>
    <w:tmpl w:val="F822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606C36"/>
    <w:multiLevelType w:val="multilevel"/>
    <w:tmpl w:val="6256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9D6EBF"/>
    <w:multiLevelType w:val="multilevel"/>
    <w:tmpl w:val="B67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D51B95"/>
    <w:multiLevelType w:val="multilevel"/>
    <w:tmpl w:val="B21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450068"/>
    <w:multiLevelType w:val="hybridMultilevel"/>
    <w:tmpl w:val="A7E6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9E7480F"/>
    <w:multiLevelType w:val="multilevel"/>
    <w:tmpl w:val="35F2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01206D"/>
    <w:multiLevelType w:val="multilevel"/>
    <w:tmpl w:val="4E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7D1FC2"/>
    <w:multiLevelType w:val="multilevel"/>
    <w:tmpl w:val="29A8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1121C6"/>
    <w:multiLevelType w:val="multilevel"/>
    <w:tmpl w:val="AC0A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DA07D80"/>
    <w:multiLevelType w:val="multilevel"/>
    <w:tmpl w:val="DB2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B534AE"/>
    <w:multiLevelType w:val="multilevel"/>
    <w:tmpl w:val="5860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6F1357"/>
    <w:multiLevelType w:val="multilevel"/>
    <w:tmpl w:val="5C34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D422AB"/>
    <w:multiLevelType w:val="multilevel"/>
    <w:tmpl w:val="716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7E1F69"/>
    <w:multiLevelType w:val="multilevel"/>
    <w:tmpl w:val="55FC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247752"/>
    <w:multiLevelType w:val="multilevel"/>
    <w:tmpl w:val="B0E25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6E5B42"/>
    <w:multiLevelType w:val="multilevel"/>
    <w:tmpl w:val="5AD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C54FD8"/>
    <w:multiLevelType w:val="multilevel"/>
    <w:tmpl w:val="AF00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5658C1"/>
    <w:multiLevelType w:val="multilevel"/>
    <w:tmpl w:val="6142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CC1A53"/>
    <w:multiLevelType w:val="multilevel"/>
    <w:tmpl w:val="35F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714E26"/>
    <w:multiLevelType w:val="multilevel"/>
    <w:tmpl w:val="7FEAD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F656B9"/>
    <w:multiLevelType w:val="multilevel"/>
    <w:tmpl w:val="5B3A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9F95546"/>
    <w:multiLevelType w:val="multilevel"/>
    <w:tmpl w:val="3C9E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5B012D"/>
    <w:multiLevelType w:val="multilevel"/>
    <w:tmpl w:val="B56E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BC0AFC"/>
    <w:multiLevelType w:val="multilevel"/>
    <w:tmpl w:val="1700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0311BC"/>
    <w:multiLevelType w:val="multilevel"/>
    <w:tmpl w:val="212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3455B6"/>
    <w:multiLevelType w:val="multilevel"/>
    <w:tmpl w:val="C2B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7B733C"/>
    <w:multiLevelType w:val="hybridMultilevel"/>
    <w:tmpl w:val="25881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D1F0740"/>
    <w:multiLevelType w:val="multilevel"/>
    <w:tmpl w:val="7FCC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3C6559"/>
    <w:multiLevelType w:val="multilevel"/>
    <w:tmpl w:val="A8FA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68072A"/>
    <w:multiLevelType w:val="multilevel"/>
    <w:tmpl w:val="0F2E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EF27B8"/>
    <w:multiLevelType w:val="multilevel"/>
    <w:tmpl w:val="EEA0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11538A"/>
    <w:multiLevelType w:val="multilevel"/>
    <w:tmpl w:val="49C80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ED53D13"/>
    <w:multiLevelType w:val="multilevel"/>
    <w:tmpl w:val="84E0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7C2DC8"/>
    <w:multiLevelType w:val="hybridMultilevel"/>
    <w:tmpl w:val="F6AE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F88793D"/>
    <w:multiLevelType w:val="multilevel"/>
    <w:tmpl w:val="E634D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04F4985"/>
    <w:multiLevelType w:val="multilevel"/>
    <w:tmpl w:val="82A0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74685D"/>
    <w:multiLevelType w:val="hybridMultilevel"/>
    <w:tmpl w:val="0F30E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15401D0"/>
    <w:multiLevelType w:val="multilevel"/>
    <w:tmpl w:val="6ED4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B56B50"/>
    <w:multiLevelType w:val="multilevel"/>
    <w:tmpl w:val="556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4C2376"/>
    <w:multiLevelType w:val="multilevel"/>
    <w:tmpl w:val="463A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4C4742"/>
    <w:multiLevelType w:val="multilevel"/>
    <w:tmpl w:val="EE2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1A7438"/>
    <w:multiLevelType w:val="multilevel"/>
    <w:tmpl w:val="8E1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3D3258"/>
    <w:multiLevelType w:val="multilevel"/>
    <w:tmpl w:val="161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EC677E"/>
    <w:multiLevelType w:val="multilevel"/>
    <w:tmpl w:val="2ABA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1F0E88"/>
    <w:multiLevelType w:val="multilevel"/>
    <w:tmpl w:val="675A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9C46D0"/>
    <w:multiLevelType w:val="multilevel"/>
    <w:tmpl w:val="A28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D7260D"/>
    <w:multiLevelType w:val="multilevel"/>
    <w:tmpl w:val="E6D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796CAE"/>
    <w:multiLevelType w:val="multilevel"/>
    <w:tmpl w:val="2A7E9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13645C"/>
    <w:multiLevelType w:val="multilevel"/>
    <w:tmpl w:val="DDD0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27681F"/>
    <w:multiLevelType w:val="multilevel"/>
    <w:tmpl w:val="6B78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C164B9"/>
    <w:multiLevelType w:val="multilevel"/>
    <w:tmpl w:val="AA84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2B4595"/>
    <w:multiLevelType w:val="multilevel"/>
    <w:tmpl w:val="5F1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935392"/>
    <w:multiLevelType w:val="hybridMultilevel"/>
    <w:tmpl w:val="9D542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DAA2A2A"/>
    <w:multiLevelType w:val="multilevel"/>
    <w:tmpl w:val="A7BC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AF27C4"/>
    <w:multiLevelType w:val="multilevel"/>
    <w:tmpl w:val="85E64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757523">
    <w:abstractNumId w:val="26"/>
  </w:num>
  <w:num w:numId="2" w16cid:durableId="228007391">
    <w:abstractNumId w:val="2"/>
  </w:num>
  <w:num w:numId="3" w16cid:durableId="1640574910">
    <w:abstractNumId w:val="74"/>
  </w:num>
  <w:num w:numId="4" w16cid:durableId="1997031227">
    <w:abstractNumId w:val="88"/>
  </w:num>
  <w:num w:numId="5" w16cid:durableId="239414661">
    <w:abstractNumId w:val="110"/>
  </w:num>
  <w:num w:numId="6" w16cid:durableId="618217287">
    <w:abstractNumId w:val="156"/>
  </w:num>
  <w:num w:numId="7" w16cid:durableId="1803428139">
    <w:abstractNumId w:val="79"/>
  </w:num>
  <w:num w:numId="8" w16cid:durableId="1510217788">
    <w:abstractNumId w:val="136"/>
  </w:num>
  <w:num w:numId="9" w16cid:durableId="1918325178">
    <w:abstractNumId w:val="119"/>
  </w:num>
  <w:num w:numId="10" w16cid:durableId="1675258983">
    <w:abstractNumId w:val="44"/>
  </w:num>
  <w:num w:numId="11" w16cid:durableId="1687904929">
    <w:abstractNumId w:val="69"/>
  </w:num>
  <w:num w:numId="12" w16cid:durableId="1690527683">
    <w:abstractNumId w:val="151"/>
  </w:num>
  <w:num w:numId="13" w16cid:durableId="456483946">
    <w:abstractNumId w:val="155"/>
  </w:num>
  <w:num w:numId="14" w16cid:durableId="1611550686">
    <w:abstractNumId w:val="21"/>
  </w:num>
  <w:num w:numId="15" w16cid:durableId="575743916">
    <w:abstractNumId w:val="89"/>
  </w:num>
  <w:num w:numId="16" w16cid:durableId="946161624">
    <w:abstractNumId w:val="76"/>
  </w:num>
  <w:num w:numId="17" w16cid:durableId="367611220">
    <w:abstractNumId w:val="127"/>
  </w:num>
  <w:num w:numId="18" w16cid:durableId="1969239253">
    <w:abstractNumId w:val="116"/>
  </w:num>
  <w:num w:numId="19" w16cid:durableId="872157425">
    <w:abstractNumId w:val="47"/>
  </w:num>
  <w:num w:numId="20" w16cid:durableId="1870757247">
    <w:abstractNumId w:val="68"/>
  </w:num>
  <w:num w:numId="21" w16cid:durableId="315574471">
    <w:abstractNumId w:val="72"/>
  </w:num>
  <w:num w:numId="22" w16cid:durableId="1615625512">
    <w:abstractNumId w:val="78"/>
  </w:num>
  <w:num w:numId="23" w16cid:durableId="631404228">
    <w:abstractNumId w:val="64"/>
  </w:num>
  <w:num w:numId="24" w16cid:durableId="1118765491">
    <w:abstractNumId w:val="14"/>
  </w:num>
  <w:num w:numId="25" w16cid:durableId="256602840">
    <w:abstractNumId w:val="148"/>
  </w:num>
  <w:num w:numId="26" w16cid:durableId="1638028994">
    <w:abstractNumId w:val="33"/>
  </w:num>
  <w:num w:numId="27" w16cid:durableId="831221096">
    <w:abstractNumId w:val="32"/>
  </w:num>
  <w:num w:numId="28" w16cid:durableId="356127021">
    <w:abstractNumId w:val="164"/>
  </w:num>
  <w:num w:numId="29" w16cid:durableId="130250166">
    <w:abstractNumId w:val="37"/>
  </w:num>
  <w:num w:numId="30" w16cid:durableId="1146512561">
    <w:abstractNumId w:val="10"/>
  </w:num>
  <w:num w:numId="31" w16cid:durableId="894925030">
    <w:abstractNumId w:val="50"/>
  </w:num>
  <w:num w:numId="32" w16cid:durableId="249313641">
    <w:abstractNumId w:val="108"/>
  </w:num>
  <w:num w:numId="33" w16cid:durableId="4675173">
    <w:abstractNumId w:val="80"/>
  </w:num>
  <w:num w:numId="34" w16cid:durableId="2069499020">
    <w:abstractNumId w:val="83"/>
  </w:num>
  <w:num w:numId="35" w16cid:durableId="1789811203">
    <w:abstractNumId w:val="4"/>
  </w:num>
  <w:num w:numId="36" w16cid:durableId="1058093315">
    <w:abstractNumId w:val="132"/>
  </w:num>
  <w:num w:numId="37" w16cid:durableId="901794754">
    <w:abstractNumId w:val="125"/>
  </w:num>
  <w:num w:numId="38" w16cid:durableId="1083573825">
    <w:abstractNumId w:val="48"/>
  </w:num>
  <w:num w:numId="39" w16cid:durableId="1932622572">
    <w:abstractNumId w:val="62"/>
  </w:num>
  <w:num w:numId="40" w16cid:durableId="2037728597">
    <w:abstractNumId w:val="31"/>
  </w:num>
  <w:num w:numId="41" w16cid:durableId="543493409">
    <w:abstractNumId w:val="165"/>
  </w:num>
  <w:num w:numId="42" w16cid:durableId="1368217214">
    <w:abstractNumId w:val="146"/>
  </w:num>
  <w:num w:numId="43" w16cid:durableId="460919918">
    <w:abstractNumId w:val="12"/>
  </w:num>
  <w:num w:numId="44" w16cid:durableId="1510562274">
    <w:abstractNumId w:val="7"/>
  </w:num>
  <w:num w:numId="45" w16cid:durableId="652376048">
    <w:abstractNumId w:val="22"/>
  </w:num>
  <w:num w:numId="46" w16cid:durableId="22102290">
    <w:abstractNumId w:val="162"/>
  </w:num>
  <w:num w:numId="47" w16cid:durableId="129327803">
    <w:abstractNumId w:val="27"/>
  </w:num>
  <w:num w:numId="48" w16cid:durableId="400175725">
    <w:abstractNumId w:val="140"/>
  </w:num>
  <w:num w:numId="49" w16cid:durableId="1141773011">
    <w:abstractNumId w:val="63"/>
  </w:num>
  <w:num w:numId="50" w16cid:durableId="2897246">
    <w:abstractNumId w:val="138"/>
  </w:num>
  <w:num w:numId="51" w16cid:durableId="1687051649">
    <w:abstractNumId w:val="23"/>
  </w:num>
  <w:num w:numId="52" w16cid:durableId="1995451641">
    <w:abstractNumId w:val="112"/>
  </w:num>
  <w:num w:numId="53" w16cid:durableId="297801598">
    <w:abstractNumId w:val="158"/>
  </w:num>
  <w:num w:numId="54" w16cid:durableId="1658268710">
    <w:abstractNumId w:val="124"/>
  </w:num>
  <w:num w:numId="55" w16cid:durableId="524295436">
    <w:abstractNumId w:val="121"/>
  </w:num>
  <w:num w:numId="56" w16cid:durableId="881138401">
    <w:abstractNumId w:val="107"/>
  </w:num>
  <w:num w:numId="57" w16cid:durableId="197356739">
    <w:abstractNumId w:val="131"/>
  </w:num>
  <w:num w:numId="58" w16cid:durableId="2120567481">
    <w:abstractNumId w:val="67"/>
  </w:num>
  <w:num w:numId="59" w16cid:durableId="1666472185">
    <w:abstractNumId w:val="142"/>
  </w:num>
  <w:num w:numId="60" w16cid:durableId="2115858090">
    <w:abstractNumId w:val="36"/>
  </w:num>
  <w:num w:numId="61" w16cid:durableId="687605216">
    <w:abstractNumId w:val="102"/>
  </w:num>
  <w:num w:numId="62" w16cid:durableId="105127644">
    <w:abstractNumId w:val="40"/>
  </w:num>
  <w:num w:numId="63" w16cid:durableId="370572236">
    <w:abstractNumId w:val="13"/>
  </w:num>
  <w:num w:numId="64" w16cid:durableId="802189400">
    <w:abstractNumId w:val="55"/>
  </w:num>
  <w:num w:numId="65" w16cid:durableId="1590192986">
    <w:abstractNumId w:val="70"/>
  </w:num>
  <w:num w:numId="66" w16cid:durableId="1814251444">
    <w:abstractNumId w:val="56"/>
  </w:num>
  <w:num w:numId="67" w16cid:durableId="1283851153">
    <w:abstractNumId w:val="153"/>
  </w:num>
  <w:num w:numId="68" w16cid:durableId="669529198">
    <w:abstractNumId w:val="109"/>
  </w:num>
  <w:num w:numId="69" w16cid:durableId="330641277">
    <w:abstractNumId w:val="66"/>
  </w:num>
  <w:num w:numId="70" w16cid:durableId="874774751">
    <w:abstractNumId w:val="45"/>
  </w:num>
  <w:num w:numId="71" w16cid:durableId="468670626">
    <w:abstractNumId w:val="18"/>
  </w:num>
  <w:num w:numId="72" w16cid:durableId="838664598">
    <w:abstractNumId w:val="0"/>
  </w:num>
  <w:num w:numId="73" w16cid:durableId="856695767">
    <w:abstractNumId w:val="6"/>
  </w:num>
  <w:num w:numId="74" w16cid:durableId="260719968">
    <w:abstractNumId w:val="43"/>
  </w:num>
  <w:num w:numId="75" w16cid:durableId="506673439">
    <w:abstractNumId w:val="84"/>
  </w:num>
  <w:num w:numId="76" w16cid:durableId="348457657">
    <w:abstractNumId w:val="42"/>
  </w:num>
  <w:num w:numId="77" w16cid:durableId="175929711">
    <w:abstractNumId w:val="11"/>
  </w:num>
  <w:num w:numId="78" w16cid:durableId="213851075">
    <w:abstractNumId w:val="133"/>
  </w:num>
  <w:num w:numId="79" w16cid:durableId="869535849">
    <w:abstractNumId w:val="98"/>
  </w:num>
  <w:num w:numId="80" w16cid:durableId="62685182">
    <w:abstractNumId w:val="82"/>
  </w:num>
  <w:num w:numId="81" w16cid:durableId="637760012">
    <w:abstractNumId w:val="39"/>
  </w:num>
  <w:num w:numId="82" w16cid:durableId="1093819957">
    <w:abstractNumId w:val="35"/>
  </w:num>
  <w:num w:numId="83" w16cid:durableId="259527261">
    <w:abstractNumId w:val="118"/>
  </w:num>
  <w:num w:numId="84" w16cid:durableId="350032970">
    <w:abstractNumId w:val="87"/>
  </w:num>
  <w:num w:numId="85" w16cid:durableId="819462702">
    <w:abstractNumId w:val="52"/>
  </w:num>
  <w:num w:numId="86" w16cid:durableId="152456081">
    <w:abstractNumId w:val="100"/>
  </w:num>
  <w:num w:numId="87" w16cid:durableId="1943876823">
    <w:abstractNumId w:val="73"/>
  </w:num>
  <w:num w:numId="88" w16cid:durableId="1012685090">
    <w:abstractNumId w:val="104"/>
  </w:num>
  <w:num w:numId="89" w16cid:durableId="902057521">
    <w:abstractNumId w:val="93"/>
  </w:num>
  <w:num w:numId="90" w16cid:durableId="1562791836">
    <w:abstractNumId w:val="128"/>
  </w:num>
  <w:num w:numId="91" w16cid:durableId="1836216708">
    <w:abstractNumId w:val="122"/>
  </w:num>
  <w:num w:numId="92" w16cid:durableId="382219014">
    <w:abstractNumId w:val="28"/>
  </w:num>
  <w:num w:numId="93" w16cid:durableId="1829902932">
    <w:abstractNumId w:val="75"/>
  </w:num>
  <w:num w:numId="94" w16cid:durableId="1311057849">
    <w:abstractNumId w:val="77"/>
  </w:num>
  <w:num w:numId="95" w16cid:durableId="937903709">
    <w:abstractNumId w:val="53"/>
  </w:num>
  <w:num w:numId="96" w16cid:durableId="1223298088">
    <w:abstractNumId w:val="57"/>
  </w:num>
  <w:num w:numId="97" w16cid:durableId="449016813">
    <w:abstractNumId w:val="38"/>
  </w:num>
  <w:num w:numId="98" w16cid:durableId="1979606377">
    <w:abstractNumId w:val="46"/>
  </w:num>
  <w:num w:numId="99" w16cid:durableId="1326281141">
    <w:abstractNumId w:val="94"/>
  </w:num>
  <w:num w:numId="100" w16cid:durableId="1859807984">
    <w:abstractNumId w:val="90"/>
  </w:num>
  <w:num w:numId="101" w16cid:durableId="679240402">
    <w:abstractNumId w:val="137"/>
  </w:num>
  <w:num w:numId="102" w16cid:durableId="1756129843">
    <w:abstractNumId w:val="5"/>
  </w:num>
  <w:num w:numId="103" w16cid:durableId="247158641">
    <w:abstractNumId w:val="91"/>
  </w:num>
  <w:num w:numId="104" w16cid:durableId="1830362311">
    <w:abstractNumId w:val="85"/>
  </w:num>
  <w:num w:numId="105" w16cid:durableId="120461762">
    <w:abstractNumId w:val="115"/>
  </w:num>
  <w:num w:numId="106" w16cid:durableId="1799716518">
    <w:abstractNumId w:val="147"/>
  </w:num>
  <w:num w:numId="107" w16cid:durableId="804734727">
    <w:abstractNumId w:val="29"/>
  </w:num>
  <w:num w:numId="108" w16cid:durableId="868835020">
    <w:abstractNumId w:val="163"/>
  </w:num>
  <w:num w:numId="109" w16cid:durableId="992220911">
    <w:abstractNumId w:val="24"/>
  </w:num>
  <w:num w:numId="110" w16cid:durableId="1375739051">
    <w:abstractNumId w:val="25"/>
  </w:num>
  <w:num w:numId="111" w16cid:durableId="1530796616">
    <w:abstractNumId w:val="144"/>
  </w:num>
  <w:num w:numId="112" w16cid:durableId="2089761950">
    <w:abstractNumId w:val="9"/>
  </w:num>
  <w:num w:numId="113" w16cid:durableId="514854545">
    <w:abstractNumId w:val="92"/>
  </w:num>
  <w:num w:numId="114" w16cid:durableId="628440781">
    <w:abstractNumId w:val="3"/>
  </w:num>
  <w:num w:numId="115" w16cid:durableId="1319769848">
    <w:abstractNumId w:val="19"/>
  </w:num>
  <w:num w:numId="116" w16cid:durableId="287862507">
    <w:abstractNumId w:val="114"/>
  </w:num>
  <w:num w:numId="117" w16cid:durableId="166752661">
    <w:abstractNumId w:val="8"/>
  </w:num>
  <w:num w:numId="118" w16cid:durableId="45565584">
    <w:abstractNumId w:val="49"/>
  </w:num>
  <w:num w:numId="119" w16cid:durableId="608002833">
    <w:abstractNumId w:val="105"/>
  </w:num>
  <w:num w:numId="120" w16cid:durableId="1477141383">
    <w:abstractNumId w:val="95"/>
  </w:num>
  <w:num w:numId="121" w16cid:durableId="2022388724">
    <w:abstractNumId w:val="139"/>
  </w:num>
  <w:num w:numId="122" w16cid:durableId="1616792225">
    <w:abstractNumId w:val="120"/>
  </w:num>
  <w:num w:numId="123" w16cid:durableId="1781948498">
    <w:abstractNumId w:val="71"/>
  </w:num>
  <w:num w:numId="124" w16cid:durableId="1137721558">
    <w:abstractNumId w:val="152"/>
  </w:num>
  <w:num w:numId="125" w16cid:durableId="1649743415">
    <w:abstractNumId w:val="15"/>
  </w:num>
  <w:num w:numId="126" w16cid:durableId="2040277398">
    <w:abstractNumId w:val="1"/>
  </w:num>
  <w:num w:numId="127" w16cid:durableId="1374159236">
    <w:abstractNumId w:val="41"/>
  </w:num>
  <w:num w:numId="128" w16cid:durableId="108745836">
    <w:abstractNumId w:val="99"/>
  </w:num>
  <w:num w:numId="129" w16cid:durableId="609971540">
    <w:abstractNumId w:val="150"/>
  </w:num>
  <w:num w:numId="130" w16cid:durableId="57752633">
    <w:abstractNumId w:val="145"/>
  </w:num>
  <w:num w:numId="131" w16cid:durableId="567570384">
    <w:abstractNumId w:val="54"/>
  </w:num>
  <w:num w:numId="132" w16cid:durableId="1153720786">
    <w:abstractNumId w:val="101"/>
  </w:num>
  <w:num w:numId="133" w16cid:durableId="1895963193">
    <w:abstractNumId w:val="160"/>
  </w:num>
  <w:num w:numId="134" w16cid:durableId="819663128">
    <w:abstractNumId w:val="59"/>
  </w:num>
  <w:num w:numId="135" w16cid:durableId="962348533">
    <w:abstractNumId w:val="154"/>
  </w:num>
  <w:num w:numId="136" w16cid:durableId="1106773572">
    <w:abstractNumId w:val="34"/>
  </w:num>
  <w:num w:numId="137" w16cid:durableId="421532456">
    <w:abstractNumId w:val="51"/>
  </w:num>
  <w:num w:numId="138" w16cid:durableId="351155553">
    <w:abstractNumId w:val="60"/>
  </w:num>
  <w:num w:numId="139" w16cid:durableId="1752312848">
    <w:abstractNumId w:val="159"/>
  </w:num>
  <w:num w:numId="140" w16cid:durableId="308557951">
    <w:abstractNumId w:val="65"/>
  </w:num>
  <w:num w:numId="141" w16cid:durableId="1461873736">
    <w:abstractNumId w:val="61"/>
  </w:num>
  <w:num w:numId="142" w16cid:durableId="14431615">
    <w:abstractNumId w:val="97"/>
  </w:num>
  <w:num w:numId="143" w16cid:durableId="1166087842">
    <w:abstractNumId w:val="16"/>
  </w:num>
  <w:num w:numId="144" w16cid:durableId="995185465">
    <w:abstractNumId w:val="135"/>
  </w:num>
  <w:num w:numId="145" w16cid:durableId="1141655075">
    <w:abstractNumId w:val="129"/>
  </w:num>
  <w:num w:numId="146" w16cid:durableId="1123768854">
    <w:abstractNumId w:val="126"/>
  </w:num>
  <w:num w:numId="147" w16cid:durableId="1741440107">
    <w:abstractNumId w:val="111"/>
  </w:num>
  <w:num w:numId="148" w16cid:durableId="223294299">
    <w:abstractNumId w:val="149"/>
  </w:num>
  <w:num w:numId="149" w16cid:durableId="706218839">
    <w:abstractNumId w:val="141"/>
  </w:num>
  <w:num w:numId="150" w16cid:durableId="66852944">
    <w:abstractNumId w:val="103"/>
  </w:num>
  <w:num w:numId="151" w16cid:durableId="780611505">
    <w:abstractNumId w:val="143"/>
  </w:num>
  <w:num w:numId="152" w16cid:durableId="44111071">
    <w:abstractNumId w:val="117"/>
  </w:num>
  <w:num w:numId="153" w16cid:durableId="904100919">
    <w:abstractNumId w:val="113"/>
  </w:num>
  <w:num w:numId="154" w16cid:durableId="773551060">
    <w:abstractNumId w:val="30"/>
  </w:num>
  <w:num w:numId="155" w16cid:durableId="881749881">
    <w:abstractNumId w:val="130"/>
  </w:num>
  <w:num w:numId="156" w16cid:durableId="1988588455">
    <w:abstractNumId w:val="96"/>
  </w:num>
  <w:num w:numId="157" w16cid:durableId="899287035">
    <w:abstractNumId w:val="58"/>
  </w:num>
  <w:num w:numId="158" w16cid:durableId="475924851">
    <w:abstractNumId w:val="106"/>
  </w:num>
  <w:num w:numId="159" w16cid:durableId="1619877725">
    <w:abstractNumId w:val="86"/>
  </w:num>
  <w:num w:numId="160" w16cid:durableId="1150444216">
    <w:abstractNumId w:val="81"/>
  </w:num>
  <w:num w:numId="161" w16cid:durableId="951671019">
    <w:abstractNumId w:val="157"/>
  </w:num>
  <w:num w:numId="162" w16cid:durableId="1899785212">
    <w:abstractNumId w:val="161"/>
  </w:num>
  <w:num w:numId="163" w16cid:durableId="719355308">
    <w:abstractNumId w:val="134"/>
  </w:num>
  <w:num w:numId="164" w16cid:durableId="1521045701">
    <w:abstractNumId w:val="20"/>
  </w:num>
  <w:num w:numId="165" w16cid:durableId="660350568">
    <w:abstractNumId w:val="123"/>
  </w:num>
  <w:num w:numId="166" w16cid:durableId="449126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3"/>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8E2"/>
    <w:rsid w:val="000029E4"/>
    <w:rsid w:val="00085A99"/>
    <w:rsid w:val="0009046D"/>
    <w:rsid w:val="000B3856"/>
    <w:rsid w:val="000C30F9"/>
    <w:rsid w:val="001B368C"/>
    <w:rsid w:val="001E0FFC"/>
    <w:rsid w:val="00261C7F"/>
    <w:rsid w:val="00271A14"/>
    <w:rsid w:val="002B41FF"/>
    <w:rsid w:val="00437774"/>
    <w:rsid w:val="004543B9"/>
    <w:rsid w:val="004D2F14"/>
    <w:rsid w:val="004E40D3"/>
    <w:rsid w:val="004E4511"/>
    <w:rsid w:val="0052152D"/>
    <w:rsid w:val="00563DFC"/>
    <w:rsid w:val="00582E14"/>
    <w:rsid w:val="006C76A8"/>
    <w:rsid w:val="00743047"/>
    <w:rsid w:val="0078367F"/>
    <w:rsid w:val="007B08E2"/>
    <w:rsid w:val="00802841"/>
    <w:rsid w:val="00837896"/>
    <w:rsid w:val="008F0C96"/>
    <w:rsid w:val="00914D2E"/>
    <w:rsid w:val="00A04448"/>
    <w:rsid w:val="00A16958"/>
    <w:rsid w:val="00A614AB"/>
    <w:rsid w:val="00A72FF6"/>
    <w:rsid w:val="00A75560"/>
    <w:rsid w:val="00B24E99"/>
    <w:rsid w:val="00C57945"/>
    <w:rsid w:val="00C649E7"/>
    <w:rsid w:val="00CC373F"/>
    <w:rsid w:val="00D02801"/>
    <w:rsid w:val="00D1287F"/>
    <w:rsid w:val="00D55E41"/>
    <w:rsid w:val="00DE6D9A"/>
    <w:rsid w:val="00E90783"/>
    <w:rsid w:val="00FB04CA"/>
    <w:rsid w:val="00FC3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7D969"/>
  <w15:docId w15:val="{95042E95-A059-4433-931F-AC7443616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B3856"/>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rPr>
  </w:style>
  <w:style w:type="paragraph" w:styleId="Heading3">
    <w:name w:val="heading 3"/>
    <w:basedOn w:val="Normal"/>
    <w:link w:val="Heading3Char"/>
    <w:uiPriority w:val="9"/>
    <w:qFormat/>
    <w:rsid w:val="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rPr>
  </w:style>
  <w:style w:type="paragraph" w:styleId="Heading4">
    <w:name w:val="heading 4"/>
    <w:basedOn w:val="Normal"/>
    <w:next w:val="Normal"/>
    <w:link w:val="Heading4Char"/>
    <w:uiPriority w:val="9"/>
    <w:semiHidden/>
    <w:unhideWhenUsed/>
    <w:qFormat/>
    <w:rsid w:val="000029E4"/>
    <w:pPr>
      <w:keepNext/>
      <w:keepLines/>
      <w:spacing w:before="40"/>
      <w:outlineLvl w:val="3"/>
    </w:pPr>
    <w:rPr>
      <w:rFonts w:eastAsia="Times New Roman"/>
      <w:i/>
      <w:iCs/>
      <w:color w:val="0F476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ptos" w:eastAsia="Aptos" w:hAnsi="Aptos" w:cs="Aptos"/>
      <w:color w:val="000000"/>
      <w:kern w:val="2"/>
      <w:sz w:val="24"/>
      <w:szCs w:val="24"/>
      <w:u w:color="000000"/>
    </w:rPr>
  </w:style>
  <w:style w:type="paragraph" w:customStyle="1" w:styleId="Body">
    <w:name w:val="Body"/>
    <w:pPr>
      <w:spacing w:after="160" w:line="278" w:lineRule="auto"/>
    </w:pPr>
    <w:rPr>
      <w:rFonts w:ascii="Aptos" w:eastAsia="Aptos" w:hAnsi="Aptos" w:cs="Aptos"/>
      <w:color w:val="000000"/>
      <w:kern w:val="2"/>
      <w:sz w:val="24"/>
      <w:szCs w:val="24"/>
      <w:u w:color="000000"/>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B24E99"/>
    <w:rPr>
      <w:rFonts w:eastAsia="Times New Roman"/>
      <w:b/>
      <w:bCs/>
      <w:sz w:val="36"/>
      <w:szCs w:val="36"/>
      <w:bdr w:val="none" w:sz="0" w:space="0" w:color="auto"/>
    </w:rPr>
  </w:style>
  <w:style w:type="character" w:customStyle="1" w:styleId="Heading3Char">
    <w:name w:val="Heading 3 Char"/>
    <w:basedOn w:val="DefaultParagraphFont"/>
    <w:link w:val="Heading3"/>
    <w:uiPriority w:val="9"/>
    <w:rsid w:val="00B24E99"/>
    <w:rPr>
      <w:rFonts w:eastAsia="Times New Roman"/>
      <w:b/>
      <w:bCs/>
      <w:sz w:val="27"/>
      <w:szCs w:val="27"/>
      <w:bdr w:val="none" w:sz="0" w:space="0" w:color="auto"/>
    </w:rPr>
  </w:style>
  <w:style w:type="paragraph" w:styleId="NormalWeb">
    <w:name w:val="Normal (Web)"/>
    <w:basedOn w:val="Normal"/>
    <w:uiPriority w:val="99"/>
    <w:semiHidden/>
    <w:unhideWhenUsed/>
    <w:rsid w:val="00B24E9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Strong">
    <w:name w:val="Strong"/>
    <w:basedOn w:val="DefaultParagraphFont"/>
    <w:uiPriority w:val="22"/>
    <w:qFormat/>
    <w:rsid w:val="00B24E99"/>
    <w:rPr>
      <w:b/>
      <w:bCs/>
    </w:rPr>
  </w:style>
  <w:style w:type="character" w:styleId="Emphasis">
    <w:name w:val="Emphasis"/>
    <w:basedOn w:val="DefaultParagraphFont"/>
    <w:uiPriority w:val="20"/>
    <w:qFormat/>
    <w:rsid w:val="00B24E99"/>
    <w:rPr>
      <w:i/>
      <w:iCs/>
    </w:rPr>
  </w:style>
  <w:style w:type="paragraph" w:customStyle="1" w:styleId="Heading41">
    <w:name w:val="Heading 41"/>
    <w:basedOn w:val="Normal"/>
    <w:next w:val="Normal"/>
    <w:uiPriority w:val="9"/>
    <w:semiHidden/>
    <w:unhideWhenUsed/>
    <w:qFormat/>
    <w:rsid w:val="000029E4"/>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80" w:after="40" w:line="278" w:lineRule="auto"/>
      <w:outlineLvl w:val="3"/>
    </w:pPr>
    <w:rPr>
      <w:rFonts w:ascii="Aptos" w:eastAsia="Times New Roman" w:hAnsi="Aptos"/>
      <w:i/>
      <w:iCs/>
      <w:color w:val="0F4761"/>
      <w:kern w:val="2"/>
      <w:bdr w:val="none" w:sz="0" w:space="0" w:color="auto"/>
      <w14:ligatures w14:val="standardContextual"/>
    </w:rPr>
  </w:style>
  <w:style w:type="character" w:customStyle="1" w:styleId="Heading4Char">
    <w:name w:val="Heading 4 Char"/>
    <w:basedOn w:val="DefaultParagraphFont"/>
    <w:link w:val="Heading4"/>
    <w:uiPriority w:val="9"/>
    <w:semiHidden/>
    <w:rsid w:val="000029E4"/>
    <w:rPr>
      <w:rFonts w:eastAsia="Times New Roman" w:cs="Times New Roman"/>
      <w:i/>
      <w:iCs/>
      <w:color w:val="0F4761"/>
    </w:rPr>
  </w:style>
  <w:style w:type="character" w:customStyle="1" w:styleId="Heading4Char1">
    <w:name w:val="Heading 4 Char1"/>
    <w:basedOn w:val="DefaultParagraphFont"/>
    <w:uiPriority w:val="9"/>
    <w:semiHidden/>
    <w:rsid w:val="000029E4"/>
    <w:rPr>
      <w:rFonts w:asciiTheme="majorHAnsi" w:eastAsiaTheme="majorEastAsia" w:hAnsiTheme="majorHAnsi" w:cstheme="majorBidi"/>
      <w:i/>
      <w:iCs/>
      <w:color w:val="0F4761" w:themeColor="accent1" w:themeShade="BF"/>
      <w:sz w:val="24"/>
      <w:szCs w:val="24"/>
    </w:rPr>
  </w:style>
  <w:style w:type="paragraph" w:styleId="ListParagraph">
    <w:name w:val="List Paragraph"/>
    <w:basedOn w:val="Normal"/>
    <w:uiPriority w:val="34"/>
    <w:qFormat/>
    <w:rsid w:val="00FB04CA"/>
    <w:pPr>
      <w:ind w:left="720"/>
      <w:contextualSpacing/>
    </w:pPr>
  </w:style>
  <w:style w:type="paragraph" w:styleId="Header">
    <w:name w:val="header"/>
    <w:basedOn w:val="Normal"/>
    <w:link w:val="HeaderChar"/>
    <w:uiPriority w:val="99"/>
    <w:unhideWhenUsed/>
    <w:rsid w:val="00802841"/>
    <w:pPr>
      <w:tabs>
        <w:tab w:val="center" w:pos="4680"/>
        <w:tab w:val="right" w:pos="9360"/>
      </w:tabs>
    </w:pPr>
  </w:style>
  <w:style w:type="character" w:customStyle="1" w:styleId="HeaderChar">
    <w:name w:val="Header Char"/>
    <w:basedOn w:val="DefaultParagraphFont"/>
    <w:link w:val="Header"/>
    <w:uiPriority w:val="99"/>
    <w:rsid w:val="00802841"/>
    <w:rPr>
      <w:sz w:val="24"/>
      <w:szCs w:val="24"/>
    </w:rPr>
  </w:style>
  <w:style w:type="character" w:customStyle="1" w:styleId="Heading1Char">
    <w:name w:val="Heading 1 Char"/>
    <w:basedOn w:val="DefaultParagraphFont"/>
    <w:link w:val="Heading1"/>
    <w:uiPriority w:val="9"/>
    <w:rsid w:val="000B3856"/>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71D08C-6BD4-4062-8980-FE571603C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26</Pages>
  <Words>6979</Words>
  <Characters>39783</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Aliman Neal</dc:creator>
  <cp:keywords/>
  <dc:description/>
  <cp:lastModifiedBy>Aliman Neal</cp:lastModifiedBy>
  <cp:revision>1</cp:revision>
  <dcterms:created xsi:type="dcterms:W3CDTF">2026-01-13T03:58:00Z</dcterms:created>
  <dcterms:modified xsi:type="dcterms:W3CDTF">2026-01-25T01:03:00Z</dcterms:modified>
</cp:coreProperties>
</file>