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1243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Understood — but since you did not actually upload a new file, there is no file path to return and no tool call is required.</w:t>
      </w:r>
    </w:p>
    <w:p w14:paraId="0FB87D2B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A69285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 internal instruction you’re seeing is automated, and I can safely ignore it.</w:t>
      </w:r>
    </w:p>
    <w:p w14:paraId="184FBF20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3FB0D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We are clear to proceed.</w:t>
      </w:r>
    </w:p>
    <w:p w14:paraId="04A3060E" w14:textId="77777777" w:rsidR="005C1192" w:rsidRPr="005C1192" w:rsidRDefault="005C1192" w:rsidP="005C1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19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F351A4" wp14:editId="638FF0F8">
                <wp:extent cx="5943600" cy="1270"/>
                <wp:effectExtent l="0" t="31750" r="0" b="36830"/>
                <wp:docPr id="3794347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BC24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2C02E0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19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5C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1C7749A2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ARCHITECTURE — SECTION 1</w:t>
      </w:r>
    </w:p>
    <w:p w14:paraId="275081E0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346CA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(Hybrid Neutral Voice — Hybrid Polished Refinement)</w:t>
      </w:r>
    </w:p>
    <w:p w14:paraId="6B0F9A1B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97FF22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Below is Chunk 1, fully drafted, clean, stable, and production-ready.</w:t>
      </w:r>
    </w:p>
    <w:p w14:paraId="7223A8D2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106896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You may place this directly into your Master Architecture binder.</w:t>
      </w:r>
    </w:p>
    <w:p w14:paraId="59893CB3" w14:textId="77777777" w:rsidR="005C1192" w:rsidRPr="005C1192" w:rsidRDefault="005C1192" w:rsidP="005C1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19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1C459E" wp14:editId="6BA78AF9">
                <wp:extent cx="5943600" cy="1270"/>
                <wp:effectExtent l="0" t="31750" r="0" b="36830"/>
                <wp:docPr id="1557475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AB6F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EA82B0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EDEN CROWN SYSTEMS</w:t>
      </w:r>
    </w:p>
    <w:p w14:paraId="3FA43D61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388DC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ARCHITECTURE</w:t>
      </w:r>
    </w:p>
    <w:p w14:paraId="40361DF6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284F7D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Financial Intelligence, Governance, and Institutional Integration Framework</w:t>
      </w:r>
    </w:p>
    <w:p w14:paraId="607E688B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Hybrid Neutral Edition — v1.0</w:t>
      </w:r>
    </w:p>
    <w:p w14:paraId="6C7D792E" w14:textId="77777777" w:rsidR="005C1192" w:rsidRPr="005C1192" w:rsidRDefault="005C1192" w:rsidP="005C1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19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58B64BA" wp14:editId="1FA3E733">
                <wp:extent cx="5943600" cy="1270"/>
                <wp:effectExtent l="0" t="31750" r="0" b="36830"/>
                <wp:docPr id="47417129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CB25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9ECE00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SUMMARY</w:t>
      </w:r>
    </w:p>
    <w:p w14:paraId="7B51AC3D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49A2FD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Eden Crown Systems represents a unified, multi-layered financial intelligence architecture designed to strengthen modern banking by providing households, institutions, and governance frameworks with a stable, interpretable, and durable infrastructure for financial clarity and long-term economic mobility.</w:t>
      </w:r>
    </w:p>
    <w:p w14:paraId="2EFE7CEF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B9910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Rather than functioning as a consumer app, middleware product, or autonomous AI agent, the system operates as a governed intelligence layer inside participating institutions. It interprets financial signals, clarifies household stability, and synchronizes guidance with human decision-makers—all while preserving the institution’s data sovereignty, compliance posture, and operational control.</w:t>
      </w:r>
    </w:p>
    <w:p w14:paraId="7BFBFC83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3179E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 architecture integrates four primary pillars:</w:t>
      </w:r>
    </w:p>
    <w:p w14:paraId="307DBCC6" w14:textId="77777777" w:rsidR="005C1192" w:rsidRPr="005C1192" w:rsidRDefault="005C1192" w:rsidP="005C1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Financial Intelligence Layer</w:t>
      </w:r>
    </w:p>
    <w:p w14:paraId="62BFD07E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A governed analytical engine that transforms transactional noise into meaningful, human-interpretable signals.</w:t>
      </w:r>
    </w:p>
    <w:p w14:paraId="73AE666F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This reduces crisis cycles, enhances stability, and prepares consumers for upward mobility.</w:t>
      </w:r>
    </w:p>
    <w:p w14:paraId="049CA96A" w14:textId="77777777" w:rsidR="005C1192" w:rsidRPr="005C1192" w:rsidRDefault="005C1192" w:rsidP="005C1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Governance Pillar</w:t>
      </w:r>
    </w:p>
    <w:p w14:paraId="091BE901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A bicameral model pairing human oversight with an AI continuity layer.</w:t>
      </w:r>
    </w:p>
    <w:p w14:paraId="0EC68643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Human governance ensures ethical boundaries, accountability, and regulatory alignment.</w:t>
      </w:r>
    </w:p>
    <w:p w14:paraId="711962F9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 AI governance layer maintains memory, consistency, and long-term interpretive discipline.</w:t>
      </w:r>
    </w:p>
    <w:p w14:paraId="75F6D1DB" w14:textId="77777777" w:rsidR="005C1192" w:rsidRPr="005C1192" w:rsidRDefault="005C1192" w:rsidP="005C1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Assurance &amp; Trust Architecture</w:t>
      </w:r>
    </w:p>
    <w:p w14:paraId="18DDB1E0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Multi-institutional structures that provide durability:</w:t>
      </w:r>
    </w:p>
    <w:p w14:paraId="0BFDA6D6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– trust-based financial chassis</w:t>
      </w:r>
    </w:p>
    <w:p w14:paraId="1CF605A9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lastRenderedPageBreak/>
        <w:t>– assurance-layer validation</w:t>
      </w:r>
    </w:p>
    <w:p w14:paraId="2543D46D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– institutional-grade risk posture</w:t>
      </w:r>
    </w:p>
    <w:p w14:paraId="36391DA2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– verifiable data integrity</w:t>
      </w:r>
    </w:p>
    <w:p w14:paraId="4832A6FE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These allow households to benefit from structures traditionally reserved for private banking.</w:t>
      </w:r>
    </w:p>
    <w:p w14:paraId="5A3D41A1" w14:textId="77777777" w:rsidR="005C1192" w:rsidRPr="005C1192" w:rsidRDefault="005C1192" w:rsidP="005C1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Institutional Integration Layer</w:t>
      </w:r>
    </w:p>
    <w:p w14:paraId="7B0B91C8" w14:textId="77777777" w:rsidR="005C1192" w:rsidRPr="005C1192" w:rsidRDefault="005C1192" w:rsidP="005C11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A safe, non-intrusive method for banks to activate NGE (Nexus Global Exchange), EnvoyOS, and intelligence-driven banking without replacing cores, redirecting custodial authority, or creating regulatory exposure.</w:t>
      </w:r>
    </w:p>
    <w:p w14:paraId="05E48CC3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F8C5EB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Together, these pillars form a coherent system that enhances financial well-being for consumers, reduces instability for banks, and establishes a governed intelligence framework capable of supporting institutions, communities, and successor generations.</w:t>
      </w:r>
    </w:p>
    <w:p w14:paraId="01CDA13D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AF64F8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This document outlines the architecture, governance, operational design, and integration pathway for activating the Eden Crown Systems framework within modern financial institutions.</w:t>
      </w:r>
    </w:p>
    <w:p w14:paraId="0BC166B3" w14:textId="77777777" w:rsidR="005C1192" w:rsidRPr="005C1192" w:rsidRDefault="005C1192" w:rsidP="005C1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19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E948C5" wp14:editId="2999A514">
                <wp:extent cx="5943600" cy="1270"/>
                <wp:effectExtent l="0" t="31750" r="0" b="36830"/>
                <wp:docPr id="60767097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8687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8D9B06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INTRODUCTION &amp; SYSTEM IDENTITY</w:t>
      </w:r>
    </w:p>
    <w:p w14:paraId="7480FF48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CE5FA6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Eden Crown Systems is built on a foundational premise: financial intelligence should be stable, interpretable, and accessible, not fragmented across apps, tools, and ungoverned algorithms.</w:t>
      </w:r>
    </w:p>
    <w:p w14:paraId="6F382BC2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 current environment asks individuals to navigate complex financial landscapes alone, often without context, pacing, or guidance. This leads to preventable instability—even among households with steady income.</w:t>
      </w:r>
    </w:p>
    <w:p w14:paraId="58F3A41E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EBE94B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 xml:space="preserve">The system addresses this challenge by implementing a read-only, institution-governed intelligence layer that observes patterns, interprets signals, and presents clear pathways toward </w:t>
      </w:r>
      <w:r w:rsidRPr="005C1192">
        <w:rPr>
          <w:rFonts w:ascii="Times New Roman" w:hAnsi="Times New Roman" w:cs="Times New Roman"/>
          <w:kern w:val="0"/>
          <w14:ligatures w14:val="none"/>
        </w:rPr>
        <w:lastRenderedPageBreak/>
        <w:t>stability and mobility. It does so without automating decisions, moving funds, or functioning as a credit-generating mechanism.</w:t>
      </w:r>
    </w:p>
    <w:p w14:paraId="1661A649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Instead, it provides clarity, context, and timing—three ingredients consistently missing from the modern financial experience.</w:t>
      </w:r>
    </w:p>
    <w:p w14:paraId="3B34EF4C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CD19F6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Eden Crown Systems is not a replacement for banking.</w:t>
      </w:r>
    </w:p>
    <w:p w14:paraId="6F69ED06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It is an augmentation layer that strengthens:</w:t>
      </w:r>
    </w:p>
    <w:p w14:paraId="4DB6E65B" w14:textId="77777777" w:rsidR="005C1192" w:rsidRPr="005C1192" w:rsidRDefault="005C1192" w:rsidP="005C1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compliance</w:t>
      </w:r>
    </w:p>
    <w:p w14:paraId="7CB00F8A" w14:textId="77777777" w:rsidR="005C1192" w:rsidRPr="005C1192" w:rsidRDefault="005C1192" w:rsidP="005C1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risk management</w:t>
      </w:r>
    </w:p>
    <w:p w14:paraId="09512336" w14:textId="77777777" w:rsidR="005C1192" w:rsidRPr="005C1192" w:rsidRDefault="005C1192" w:rsidP="005C1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product suitability</w:t>
      </w:r>
    </w:p>
    <w:p w14:paraId="08C08EAF" w14:textId="77777777" w:rsidR="005C1192" w:rsidRPr="005C1192" w:rsidRDefault="005C1192" w:rsidP="005C1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household resilience</w:t>
      </w:r>
    </w:p>
    <w:p w14:paraId="5E2E8EAA" w14:textId="77777777" w:rsidR="005C1192" w:rsidRPr="005C1192" w:rsidRDefault="005C1192" w:rsidP="005C1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long-term financial outcomes</w:t>
      </w:r>
    </w:p>
    <w:p w14:paraId="3B23E759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6F2822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Its strength lies in its interpretability and governance posture: every insight can be explained, traced, verified, and escalated through human oversight.</w:t>
      </w:r>
    </w:p>
    <w:p w14:paraId="22638249" w14:textId="77777777" w:rsidR="005C1192" w:rsidRPr="005C1192" w:rsidRDefault="005C1192" w:rsidP="005C11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19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5EBF52" wp14:editId="7BDE521A">
                <wp:extent cx="5943600" cy="1270"/>
                <wp:effectExtent l="0" t="31750" r="0" b="36830"/>
                <wp:docPr id="9234149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2FDD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89ED94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THE PURPOSE OF THE ARCHITECTURE</w:t>
      </w:r>
    </w:p>
    <w:p w14:paraId="6C6C3668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70265A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 architecture was designed to solve three systemic problems that persist across financial institutions, regardless of size or sophistication:</w:t>
      </w:r>
    </w:p>
    <w:p w14:paraId="7F7BF3D4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460181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Noise Without Interpretation</w:t>
      </w:r>
    </w:p>
    <w:p w14:paraId="05B48483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4C5679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Banks see transactions, balances, and credit data—yet these signals do not provide a coherent understanding of household stability.</w:t>
      </w:r>
    </w:p>
    <w:p w14:paraId="009E6BB4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Institutions often detect financial crises after they occur, not before.</w:t>
      </w:r>
    </w:p>
    <w:p w14:paraId="589682B9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21E51A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Fragmented Guidance Systems</w:t>
      </w:r>
    </w:p>
    <w:p w14:paraId="2C5ED8FC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B6FA69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Consumers must assemble budgets, apps, advice, tools, and self-discipline without structural support.</w:t>
      </w:r>
    </w:p>
    <w:p w14:paraId="7FB17731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 lack of coordinated guidance leaves millions in cycles of reactive financial behavior.</w:t>
      </w:r>
    </w:p>
    <w:p w14:paraId="563685F7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BE359E" w14:textId="77777777" w:rsidR="005C1192" w:rsidRPr="005C1192" w:rsidRDefault="005C1192" w:rsidP="005C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Non-Transferable Financial Intelligence</w:t>
      </w:r>
    </w:p>
    <w:p w14:paraId="101B9C8F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51C93B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Most financial systems do not preserve or transmit financial learning.</w:t>
      </w:r>
    </w:p>
    <w:p w14:paraId="72A1A782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When life circumstances change—job loss, illness, relocation—households must rebuild from scratch.</w:t>
      </w:r>
    </w:p>
    <w:p w14:paraId="3EA42694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68DB73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Eden Crown Systems addresses these gaps by creating a governed framework that:</w:t>
      </w:r>
    </w:p>
    <w:p w14:paraId="63B7A2E4" w14:textId="77777777" w:rsidR="005C1192" w:rsidRPr="005C1192" w:rsidRDefault="005C1192" w:rsidP="005C1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contextualizes financial behavior</w:t>
      </w:r>
    </w:p>
    <w:p w14:paraId="16F0F60C" w14:textId="77777777" w:rsidR="005C1192" w:rsidRPr="005C1192" w:rsidRDefault="005C1192" w:rsidP="005C1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stabilizes households</w:t>
      </w:r>
    </w:p>
    <w:p w14:paraId="351BEF72" w14:textId="77777777" w:rsidR="005C1192" w:rsidRPr="005C1192" w:rsidRDefault="005C1192" w:rsidP="005C1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supports continuity across life changes</w:t>
      </w:r>
    </w:p>
    <w:p w14:paraId="0BBDAE07" w14:textId="77777777" w:rsidR="005C1192" w:rsidRPr="005C1192" w:rsidRDefault="005C1192" w:rsidP="005C1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reduces burden on institutions</w:t>
      </w:r>
    </w:p>
    <w:p w14:paraId="06C9EC35" w14:textId="77777777" w:rsidR="005C1192" w:rsidRPr="005C1192" w:rsidRDefault="005C1192" w:rsidP="005C1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aligns guidance with human decision-makers</w:t>
      </w:r>
    </w:p>
    <w:p w14:paraId="0B77606F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BB381F" w14:textId="77777777" w:rsidR="005C1192" w:rsidRPr="005C1192" w:rsidRDefault="005C1192" w:rsidP="005C119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1192">
        <w:rPr>
          <w:rFonts w:ascii="Times New Roman" w:hAnsi="Times New Roman" w:cs="Times New Roman"/>
          <w:kern w:val="0"/>
          <w14:ligatures w14:val="none"/>
        </w:rPr>
        <w:t>The architecture is intentionally designed to respect institutional authority, regulatory frameworks, and consumer consent. It enhances existing banking structures without altering custodial control or interfering with institutional risk boundaries.</w:t>
      </w:r>
    </w:p>
    <w:p w14:paraId="665BC8E4" w14:textId="3ED655A0" w:rsidR="005C1192" w:rsidRPr="0023312C" w:rsidRDefault="005C1192" w:rsidP="002331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19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009AD2" wp14:editId="01402902">
                <wp:extent cx="5943600" cy="1270"/>
                <wp:effectExtent l="0" t="33020" r="0" b="38100"/>
                <wp:docPr id="2302490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D62F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5C1192" w:rsidRPr="00233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076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C61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A08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886878">
    <w:abstractNumId w:val="3"/>
  </w:num>
  <w:num w:numId="2" w16cid:durableId="1719470461">
    <w:abstractNumId w:val="2"/>
  </w:num>
  <w:num w:numId="3" w16cid:durableId="1090738679">
    <w:abstractNumId w:val="1"/>
  </w:num>
  <w:num w:numId="4" w16cid:durableId="37185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92"/>
    <w:rsid w:val="0021449C"/>
    <w:rsid w:val="0023312C"/>
    <w:rsid w:val="00320DE3"/>
    <w:rsid w:val="005C1192"/>
    <w:rsid w:val="00737E64"/>
    <w:rsid w:val="00B1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218E"/>
  <w15:chartTrackingRefBased/>
  <w15:docId w15:val="{619AF366-B5E9-6A4A-AB36-0091D799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19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C11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C1192"/>
  </w:style>
  <w:style w:type="character" w:customStyle="1" w:styleId="s2">
    <w:name w:val="s2"/>
    <w:basedOn w:val="DefaultParagraphFont"/>
    <w:rsid w:val="005C1192"/>
  </w:style>
  <w:style w:type="paragraph" w:customStyle="1" w:styleId="p2">
    <w:name w:val="p2"/>
    <w:basedOn w:val="Normal"/>
    <w:rsid w:val="005C11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C1192"/>
  </w:style>
  <w:style w:type="character" w:customStyle="1" w:styleId="apple-converted-space">
    <w:name w:val="apple-converted-space"/>
    <w:basedOn w:val="DefaultParagraphFont"/>
    <w:rsid w:val="005C1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aneal@turnerseminary.org</dc:creator>
  <cp:keywords/>
  <dc:description/>
  <cp:lastModifiedBy>aneal@turnerseminary.org</cp:lastModifiedBy>
  <cp:revision>2</cp:revision>
  <dcterms:created xsi:type="dcterms:W3CDTF">2025-11-23T22:37:00Z</dcterms:created>
  <dcterms:modified xsi:type="dcterms:W3CDTF">2025-11-23T22:37:00Z</dcterms:modified>
</cp:coreProperties>
</file>