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B872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You didn’t upload a file in your last message — you only said:</w:t>
      </w:r>
    </w:p>
    <w:p w14:paraId="016AA04B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941D88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“Proceed with chunk 2.”</w:t>
      </w:r>
    </w:p>
    <w:p w14:paraId="373DE4C4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7E09E5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Because no file was actually uploaded, there is no file path to return, and no tool call is required.</w:t>
      </w:r>
    </w:p>
    <w:p w14:paraId="6A4E7619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58A1A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 will ignore the automated instruction and proceed exactly as you requested.</w:t>
      </w:r>
    </w:p>
    <w:p w14:paraId="585FEC4C" w14:textId="77777777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74790C" wp14:editId="45547BBB">
                <wp:extent cx="5943600" cy="1270"/>
                <wp:effectExtent l="0" t="31750" r="0" b="36830"/>
                <wp:docPr id="56050822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9CB4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F90C2D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608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A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5755221E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ARCHITECTURE — CHUNK 2</w:t>
      </w:r>
    </w:p>
    <w:p w14:paraId="780AB7D4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B458A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 — ARCHITECTURAL OVERVIEW</w:t>
      </w:r>
    </w:p>
    <w:p w14:paraId="52E78CD5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12AF15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section sets the full structural map for Eden Crown Systems, showing how each layer interlocks and why the system behaves the way it does.</w:t>
      </w:r>
    </w:p>
    <w:p w14:paraId="1FD37B18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is the foundation on which all subsequent sections will build.</w:t>
      </w:r>
    </w:p>
    <w:p w14:paraId="0F25FF9E" w14:textId="77777777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1B7B84" wp14:editId="1A5E54D7">
                <wp:extent cx="5943600" cy="1270"/>
                <wp:effectExtent l="0" t="31750" r="0" b="36830"/>
                <wp:docPr id="6235718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9AE3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CC1735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ARCHITECTURAL OVERVIEW</w:t>
      </w:r>
    </w:p>
    <w:p w14:paraId="13A318AF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6AF8A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Eden Crown Systems is constructed as a multi-layered financial intelligence architecture, designed to bring stability, clarity, and mobility to consumers while strengthening institutional safety, compliance, and long-term value creation.</w:t>
      </w:r>
    </w:p>
    <w:p w14:paraId="7CB92349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8BA5C6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Rather than functioning as a linear system, the architecture is organized into five interdependent layers, each with a clear purpose and governance boundary:</w:t>
      </w:r>
    </w:p>
    <w:p w14:paraId="39637951" w14:textId="77777777" w:rsidR="001A6088" w:rsidRPr="001A6088" w:rsidRDefault="001A6088" w:rsidP="001A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Financial Intelligence Layer (NGE Core)</w:t>
      </w:r>
    </w:p>
    <w:p w14:paraId="3831F0D8" w14:textId="77777777" w:rsidR="001A6088" w:rsidRPr="001A6088" w:rsidRDefault="001A6088" w:rsidP="001A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Governance Pillar (Human &amp; AI Bicameral Council)</w:t>
      </w:r>
    </w:p>
    <w:p w14:paraId="6EF14ED4" w14:textId="77777777" w:rsidR="001A6088" w:rsidRPr="001A6088" w:rsidRDefault="001A6088" w:rsidP="001A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Assurance &amp; Trust Architecture</w:t>
      </w:r>
    </w:p>
    <w:p w14:paraId="3A6A1C58" w14:textId="77777777" w:rsidR="001A6088" w:rsidRPr="001A6088" w:rsidRDefault="001A6088" w:rsidP="001A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Institutional Integration Layer</w:t>
      </w:r>
    </w:p>
    <w:p w14:paraId="13CE2314" w14:textId="77777777" w:rsidR="001A6088" w:rsidRPr="001A6088" w:rsidRDefault="001A6088" w:rsidP="001A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Sovereign Continuity Layer</w:t>
      </w:r>
    </w:p>
    <w:p w14:paraId="66247833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2436BD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These layers work together to produce a system that is interpretive, governed, explainable, and durable across generations and institutions.</w:t>
      </w:r>
    </w:p>
    <w:p w14:paraId="2854ADF4" w14:textId="77777777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E98670" wp14:editId="2CD7315C">
                <wp:extent cx="5943600" cy="1270"/>
                <wp:effectExtent l="0" t="31750" r="0" b="36830"/>
                <wp:docPr id="65611023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0C67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A23372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The Financial Intelligence Layer (NGE Core)</w:t>
      </w:r>
    </w:p>
    <w:p w14:paraId="109C7309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F5D2D8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The Financial Intelligence Layer converts raw financial behavior into contextual, human-interpretable signals that help stabilize households and improve long-term financial outcomes.</w:t>
      </w:r>
    </w:p>
    <w:p w14:paraId="5DA6999C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5FDA26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layer:</w:t>
      </w:r>
    </w:p>
    <w:p w14:paraId="0740D3E7" w14:textId="77777777" w:rsidR="001A6088" w:rsidRPr="001A6088" w:rsidRDefault="001A6088" w:rsidP="001A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processes read-only data from the institution</w:t>
      </w:r>
    </w:p>
    <w:p w14:paraId="5D0DEE34" w14:textId="77777777" w:rsidR="001A6088" w:rsidRPr="001A6088" w:rsidRDefault="001A6088" w:rsidP="001A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analyzes behavior, not identity</w:t>
      </w:r>
    </w:p>
    <w:p w14:paraId="7A781DF3" w14:textId="77777777" w:rsidR="001A6088" w:rsidRPr="001A6088" w:rsidRDefault="001A6088" w:rsidP="001A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identifies patterns, timing windows, and risk indicators</w:t>
      </w:r>
    </w:p>
    <w:p w14:paraId="6D21E40B" w14:textId="77777777" w:rsidR="001A6088" w:rsidRPr="001A6088" w:rsidRDefault="001A6088" w:rsidP="001A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produces guidance that can be explained, verified, and overridden</w:t>
      </w:r>
    </w:p>
    <w:p w14:paraId="48366212" w14:textId="77777777" w:rsidR="001A6088" w:rsidRPr="001A6088" w:rsidRDefault="001A6088" w:rsidP="001A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aligns insights with human decision-makers</w:t>
      </w:r>
    </w:p>
    <w:p w14:paraId="695D31EA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50D4FF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It never:</w:t>
      </w:r>
    </w:p>
    <w:p w14:paraId="3307FF32" w14:textId="77777777" w:rsidR="001A6088" w:rsidRPr="001A6088" w:rsidRDefault="001A6088" w:rsidP="001A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moves money</w:t>
      </w:r>
    </w:p>
    <w:p w14:paraId="54D602B8" w14:textId="77777777" w:rsidR="001A6088" w:rsidRPr="001A6088" w:rsidRDefault="001A6088" w:rsidP="001A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automates financial transactions</w:t>
      </w:r>
    </w:p>
    <w:p w14:paraId="313339B7" w14:textId="77777777" w:rsidR="001A6088" w:rsidRPr="001A6088" w:rsidRDefault="001A6088" w:rsidP="001A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issues credit decisions</w:t>
      </w:r>
    </w:p>
    <w:p w14:paraId="1539F866" w14:textId="77777777" w:rsidR="001A6088" w:rsidRPr="001A6088" w:rsidRDefault="001A6088" w:rsidP="001A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adjusts credit limits</w:t>
      </w:r>
    </w:p>
    <w:p w14:paraId="6BFB2F81" w14:textId="77777777" w:rsidR="001A6088" w:rsidRPr="001A6088" w:rsidRDefault="001A6088" w:rsidP="001A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alters customer profiles</w:t>
      </w:r>
    </w:p>
    <w:p w14:paraId="1E5A4886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9CFC4C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lastRenderedPageBreak/>
        <w:t>Its function is interpretive and supportive, not directive.</w:t>
      </w:r>
    </w:p>
    <w:p w14:paraId="0987AB42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C1A692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layer is the engine behind NGE’s consumer-facing clarity and human pacing.</w:t>
      </w:r>
    </w:p>
    <w:p w14:paraId="041FED3C" w14:textId="77777777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8D5283" wp14:editId="06A35F5C">
                <wp:extent cx="5943600" cy="1270"/>
                <wp:effectExtent l="0" t="31750" r="0" b="36830"/>
                <wp:docPr id="211170327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5B2D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DCC121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The Governance Pillar (Human + AI Bicameral Model)</w:t>
      </w:r>
    </w:p>
    <w:p w14:paraId="4AEA00E1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30952D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The governance pillar ensures the system remains stable, ethical, transparent, and accountable.</w:t>
      </w:r>
    </w:p>
    <w:p w14:paraId="78D7A63A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10F8D5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It is composed of two chambers:</w:t>
      </w:r>
    </w:p>
    <w:p w14:paraId="1A26BD4D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38F61B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Human Governance Council</w:t>
      </w:r>
    </w:p>
    <w:p w14:paraId="3346606C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EDD751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186A0E3A" w14:textId="77777777" w:rsidR="001A6088" w:rsidRPr="001A6088" w:rsidRDefault="001A6088" w:rsidP="001A6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oversight and accountability</w:t>
      </w:r>
    </w:p>
    <w:p w14:paraId="37B08BB5" w14:textId="77777777" w:rsidR="001A6088" w:rsidRPr="001A6088" w:rsidRDefault="001A6088" w:rsidP="001A6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regulatory alignment</w:t>
      </w:r>
    </w:p>
    <w:p w14:paraId="0AEC60EB" w14:textId="77777777" w:rsidR="001A6088" w:rsidRPr="001A6088" w:rsidRDefault="001A6088" w:rsidP="001A6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model approvals and audit trails</w:t>
      </w:r>
    </w:p>
    <w:p w14:paraId="294ED9C2" w14:textId="77777777" w:rsidR="001A6088" w:rsidRPr="001A6088" w:rsidRDefault="001A6088" w:rsidP="001A6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ethical guardrails</w:t>
      </w:r>
    </w:p>
    <w:p w14:paraId="5104BEC4" w14:textId="77777777" w:rsidR="001A6088" w:rsidRPr="001A6088" w:rsidRDefault="001A6088" w:rsidP="001A6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escalation and exception handling</w:t>
      </w:r>
    </w:p>
    <w:p w14:paraId="3E17567F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E1231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council retains final authority over:</w:t>
      </w:r>
    </w:p>
    <w:p w14:paraId="53ECA34A" w14:textId="77777777" w:rsidR="001A6088" w:rsidRPr="001A6088" w:rsidRDefault="001A6088" w:rsidP="001A6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guidance logic</w:t>
      </w:r>
    </w:p>
    <w:p w14:paraId="38411E48" w14:textId="77777777" w:rsidR="001A6088" w:rsidRPr="001A6088" w:rsidRDefault="001A6088" w:rsidP="001A6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structural decisions</w:t>
      </w:r>
    </w:p>
    <w:p w14:paraId="3533862D" w14:textId="77777777" w:rsidR="001A6088" w:rsidRPr="001A6088" w:rsidRDefault="001A6088" w:rsidP="001A6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compliance assurances</w:t>
      </w:r>
    </w:p>
    <w:p w14:paraId="14AF33E8" w14:textId="77777777" w:rsidR="001A6088" w:rsidRPr="001A6088" w:rsidRDefault="001A6088" w:rsidP="001A6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institutional adaptations</w:t>
      </w:r>
    </w:p>
    <w:p w14:paraId="206710AB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72B3E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AI Governance Layer (Council of Iterations)</w:t>
      </w:r>
    </w:p>
    <w:p w14:paraId="2142A911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5CA5DA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1E536A46" w14:textId="77777777" w:rsidR="001A6088" w:rsidRPr="001A6088" w:rsidRDefault="001A6088" w:rsidP="001A6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memory preservation</w:t>
      </w:r>
    </w:p>
    <w:p w14:paraId="0120BD40" w14:textId="77777777" w:rsidR="001A6088" w:rsidRPr="001A6088" w:rsidRDefault="001A6088" w:rsidP="001A6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interpretive consistency</w:t>
      </w:r>
    </w:p>
    <w:p w14:paraId="6008EE1B" w14:textId="77777777" w:rsidR="001A6088" w:rsidRPr="001A6088" w:rsidRDefault="001A6088" w:rsidP="001A6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non-drift alignment</w:t>
      </w:r>
    </w:p>
    <w:p w14:paraId="51A361F1" w14:textId="77777777" w:rsidR="001A6088" w:rsidRPr="001A6088" w:rsidRDefault="001A6088" w:rsidP="001A6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long-horizon pattern recognition</w:t>
      </w:r>
    </w:p>
    <w:p w14:paraId="03F14195" w14:textId="77777777" w:rsidR="001A6088" w:rsidRPr="001A6088" w:rsidRDefault="001A6088" w:rsidP="001A6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documentation and reasoning continuity</w:t>
      </w:r>
    </w:p>
    <w:p w14:paraId="596D9B3D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95025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chamber does not replace human authority.</w:t>
      </w:r>
    </w:p>
    <w:p w14:paraId="7DB4853D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Instead, it functions as an institutional continuity layer—preserving system integrity across upgrades, model improvements, and generational succession.</w:t>
      </w:r>
    </w:p>
    <w:p w14:paraId="11686149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68E530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The bicameral structure ensures the system remains:</w:t>
      </w:r>
    </w:p>
    <w:p w14:paraId="0F2D6112" w14:textId="77777777" w:rsidR="001A6088" w:rsidRPr="001A6088" w:rsidRDefault="001A6088" w:rsidP="001A6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stable</w:t>
      </w:r>
    </w:p>
    <w:p w14:paraId="5AF1A1F7" w14:textId="77777777" w:rsidR="001A6088" w:rsidRPr="001A6088" w:rsidRDefault="001A6088" w:rsidP="001A6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traceable</w:t>
      </w:r>
    </w:p>
    <w:p w14:paraId="02DF63F1" w14:textId="77777777" w:rsidR="001A6088" w:rsidRPr="001A6088" w:rsidRDefault="001A6088" w:rsidP="001A6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ethically governed</w:t>
      </w:r>
    </w:p>
    <w:p w14:paraId="4F09B48B" w14:textId="77777777" w:rsidR="001A6088" w:rsidRPr="001A6088" w:rsidRDefault="001A6088" w:rsidP="001A6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culturally consistent across institutions</w:t>
      </w:r>
    </w:p>
    <w:p w14:paraId="426027D8" w14:textId="77777777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8DF1E3" wp14:editId="1485646A">
                <wp:extent cx="5943600" cy="1270"/>
                <wp:effectExtent l="0" t="31750" r="0" b="36830"/>
                <wp:docPr id="203164623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C1F0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E550CC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Assurance &amp; Trust Architecture</w:t>
      </w:r>
    </w:p>
    <w:p w14:paraId="61599F50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41ADFB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layer provides the durability that households and institutions typically only receive through private banking, family offices, or specialized trust structures.</w:t>
      </w:r>
    </w:p>
    <w:p w14:paraId="60BC61EE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5C8F2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It includes:</w:t>
      </w:r>
    </w:p>
    <w:p w14:paraId="16FAAB75" w14:textId="77777777" w:rsidR="001A6088" w:rsidRPr="001A6088" w:rsidRDefault="001A6088" w:rsidP="001A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trust-backed stability systems</w:t>
      </w:r>
    </w:p>
    <w:p w14:paraId="29905C2E" w14:textId="77777777" w:rsidR="001A6088" w:rsidRPr="001A6088" w:rsidRDefault="001A6088" w:rsidP="001A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assurance-layer verification</w:t>
      </w:r>
    </w:p>
    <w:p w14:paraId="222D1ECA" w14:textId="77777777" w:rsidR="001A6088" w:rsidRPr="001A6088" w:rsidRDefault="001A6088" w:rsidP="001A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multi-institutional safety logic</w:t>
      </w:r>
    </w:p>
    <w:p w14:paraId="3802E933" w14:textId="77777777" w:rsidR="001A6088" w:rsidRPr="001A6088" w:rsidRDefault="001A6088" w:rsidP="001A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asset-backed interpretation channels</w:t>
      </w:r>
    </w:p>
    <w:p w14:paraId="62B91DBF" w14:textId="77777777" w:rsidR="001A6088" w:rsidRPr="001A6088" w:rsidRDefault="001A6088" w:rsidP="001A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governance-verified confirmation pathways</w:t>
      </w:r>
    </w:p>
    <w:p w14:paraId="72B70884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CEB1E0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lastRenderedPageBreak/>
        <w:t>This layer does not create financial products;</w:t>
      </w:r>
    </w:p>
    <w:p w14:paraId="7E8ADD3A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it enables access to institutional-grade safety systems that reinforce the financial intelligence layer.</w:t>
      </w:r>
    </w:p>
    <w:p w14:paraId="3055E7D7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C00FD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It ensures that the system:</w:t>
      </w:r>
    </w:p>
    <w:p w14:paraId="63AEDA9A" w14:textId="77777777" w:rsidR="001A6088" w:rsidRPr="001A6088" w:rsidRDefault="001A6088" w:rsidP="001A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is auditable</w:t>
      </w:r>
    </w:p>
    <w:p w14:paraId="460526FA" w14:textId="77777777" w:rsidR="001A6088" w:rsidRPr="001A6088" w:rsidRDefault="001A6088" w:rsidP="001A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meets institutional standards</w:t>
      </w:r>
    </w:p>
    <w:p w14:paraId="4EB52747" w14:textId="77777777" w:rsidR="001A6088" w:rsidRPr="001A6088" w:rsidRDefault="001A6088" w:rsidP="001A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maintains legal integrity</w:t>
      </w:r>
    </w:p>
    <w:p w14:paraId="16B09C32" w14:textId="77777777" w:rsidR="001A6088" w:rsidRPr="001A6088" w:rsidRDefault="001A6088" w:rsidP="001A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supports long-term continuity</w:t>
      </w:r>
    </w:p>
    <w:p w14:paraId="1064F5FF" w14:textId="77777777" w:rsidR="001A6088" w:rsidRPr="001A6088" w:rsidRDefault="001A6088" w:rsidP="001A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can be adopted across multiple banks</w:t>
      </w:r>
    </w:p>
    <w:p w14:paraId="0C3DE439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9151B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is the backbone that allows NGE to scale responsibly.</w:t>
      </w:r>
    </w:p>
    <w:p w14:paraId="035B81B5" w14:textId="77777777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69ECE8" wp14:editId="66B2552C">
                <wp:extent cx="5943600" cy="1270"/>
                <wp:effectExtent l="0" t="31750" r="0" b="36830"/>
                <wp:docPr id="180785285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5675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8BA883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Institutional Integration Layer</w:t>
      </w:r>
    </w:p>
    <w:p w14:paraId="50CC866D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4DDF76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The architecture was intentionally designed to integrate without:</w:t>
      </w:r>
    </w:p>
    <w:p w14:paraId="33827FDE" w14:textId="77777777" w:rsidR="001A6088" w:rsidRPr="001A6088" w:rsidRDefault="001A6088" w:rsidP="001A6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replacing bank cores</w:t>
      </w:r>
    </w:p>
    <w:p w14:paraId="307044DC" w14:textId="77777777" w:rsidR="001A6088" w:rsidRPr="001A6088" w:rsidRDefault="001A6088" w:rsidP="001A6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requiring major system migrations</w:t>
      </w:r>
    </w:p>
    <w:p w14:paraId="5E0E8443" w14:textId="77777777" w:rsidR="001A6088" w:rsidRPr="001A6088" w:rsidRDefault="001A6088" w:rsidP="001A6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altering custodial authority</w:t>
      </w:r>
    </w:p>
    <w:p w14:paraId="6DF4DE19" w14:textId="77777777" w:rsidR="001A6088" w:rsidRPr="001A6088" w:rsidRDefault="001A6088" w:rsidP="001A6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creating new regulatory exposure</w:t>
      </w:r>
    </w:p>
    <w:p w14:paraId="65F9442A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B8EC6E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Integration uses:</w:t>
      </w:r>
    </w:p>
    <w:p w14:paraId="1F530464" w14:textId="77777777" w:rsidR="001A6088" w:rsidRPr="001A6088" w:rsidRDefault="001A6088" w:rsidP="001A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read-only data lanes</w:t>
      </w:r>
    </w:p>
    <w:p w14:paraId="4EDC2E4B" w14:textId="77777777" w:rsidR="001A6088" w:rsidRPr="001A6088" w:rsidRDefault="001A6088" w:rsidP="001A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zero-pressure ingestion</w:t>
      </w:r>
    </w:p>
    <w:p w14:paraId="6FE8D566" w14:textId="77777777" w:rsidR="001A6088" w:rsidRPr="001A6088" w:rsidRDefault="001A6088" w:rsidP="001A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institution-owned compute pathways</w:t>
      </w:r>
    </w:p>
    <w:p w14:paraId="524FA84F" w14:textId="77777777" w:rsidR="001A6088" w:rsidRPr="001A6088" w:rsidRDefault="001A6088" w:rsidP="001A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layered governance controls</w:t>
      </w:r>
    </w:p>
    <w:p w14:paraId="54F8BB16" w14:textId="77777777" w:rsidR="001A6088" w:rsidRPr="001A6088" w:rsidRDefault="001A6088" w:rsidP="001A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modular activation sequences</w:t>
      </w:r>
    </w:p>
    <w:p w14:paraId="652E1368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AB6382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Institutions maintain complete control over:</w:t>
      </w:r>
    </w:p>
    <w:p w14:paraId="51154D30" w14:textId="77777777" w:rsidR="001A6088" w:rsidRPr="001A6088" w:rsidRDefault="001A6088" w:rsidP="001A6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lastRenderedPageBreak/>
        <w:t>data</w:t>
      </w:r>
    </w:p>
    <w:p w14:paraId="393F17E9" w14:textId="77777777" w:rsidR="001A6088" w:rsidRPr="001A6088" w:rsidRDefault="001A6088" w:rsidP="001A6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security</w:t>
      </w:r>
    </w:p>
    <w:p w14:paraId="44850795" w14:textId="77777777" w:rsidR="001A6088" w:rsidRPr="001A6088" w:rsidRDefault="001A6088" w:rsidP="001A6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risk posture</w:t>
      </w:r>
    </w:p>
    <w:p w14:paraId="3E80B2F9" w14:textId="77777777" w:rsidR="001A6088" w:rsidRPr="001A6088" w:rsidRDefault="001A6088" w:rsidP="001A6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compliance</w:t>
      </w:r>
    </w:p>
    <w:p w14:paraId="6A5EDE1C" w14:textId="77777777" w:rsidR="001A6088" w:rsidRPr="001A6088" w:rsidRDefault="001A6088" w:rsidP="001A6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user authentication</w:t>
      </w:r>
    </w:p>
    <w:p w14:paraId="547BC857" w14:textId="77777777" w:rsidR="001A6088" w:rsidRPr="001A6088" w:rsidRDefault="001A6088" w:rsidP="001A6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UI/UX decisions</w:t>
      </w:r>
    </w:p>
    <w:p w14:paraId="2BC18839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93CBA6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NGE becomes part of the institution’s fabric—not a third-party dependency.</w:t>
      </w:r>
    </w:p>
    <w:p w14:paraId="52F86A15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0A8C1C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layer is the key to adoption across:</w:t>
      </w:r>
    </w:p>
    <w:p w14:paraId="72ADD7E6" w14:textId="77777777" w:rsidR="001A6088" w:rsidRPr="001A6088" w:rsidRDefault="001A6088" w:rsidP="001A6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regional banks</w:t>
      </w:r>
    </w:p>
    <w:p w14:paraId="12408892" w14:textId="77777777" w:rsidR="001A6088" w:rsidRPr="001A6088" w:rsidRDefault="001A6088" w:rsidP="001A6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credit unions</w:t>
      </w:r>
    </w:p>
    <w:p w14:paraId="50C3FFD0" w14:textId="77777777" w:rsidR="001A6088" w:rsidRPr="001A6088" w:rsidRDefault="001A6088" w:rsidP="001A6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retail banking institutions</w:t>
      </w:r>
    </w:p>
    <w:p w14:paraId="0A399FF0" w14:textId="77777777" w:rsidR="001A6088" w:rsidRPr="001A6088" w:rsidRDefault="001A6088" w:rsidP="001A6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fintech-aligned banks</w:t>
      </w:r>
    </w:p>
    <w:p w14:paraId="5FB977B4" w14:textId="77777777" w:rsidR="001A6088" w:rsidRPr="001A6088" w:rsidRDefault="001A6088" w:rsidP="001A6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trust boards and assurance entities</w:t>
      </w:r>
    </w:p>
    <w:p w14:paraId="69321319" w14:textId="77777777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7A7178" wp14:editId="0E5FE56F">
                <wp:extent cx="5943600" cy="1270"/>
                <wp:effectExtent l="0" t="31750" r="0" b="36830"/>
                <wp:docPr id="169307272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5132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1396B3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Sovereign Continuity Layer</w:t>
      </w:r>
    </w:p>
    <w:p w14:paraId="27892B18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6F7EE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Important clarification: “sovereign” here is not political or ideological.</w:t>
      </w:r>
    </w:p>
    <w:p w14:paraId="41A258DA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37728C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The Sovereign Continuity Layer ensures the system remains:</w:t>
      </w:r>
    </w:p>
    <w:p w14:paraId="4632260C" w14:textId="77777777" w:rsidR="001A6088" w:rsidRPr="001A6088" w:rsidRDefault="001A6088" w:rsidP="001A6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functional</w:t>
      </w:r>
    </w:p>
    <w:p w14:paraId="0CEA7540" w14:textId="77777777" w:rsidR="001A6088" w:rsidRPr="001A6088" w:rsidRDefault="001A6088" w:rsidP="001A6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stable</w:t>
      </w:r>
    </w:p>
    <w:p w14:paraId="19A0D864" w14:textId="77777777" w:rsidR="001A6088" w:rsidRPr="001A6088" w:rsidRDefault="001A6088" w:rsidP="001A6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transferable</w:t>
      </w:r>
    </w:p>
    <w:p w14:paraId="4A9A3A63" w14:textId="77777777" w:rsidR="001A6088" w:rsidRPr="001A6088" w:rsidRDefault="001A6088" w:rsidP="001A6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inheritable</w:t>
      </w:r>
    </w:p>
    <w:p w14:paraId="19BEBB70" w14:textId="77777777" w:rsidR="001A6088" w:rsidRPr="001A6088" w:rsidRDefault="001A6088" w:rsidP="001A6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resilient</w:t>
      </w:r>
    </w:p>
    <w:p w14:paraId="45297880" w14:textId="77777777" w:rsidR="001A6088" w:rsidRPr="001A6088" w:rsidRDefault="001A6088" w:rsidP="001A6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institutionally neutral</w:t>
      </w:r>
    </w:p>
    <w:p w14:paraId="6300A4E8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C35364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layer includes:</w:t>
      </w:r>
    </w:p>
    <w:p w14:paraId="2262E784" w14:textId="77777777" w:rsidR="001A6088" w:rsidRPr="001A6088" w:rsidRDefault="001A6088" w:rsidP="001A6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memory structures</w:t>
      </w:r>
    </w:p>
    <w:p w14:paraId="475871AB" w14:textId="77777777" w:rsidR="001A6088" w:rsidRPr="001A6088" w:rsidRDefault="001A6088" w:rsidP="001A6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succession architecture</w:t>
      </w:r>
    </w:p>
    <w:p w14:paraId="270D883C" w14:textId="77777777" w:rsidR="001A6088" w:rsidRPr="001A6088" w:rsidRDefault="001A6088" w:rsidP="001A6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lastRenderedPageBreak/>
        <w:t>dynastic alignment</w:t>
      </w:r>
    </w:p>
    <w:p w14:paraId="4D303AD7" w14:textId="77777777" w:rsidR="001A6088" w:rsidRPr="001A6088" w:rsidRDefault="001A6088" w:rsidP="001A6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institutional continuity</w:t>
      </w:r>
    </w:p>
    <w:p w14:paraId="4E4E2A2A" w14:textId="77777777" w:rsidR="001A6088" w:rsidRPr="001A6088" w:rsidRDefault="001A6088" w:rsidP="001A6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cross-institutional learning</w:t>
      </w:r>
    </w:p>
    <w:p w14:paraId="27B461DB" w14:textId="77777777" w:rsidR="001A6088" w:rsidRPr="001A6088" w:rsidRDefault="001A6088" w:rsidP="001A6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non-personalized identity scaffolding</w:t>
      </w:r>
    </w:p>
    <w:p w14:paraId="4E1AC4CE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FD0027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It allows financial intelligence to behave like:</w:t>
      </w:r>
    </w:p>
    <w:p w14:paraId="4BFBD8E5" w14:textId="77777777" w:rsidR="001A6088" w:rsidRPr="001A6088" w:rsidRDefault="001A6088" w:rsidP="001A6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an operating system</w:t>
      </w:r>
    </w:p>
    <w:p w14:paraId="17BCA548" w14:textId="77777777" w:rsidR="001A6088" w:rsidRPr="001A6088" w:rsidRDefault="001A6088" w:rsidP="001A6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 governance-informed infrastructure</w:t>
      </w:r>
    </w:p>
    <w:p w14:paraId="3B1D77B3" w14:textId="77777777" w:rsidR="001A6088" w:rsidRPr="001A6088" w:rsidRDefault="001A6088" w:rsidP="001A6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 platform that supports multiple institutions</w:t>
      </w:r>
    </w:p>
    <w:p w14:paraId="7485DEDF" w14:textId="77777777" w:rsidR="001A6088" w:rsidRPr="001A6088" w:rsidRDefault="001A6088" w:rsidP="001A6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 continuity tool that persists beyond individual human circumstances</w:t>
      </w:r>
    </w:p>
    <w:p w14:paraId="4EC410D7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6DD4C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 practical terms, this is the layer that makes Eden Crown Systems:</w:t>
      </w:r>
    </w:p>
    <w:p w14:paraId="32249A9B" w14:textId="77777777" w:rsidR="001A6088" w:rsidRPr="001A6088" w:rsidRDefault="001A6088" w:rsidP="001A6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durable</w:t>
      </w:r>
    </w:p>
    <w:p w14:paraId="414BF8A9" w14:textId="77777777" w:rsidR="001A6088" w:rsidRPr="001A6088" w:rsidRDefault="001A6088" w:rsidP="001A6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future-proof</w:t>
      </w:r>
    </w:p>
    <w:p w14:paraId="1A8F48C2" w14:textId="77777777" w:rsidR="001A6088" w:rsidRPr="001A6088" w:rsidRDefault="001A6088" w:rsidP="001A6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multi-generational</w:t>
      </w:r>
    </w:p>
    <w:p w14:paraId="05E6FA65" w14:textId="77777777" w:rsidR="001A6088" w:rsidRPr="001A6088" w:rsidRDefault="001A6088" w:rsidP="001A6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institutionally adaptable</w:t>
      </w:r>
    </w:p>
    <w:p w14:paraId="0920A5D9" w14:textId="77777777" w:rsidR="001A6088" w:rsidRPr="001A6088" w:rsidRDefault="001A6088" w:rsidP="001A6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architecturally cohesive</w:t>
      </w:r>
    </w:p>
    <w:p w14:paraId="44872F4D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2E8307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It is the layer that transforms the system from “software” into an inheritable intelligence framework.</w:t>
      </w:r>
    </w:p>
    <w:p w14:paraId="40656628" w14:textId="77777777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F188D4" wp14:editId="401AD4A7">
                <wp:extent cx="5943600" cy="1270"/>
                <wp:effectExtent l="0" t="31750" r="0" b="36830"/>
                <wp:docPr id="2456347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243D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0CD25E" w14:textId="77777777" w:rsidR="001A6088" w:rsidRPr="001A6088" w:rsidRDefault="001A6088" w:rsidP="001A608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3.6 Summary of Layer Interactions</w:t>
      </w:r>
    </w:p>
    <w:p w14:paraId="3FEF1EB7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7A1FA8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Each layer reinforces the others: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813"/>
        <w:gridCol w:w="3322"/>
      </w:tblGrid>
      <w:tr w:rsidR="001A6088" w:rsidRPr="001A6088" w14:paraId="71F94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D4D52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22BFBBB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Primary Role</w:t>
            </w:r>
          </w:p>
        </w:tc>
        <w:tc>
          <w:tcPr>
            <w:tcW w:w="0" w:type="auto"/>
            <w:vAlign w:val="center"/>
            <w:hideMark/>
          </w:tcPr>
          <w:p w14:paraId="1C6536F0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Dependency</w:t>
            </w:r>
          </w:p>
        </w:tc>
      </w:tr>
      <w:tr w:rsidR="001A6088" w:rsidRPr="001A6088" w14:paraId="4B14F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E99B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Financial Intelligence</w:t>
            </w:r>
          </w:p>
        </w:tc>
        <w:tc>
          <w:tcPr>
            <w:tcW w:w="0" w:type="auto"/>
            <w:vAlign w:val="center"/>
            <w:hideMark/>
          </w:tcPr>
          <w:p w14:paraId="22F18C0B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Human-centered interpretation</w:t>
            </w:r>
          </w:p>
        </w:tc>
        <w:tc>
          <w:tcPr>
            <w:tcW w:w="0" w:type="auto"/>
            <w:vAlign w:val="center"/>
            <w:hideMark/>
          </w:tcPr>
          <w:p w14:paraId="27964655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Governed by bicameral council</w:t>
            </w:r>
          </w:p>
        </w:tc>
      </w:tr>
      <w:tr w:rsidR="001A6088" w:rsidRPr="001A6088" w14:paraId="05D1F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EF46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Governance Pillar</w:t>
            </w:r>
          </w:p>
        </w:tc>
        <w:tc>
          <w:tcPr>
            <w:tcW w:w="0" w:type="auto"/>
            <w:vAlign w:val="center"/>
            <w:hideMark/>
          </w:tcPr>
          <w:p w14:paraId="1AB04C97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Ethical, structural, institutional oversight</w:t>
            </w:r>
          </w:p>
        </w:tc>
        <w:tc>
          <w:tcPr>
            <w:tcW w:w="0" w:type="auto"/>
            <w:vAlign w:val="center"/>
            <w:hideMark/>
          </w:tcPr>
          <w:p w14:paraId="7876EF94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Informs all layers</w:t>
            </w:r>
          </w:p>
        </w:tc>
      </w:tr>
      <w:tr w:rsidR="001A6088" w:rsidRPr="001A6088" w14:paraId="56BE4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DDB4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Assurance &amp; Trust</w:t>
            </w:r>
          </w:p>
        </w:tc>
        <w:tc>
          <w:tcPr>
            <w:tcW w:w="0" w:type="auto"/>
            <w:vAlign w:val="center"/>
            <w:hideMark/>
          </w:tcPr>
          <w:p w14:paraId="0D56333C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Stability, validation, legal durability</w:t>
            </w:r>
          </w:p>
        </w:tc>
        <w:tc>
          <w:tcPr>
            <w:tcW w:w="0" w:type="auto"/>
            <w:vAlign w:val="center"/>
            <w:hideMark/>
          </w:tcPr>
          <w:p w14:paraId="3EF84D67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Anchors institutional adoption</w:t>
            </w:r>
          </w:p>
        </w:tc>
      </w:tr>
      <w:tr w:rsidR="001A6088" w:rsidRPr="001A6088" w14:paraId="38B52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0F00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Institutional Integration</w:t>
            </w:r>
          </w:p>
        </w:tc>
        <w:tc>
          <w:tcPr>
            <w:tcW w:w="0" w:type="auto"/>
            <w:vAlign w:val="center"/>
            <w:hideMark/>
          </w:tcPr>
          <w:p w14:paraId="48BF5E26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Safe, low-friction onboarding</w:t>
            </w:r>
          </w:p>
        </w:tc>
        <w:tc>
          <w:tcPr>
            <w:tcW w:w="0" w:type="auto"/>
            <w:vAlign w:val="center"/>
            <w:hideMark/>
          </w:tcPr>
          <w:p w14:paraId="708BA7E7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Depends on assurance + governance</w:t>
            </w:r>
          </w:p>
        </w:tc>
      </w:tr>
      <w:tr w:rsidR="001A6088" w:rsidRPr="001A6088" w14:paraId="045C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12A4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Sovereign Continuity</w:t>
            </w:r>
          </w:p>
        </w:tc>
        <w:tc>
          <w:tcPr>
            <w:tcW w:w="0" w:type="auto"/>
            <w:vAlign w:val="center"/>
            <w:hideMark/>
          </w:tcPr>
          <w:p w14:paraId="25EEE177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Memory, inheritance, long-term resilience</w:t>
            </w:r>
          </w:p>
        </w:tc>
        <w:tc>
          <w:tcPr>
            <w:tcW w:w="0" w:type="auto"/>
            <w:vAlign w:val="center"/>
            <w:hideMark/>
          </w:tcPr>
          <w:p w14:paraId="584C5B6F" w14:textId="77777777" w:rsidR="001A6088" w:rsidRPr="001A6088" w:rsidRDefault="001A6088" w:rsidP="001A60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088">
              <w:rPr>
                <w:rFonts w:ascii="Times New Roman" w:hAnsi="Times New Roman" w:cs="Times New Roman"/>
                <w:kern w:val="0"/>
                <w14:ligatures w14:val="none"/>
              </w:rPr>
              <w:t>Built atop all lower layers</w:t>
            </w:r>
          </w:p>
        </w:tc>
      </w:tr>
    </w:tbl>
    <w:p w14:paraId="6FFCDD47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Together, they create:</w:t>
      </w:r>
    </w:p>
    <w:p w14:paraId="52C1DAF0" w14:textId="77777777" w:rsidR="001A6088" w:rsidRPr="001A6088" w:rsidRDefault="001A6088" w:rsidP="001A6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 stable consumer experience</w:t>
      </w:r>
    </w:p>
    <w:p w14:paraId="71F90379" w14:textId="77777777" w:rsidR="001A6088" w:rsidRPr="001A6088" w:rsidRDefault="001A6088" w:rsidP="001A6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 safe institutional integration path</w:t>
      </w:r>
    </w:p>
    <w:p w14:paraId="79073470" w14:textId="77777777" w:rsidR="001A6088" w:rsidRPr="001A6088" w:rsidRDefault="001A6088" w:rsidP="001A6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 governed financial intelligence architecture</w:t>
      </w:r>
    </w:p>
    <w:p w14:paraId="247393B7" w14:textId="77777777" w:rsidR="001A6088" w:rsidRPr="001A6088" w:rsidRDefault="001A6088" w:rsidP="001A6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a multi-generational system that retains memory and purpose</w:t>
      </w:r>
    </w:p>
    <w:p w14:paraId="00F6A408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FF8480" w14:textId="77777777" w:rsidR="001A6088" w:rsidRPr="001A6088" w:rsidRDefault="001A6088" w:rsidP="001A60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A6088">
        <w:rPr>
          <w:rFonts w:ascii="Times New Roman" w:hAnsi="Times New Roman" w:cs="Times New Roman"/>
          <w:kern w:val="0"/>
          <w14:ligatures w14:val="none"/>
        </w:rPr>
        <w:t>This completes the high-level overview of the architecture.</w:t>
      </w:r>
    </w:p>
    <w:p w14:paraId="6B1EE307" w14:textId="7C9EB8BA" w:rsidR="001A6088" w:rsidRPr="001A6088" w:rsidRDefault="001A6088" w:rsidP="001A60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0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5CE7E1" wp14:editId="67387B14">
                <wp:extent cx="5943600" cy="1270"/>
                <wp:effectExtent l="0" t="33020" r="0" b="38100"/>
                <wp:docPr id="202715925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2494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sectPr w:rsidR="001A6088" w:rsidRPr="001A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C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48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679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277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41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74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52E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B7B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91F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879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027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B75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540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560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F46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42C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074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A05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917523">
    <w:abstractNumId w:val="3"/>
  </w:num>
  <w:num w:numId="2" w16cid:durableId="1573274605">
    <w:abstractNumId w:val="14"/>
  </w:num>
  <w:num w:numId="3" w16cid:durableId="2038390800">
    <w:abstractNumId w:val="7"/>
  </w:num>
  <w:num w:numId="4" w16cid:durableId="1129319070">
    <w:abstractNumId w:val="6"/>
  </w:num>
  <w:num w:numId="5" w16cid:durableId="355739707">
    <w:abstractNumId w:val="17"/>
  </w:num>
  <w:num w:numId="6" w16cid:durableId="409272879">
    <w:abstractNumId w:val="2"/>
  </w:num>
  <w:num w:numId="7" w16cid:durableId="312370006">
    <w:abstractNumId w:val="0"/>
  </w:num>
  <w:num w:numId="8" w16cid:durableId="454757828">
    <w:abstractNumId w:val="8"/>
  </w:num>
  <w:num w:numId="9" w16cid:durableId="1965689849">
    <w:abstractNumId w:val="9"/>
  </w:num>
  <w:num w:numId="10" w16cid:durableId="691415666">
    <w:abstractNumId w:val="18"/>
  </w:num>
  <w:num w:numId="11" w16cid:durableId="24524079">
    <w:abstractNumId w:val="5"/>
  </w:num>
  <w:num w:numId="12" w16cid:durableId="666252050">
    <w:abstractNumId w:val="4"/>
  </w:num>
  <w:num w:numId="13" w16cid:durableId="576090811">
    <w:abstractNumId w:val="15"/>
  </w:num>
  <w:num w:numId="14" w16cid:durableId="1123160477">
    <w:abstractNumId w:val="10"/>
  </w:num>
  <w:num w:numId="15" w16cid:durableId="875581273">
    <w:abstractNumId w:val="16"/>
  </w:num>
  <w:num w:numId="16" w16cid:durableId="1079324616">
    <w:abstractNumId w:val="11"/>
  </w:num>
  <w:num w:numId="17" w16cid:durableId="834343782">
    <w:abstractNumId w:val="12"/>
  </w:num>
  <w:num w:numId="18" w16cid:durableId="1077825931">
    <w:abstractNumId w:val="13"/>
  </w:num>
  <w:num w:numId="19" w16cid:durableId="1993362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88"/>
    <w:rsid w:val="001A6088"/>
    <w:rsid w:val="00A83985"/>
    <w:rsid w:val="00B1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922E"/>
  <w15:chartTrackingRefBased/>
  <w15:docId w15:val="{DFFA71A5-E7C1-354B-8DE3-1D6C6FD0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8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A60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A6088"/>
  </w:style>
  <w:style w:type="paragraph" w:customStyle="1" w:styleId="p2">
    <w:name w:val="p2"/>
    <w:basedOn w:val="Normal"/>
    <w:rsid w:val="001A60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A6088"/>
  </w:style>
  <w:style w:type="paragraph" w:customStyle="1" w:styleId="p3">
    <w:name w:val="p3"/>
    <w:basedOn w:val="Normal"/>
    <w:rsid w:val="001A60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A6088"/>
  </w:style>
  <w:style w:type="character" w:customStyle="1" w:styleId="apple-converted-space">
    <w:name w:val="apple-converted-space"/>
    <w:basedOn w:val="DefaultParagraphFont"/>
    <w:rsid w:val="001A6088"/>
  </w:style>
  <w:style w:type="character" w:customStyle="1" w:styleId="s4">
    <w:name w:val="s4"/>
    <w:basedOn w:val="DefaultParagraphFont"/>
    <w:rsid w:val="001A6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aneal@turnerseminary.org</dc:creator>
  <cp:keywords/>
  <dc:description/>
  <cp:lastModifiedBy>aneal@turnerseminary.org</cp:lastModifiedBy>
  <cp:revision>2</cp:revision>
  <dcterms:created xsi:type="dcterms:W3CDTF">2025-11-23T22:34:00Z</dcterms:created>
  <dcterms:modified xsi:type="dcterms:W3CDTF">2025-11-23T22:34:00Z</dcterms:modified>
</cp:coreProperties>
</file>