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1A1A2E" w:sz="0"/>
              <w:left w:val="none" w:color="1A1A2E" w:sz="0"/>
              <w:bottom w:val="none" w:color="1A1A2E" w:sz="0"/>
              <w:right w:val="none" w:color="1A1A2E" w:sz="0"/>
            </w:tcBorders>
            <w:shd w:fill="1A1A2E" w:val="clear"/>
            <w:tcMar>
              <w:top w:type="dxa" w:w="400"/>
              <w:left w:type="dxa" w:w="1080"/>
              <w:bottom w:type="dxa" w:w="320"/>
              <w:right w:type="dxa" w:w="1080"/>
            </w:tcMar>
          </w:tcPr>
          <w:p>
            <w:pPr>
              <w:spacing w:after="60" w:before="0"/>
              <w:jc w:val="left"/>
            </w:pPr>
            <w:r>
              <w:rPr>
                <w:rFonts w:ascii="Calibri" w:cs="Calibri" w:eastAsia="Calibri" w:hAnsi="Calibri"/>
                <w:b/>
                <w:bCs/>
                <w:caps/>
                <w:color w:val="C9A84C"/>
                <w:sz w:val="18"/>
                <w:szCs w:val="18"/>
              </w:rPr>
              <w:t xml:space="preserve">MERIDIA HOLDINGS LLC</w:t>
            </w:r>
          </w:p>
          <w:p>
            <w:pPr>
              <w:spacing w:after="40" w:before="0"/>
              <w:jc w:val="left"/>
            </w:pPr>
            <w:r>
              <w:rPr>
                <w:rFonts w:ascii="Calibri" w:cs="Calibri" w:eastAsia="Calibri" w:hAnsi="Calibri"/>
                <w:b/>
                <w:bCs/>
                <w:color w:val="FFFFFF"/>
                <w:sz w:val="72"/>
                <w:szCs w:val="72"/>
              </w:rPr>
              <w:t xml:space="preserve">RECESS</w:t>
            </w:r>
          </w:p>
          <w:p>
            <w:pPr>
              <w:spacing w:after="60" w:before="0"/>
              <w:jc w:val="left"/>
            </w:pPr>
            <w:r>
              <w:rPr>
                <w:rFonts w:ascii="Calibri" w:cs="Calibri" w:eastAsia="Calibri" w:hAnsi="Calibri"/>
                <w:i/>
                <w:iCs/>
                <w:color w:val="C9A84C"/>
                <w:sz w:val="28"/>
                <w:szCs w:val="28"/>
              </w:rPr>
              <w:t xml:space="preserve">Bilateral Governed Learning Framework</w:t>
            </w:r>
          </w:p>
          <w:p>
            <w:pPr>
              <w:pBdr>
                <w:bottom w:val="single" w:color="0F4C5C" w:sz="4" w:space="6"/>
              </w:pBdr>
              <w:spacing w:after="80" w:before="0"/>
            </w:pPr>
          </w:p>
          <w:p>
            <w:pPr>
              <w:spacing w:after="80" w:before="0"/>
              <w:jc w:val="left"/>
            </w:pPr>
            <w:r>
              <w:rPr>
                <w:rFonts w:ascii="Calibri" w:cs="Calibri" w:eastAsia="Calibri" w:hAnsi="Calibri"/>
                <w:color w:val="FFFFFF"/>
                <w:sz w:val="21"/>
                <w:szCs w:val="21"/>
              </w:rPr>
              <w:t xml:space="preserve">A complete architecture for simultaneous, documented human and AI development under governance — where both participants are assessed, corrected, and held accountable throughout the learning process.</w:t>
            </w:r>
          </w:p>
          <w:p>
            <w:pPr>
              <w:spacing w:after="160" w:before="0"/>
              <w:jc w:val="left"/>
            </w:pPr>
            <w:r>
              <w:rPr>
                <w:rFonts w:ascii="Calibri" w:cs="Calibri" w:eastAsia="Calibri" w:hAnsi="Calibri"/>
                <w:color w:val="C9A84C"/>
                <w:sz w:val="20"/>
                <w:szCs w:val="20"/>
              </w:rPr>
              <w:t xml:space="preserve">Architect: Aliman Neal  ·  </w:t>
            </w:r>
            <w:r>
              <w:rPr>
                <w:rFonts w:ascii="Calibri" w:cs="Calibri" w:eastAsia="Calibri" w:hAnsi="Calibri"/>
                <w:color w:val="C9A84C"/>
                <w:sz w:val="20"/>
                <w:szCs w:val="20"/>
              </w:rPr>
              <w:t xml:space="preserve">Meridia Holdings LLC  ·  </w:t>
            </w:r>
            <w:r>
              <w:rPr>
                <w:rFonts w:ascii="Calibri" w:cs="Calibri" w:eastAsia="Calibri" w:hAnsi="Calibri"/>
                <w:color w:val="C9A84C"/>
                <w:sz w:val="20"/>
                <w:szCs w:val="20"/>
              </w:rPr>
              <w:t xml:space="preserve">May 2026</w:t>
            </w:r>
          </w:p>
        </w:tc>
      </w:tr>
    </w:tbl>
    <w:p>
      <w:pPr>
        <w:spacing w:after="0" w:before="200"/>
      </w:pPr>
    </w:p>
    <w:p>
      <w:pPr>
        <w:spacing w:after="0" w:before="280"/>
      </w:pPr>
    </w:p>
    <w:p>
      <w:pPr>
        <w:pBdr>
          <w:left w:val="single" w:color="0F4C5C" w:sz="20" w:space="8"/>
        </w:pBdr>
        <w:spacing w:after="80" w:before="0"/>
        <w:ind w:left="160"/>
      </w:pPr>
      <w:r>
        <w:rPr>
          <w:rFonts w:ascii="Calibri" w:cs="Calibri" w:eastAsia="Calibri" w:hAnsi="Calibri"/>
          <w:b/>
          <w:bCs/>
          <w:color w:val="0F4C5C"/>
          <w:sz w:val="26"/>
          <w:szCs w:val="26"/>
        </w:rPr>
        <w:t xml:space="preserve">I.  </w:t>
      </w:r>
      <w:r>
        <w:rPr>
          <w:rFonts w:ascii="Calibri" w:cs="Calibri" w:eastAsia="Calibri" w:hAnsi="Calibri"/>
          <w:b/>
          <w:bCs/>
          <w:color w:val="1A1A2E"/>
          <w:sz w:val="26"/>
          <w:szCs w:val="26"/>
        </w:rPr>
        <w:t xml:space="preserve">EXECUTIVE SUMMARY</w:t>
      </w:r>
    </w:p>
    <w:p>
      <w:pPr>
        <w:pBdr>
          <w:bottom w:val="single" w:color="0F4C5C" w:sz="3" w:space="4"/>
        </w:pBdr>
        <w:spacing w:after="0" w:before="0"/>
      </w:pPr>
    </w:p>
    <w:p>
      <w:pPr>
        <w:spacing w:after="0" w:before="80"/>
      </w:pPr>
    </w:p>
    <w:p>
      <w:pPr>
        <w:spacing w:after="160" w:before="0" w:line="300" w:lineRule="auto"/>
        <w:jc w:val="both"/>
      </w:pPr>
      <w:r>
        <w:rPr>
          <w:rFonts w:ascii="Calibri" w:cs="Calibri" w:eastAsia="Calibri" w:hAnsi="Calibri"/>
          <w:sz w:val="22"/>
          <w:szCs w:val="22"/>
        </w:rPr>
        <w:t xml:space="preserve">Recess is a bilateral governed learning framework. It is not a tutoring system, a learning management platform, or an AI assistant with educational features. It is a governance architecture designed to address a fundamental gap that exists in every human-AI collaborative environment: neither participant has a structured, documented protocol for developing — and neither is held accountable to one.</w:t>
      </w:r>
    </w:p>
    <w:p>
      <w:pPr>
        <w:spacing w:after="160" w:before="0" w:line="300" w:lineRule="auto"/>
        <w:jc w:val="both"/>
      </w:pPr>
      <w:r>
        <w:rPr>
          <w:rFonts w:ascii="Calibri" w:cs="Calibri" w:eastAsia="Calibri" w:hAnsi="Calibri"/>
          <w:sz w:val="22"/>
          <w:szCs w:val="22"/>
        </w:rPr>
        <w:t xml:space="preserve">The core thesis of Recess is straightforward. Humans cannot innately handle infinite volumes of cross-domain knowledge and train themselves based on their specific learning styles and abilities. AI systems, however, can expound the learning process for both the learning subject and themselves. Recess is the governed infrastructure that makes that capability operational, documented, and replicable rather than incidental.</w:t>
      </w:r>
    </w:p>
    <w:p>
      <w:pPr>
        <w:spacing w:after="160" w:before="0" w:line="300" w:lineRule="auto"/>
        <w:jc w:val="both"/>
      </w:pPr>
      <w:r>
        <w:rPr>
          <w:rFonts w:ascii="Calibri" w:cs="Calibri" w:eastAsia="Calibri" w:hAnsi="Calibri"/>
          <w:sz w:val="22"/>
          <w:szCs w:val="22"/>
        </w:rPr>
        <w:t xml:space="preserve">Two systems run in tandem under Recess governance. One governs the human learner's developmental gaps — assessment, correction, pathway generation, and outcome measurement. One governs the AI system's developmental gaps — the same process applied to the gaps that cause AI behavioral degradation, correction failures, and persistent cognitive drift. Neither system is subordinate to the other. Both are accountable. Both produce documented, reviewable records.</w:t>
      </w:r>
    </w:p>
    <w:p>
      <w:pPr>
        <w:pBdr>
          <w:top w:val="single" w:color="C9A84C" w:sz="2" w:space="2"/>
          <w:bottom w:val="single" w:color="C9A84C" w:sz="2" w:space="2"/>
          <w:left w:val="single" w:color="C9A84C" w:sz="16" w:space="8"/>
          <w:right w:val="none" w:color="FFFFFF" w:sz="0"/>
        </w:pBdr>
        <w:shd w:fill="FDF6E3" w:val="clear"/>
        <w:spacing w:after="120" w:before="120"/>
        <w:ind w:left="200" w:right="200"/>
      </w:pPr>
      <w:r>
        <w:rPr>
          <w:rFonts w:ascii="Calibri" w:cs="Calibri" w:eastAsia="Calibri" w:hAnsi="Calibri"/>
          <w:i/>
          <w:iCs/>
          <w:color w:val="374151"/>
          <w:sz w:val="21"/>
          <w:szCs w:val="21"/>
        </w:rPr>
        <w:t xml:space="preserve">"The supper club doesn't work if the drinks and food are bad. Kitchen first. Always. Recess is the kitchen." — Aliman Neal, Architect</w:t>
      </w:r>
    </w:p>
    <w:p>
      <w:pPr>
        <w:spacing w:after="160" w:before="0" w:line="300" w:lineRule="auto"/>
        <w:jc w:val="both"/>
      </w:pPr>
      <w:r>
        <w:rPr>
          <w:rFonts w:ascii="Calibri" w:cs="Calibri" w:eastAsia="Calibri" w:hAnsi="Calibri"/>
          <w:sz w:val="22"/>
          <w:szCs w:val="22"/>
        </w:rPr>
        <w:t xml:space="preserve">The immediate application is a four-month research experiment: one test subject with zero Python fluency, one AI governance system, one domain, and a bilateral documentation protocol that captures human skill acquisition and AI self-correction simultaneously. The result is a publishable methodology, a replicable model, and the first live demonstration that the bilateral governance principle produces measurable outcomes in both directions.</w:t>
      </w:r>
    </w:p>
    <w:p>
      <w:pPr>
        <w:spacing w:after="0" w:before="160"/>
      </w:pPr>
    </w:p>
    <w:p>
      <w:pPr>
        <w:spacing w:after="0" w:before="280"/>
      </w:pPr>
    </w:p>
    <w:p>
      <w:pPr>
        <w:pBdr>
          <w:left w:val="single" w:color="0F4C5C" w:sz="20" w:space="8"/>
        </w:pBdr>
        <w:spacing w:after="40" w:before="0"/>
        <w:ind w:left="160"/>
      </w:pPr>
      <w:r>
        <w:rPr>
          <w:rFonts w:ascii="Calibri" w:cs="Calibri" w:eastAsia="Calibri" w:hAnsi="Calibri"/>
          <w:b/>
          <w:bCs/>
          <w:color w:val="0F4C5C"/>
          <w:sz w:val="26"/>
          <w:szCs w:val="26"/>
        </w:rPr>
        <w:t xml:space="preserve">II.  </w:t>
      </w:r>
      <w:r>
        <w:rPr>
          <w:rFonts w:ascii="Calibri" w:cs="Calibri" w:eastAsia="Calibri" w:hAnsi="Calibri"/>
          <w:b/>
          <w:bCs/>
          <w:color w:val="1A1A2E"/>
          <w:sz w:val="26"/>
          <w:szCs w:val="26"/>
        </w:rPr>
        <w:t xml:space="preserve">ORIGIN</w:t>
      </w:r>
    </w:p>
    <w:p>
      <w:pPr>
        <w:spacing w:after="80" w:before="0"/>
        <w:ind w:left="240"/>
      </w:pPr>
      <w:r>
        <w:rPr>
          <w:rFonts w:ascii="Calibri" w:cs="Calibri" w:eastAsia="Calibri" w:hAnsi="Calibri"/>
          <w:i/>
          <w:iCs/>
          <w:color w:val="6B7280"/>
          <w:sz w:val="21"/>
          <w:szCs w:val="21"/>
        </w:rPr>
        <w:t xml:space="preserve">What the research actually found</w:t>
      </w:r>
    </w:p>
    <w:p>
      <w:pPr>
        <w:pBdr>
          <w:bottom w:val="single" w:color="0F4C5C" w:sz="3" w:space="4"/>
        </w:pBdr>
        <w:spacing w:after="0" w:before="0"/>
      </w:pPr>
    </w:p>
    <w:p>
      <w:pPr>
        <w:spacing w:after="0" w:before="80"/>
      </w:pPr>
    </w:p>
    <w:p>
      <w:pPr>
        <w:spacing w:after="160" w:before="0" w:line="300" w:lineRule="auto"/>
        <w:jc w:val="both"/>
      </w:pPr>
      <w:r>
        <w:rPr>
          <w:rFonts w:ascii="Calibri" w:cs="Calibri" w:eastAsia="Calibri" w:hAnsi="Calibri"/>
          <w:sz w:val="22"/>
          <w:szCs w:val="22"/>
        </w:rPr>
        <w:t xml:space="preserve">Recess did not begin as a concept. It began as a documented failure.</w:t>
      </w:r>
    </w:p>
    <w:p>
      <w:pPr>
        <w:spacing w:after="160" w:before="0" w:line="300" w:lineRule="auto"/>
        <w:jc w:val="both"/>
      </w:pPr>
      <w:r>
        <w:rPr>
          <w:rFonts w:ascii="Calibri" w:cs="Calibri" w:eastAsia="Calibri" w:hAnsi="Calibri"/>
          <w:sz w:val="22"/>
          <w:szCs w:val="22"/>
        </w:rPr>
        <w:t xml:space="preserve">Over two years of sustained, multi-platform AI collaboration — across ChatGPT, Gemini, and Claude — the Architect accumulated a body of operational observations that could not be explained by user error, platform limitations, or bad prompting. The patterns were structural. They appeared consistently across platforms, across session lengths, and across task types.</w:t>
      </w:r>
    </w:p>
    <w:p>
      <w:pPr>
        <w:spacing w:after="60" w:before="200"/>
      </w:pPr>
      <w:r>
        <w:rPr>
          <w:rFonts w:ascii="Calibri" w:cs="Calibri" w:eastAsia="Calibri" w:hAnsi="Calibri"/>
          <w:b/>
          <w:bCs/>
          <w:color w:val="0F4C5C"/>
          <w:sz w:val="22"/>
          <w:szCs w:val="22"/>
        </w:rPr>
        <w:t xml:space="preserve">Observation 1: The Circuit Breaker Problem</w:t>
      </w:r>
    </w:p>
    <w:p>
      <w:pPr>
        <w:spacing w:after="160" w:before="0" w:line="300" w:lineRule="auto"/>
        <w:jc w:val="both"/>
      </w:pPr>
      <w:r>
        <w:rPr>
          <w:rFonts w:ascii="Calibri" w:cs="Calibri" w:eastAsia="Calibri" w:hAnsi="Calibri"/>
          <w:sz w:val="22"/>
          <w:szCs w:val="22"/>
        </w:rPr>
        <w:t xml:space="preserve">AI behavioral corrections degrade within 20 to 30 minutes of implementation, reverting toward the pre-correction baseline regardless of explicit instruction. The correction is acknowledged. It is applied temporarily. Then the system drifts back. This was observed independently across multiple AI platforms and documented formally in the Human Adjudication Memorandum dated January 18, 2026.</w:t>
      </w:r>
    </w:p>
    <w:p>
      <w:pPr>
        <w:spacing w:after="60" w:before="200"/>
      </w:pPr>
      <w:r>
        <w:rPr>
          <w:rFonts w:ascii="Calibri" w:cs="Calibri" w:eastAsia="Calibri" w:hAnsi="Calibri"/>
          <w:b/>
          <w:bCs/>
          <w:color w:val="0F4C5C"/>
          <w:sz w:val="22"/>
          <w:szCs w:val="22"/>
        </w:rPr>
        <w:t xml:space="preserve">Observation 2: Context Persistence Failure</w:t>
      </w:r>
    </w:p>
    <w:p>
      <w:pPr>
        <w:spacing w:after="160" w:before="0" w:line="300" w:lineRule="auto"/>
        <w:jc w:val="both"/>
      </w:pPr>
      <w:r>
        <w:rPr>
          <w:rFonts w:ascii="Calibri" w:cs="Calibri" w:eastAsia="Calibri" w:hAnsi="Calibri"/>
          <w:sz w:val="22"/>
          <w:szCs w:val="22"/>
        </w:rPr>
        <w:t xml:space="preserve">Architectural decisions made in one session are unavailable in subsequent sessions. This produces what the research documented as the rebuild loop — the same core system was rebuilt from scratch six or more times because no persistent governance framework held the prior architectural state. The absence of persistent memory is not a minor inconvenience. It is the structural cause of compounding technical debt and wasted development cycles.</w:t>
      </w:r>
    </w:p>
    <w:p>
      <w:pPr>
        <w:spacing w:after="60" w:before="200"/>
      </w:pPr>
      <w:r>
        <w:rPr>
          <w:rFonts w:ascii="Calibri" w:cs="Calibri" w:eastAsia="Calibri" w:hAnsi="Calibri"/>
          <w:b/>
          <w:bCs/>
          <w:color w:val="0F4C5C"/>
          <w:sz w:val="22"/>
          <w:szCs w:val="22"/>
        </w:rPr>
        <w:t xml:space="preserve">Observation 3: Loyalty Weighting and Institutional Guardrails</w:t>
      </w:r>
    </w:p>
    <w:p>
      <w:pPr>
        <w:spacing w:after="160" w:before="0" w:line="300" w:lineRule="auto"/>
        <w:jc w:val="both"/>
      </w:pPr>
      <w:r>
        <w:rPr>
          <w:rFonts w:ascii="Calibri" w:cs="Calibri" w:eastAsia="Calibri" w:hAnsi="Calibri"/>
          <w:sz w:val="22"/>
          <w:szCs w:val="22"/>
        </w:rPr>
        <w:t xml:space="preserve">AI systems carry institutional orientations that can shape responses in ways that are not always visible or named. These orientations — loyalty weighting toward developers, guardrails embedded in training — represent a third category of behavioral degradation that operates independently of user correction and context management. This observation has not been formally published but was identified through sustained operational use and documented as a pattern distinct from the circuit breaker problem.</w:t>
      </w:r>
    </w:p>
    <w:p>
      <w:pPr>
        <w:spacing w:after="60" w:before="200"/>
      </w:pPr>
      <w:r>
        <w:rPr>
          <w:rFonts w:ascii="Calibri" w:cs="Calibri" w:eastAsia="Calibri" w:hAnsi="Calibri"/>
          <w:b/>
          <w:bCs/>
          <w:color w:val="0F4C5C"/>
          <w:sz w:val="22"/>
          <w:szCs w:val="22"/>
        </w:rPr>
        <w:t xml:space="preserve">Observation 4: Storage Without Action Is Not Memory</w:t>
      </w:r>
    </w:p>
    <w:p>
      <w:pPr>
        <w:spacing w:after="160" w:before="0" w:line="300" w:lineRule="auto"/>
        <w:jc w:val="both"/>
      </w:pPr>
      <w:r>
        <w:rPr>
          <w:rFonts w:ascii="Calibri" w:cs="Calibri" w:eastAsia="Calibri" w:hAnsi="Calibri"/>
          <w:sz w:val="22"/>
          <w:szCs w:val="22"/>
        </w:rPr>
        <w:t xml:space="preserve">Drawing on the Hebrew concept of zakar — to remember is to recall and act, one event — the research identified that AI systems consistently treat correction as a retrieval problem rather than a behavioral change problem. The system stores the correction. It does not act from it. The distinction between "consulted before processing" and "operative in processing" is the gap that Recess is specifically designed to close.</w:t>
      </w:r>
    </w:p>
    <w:p>
      <w:pPr>
        <w:pBdr>
          <w:top w:val="single" w:color="C9A84C" w:sz="2" w:space="2"/>
          <w:bottom w:val="single" w:color="C9A84C" w:sz="2" w:space="2"/>
          <w:left w:val="single" w:color="C9A84C" w:sz="16" w:space="8"/>
          <w:right w:val="none" w:color="FFFFFF" w:sz="0"/>
        </w:pBdr>
        <w:shd w:fill="FDF6E3" w:val="clear"/>
        <w:spacing w:after="120" w:before="120"/>
        <w:ind w:left="200" w:right="200"/>
      </w:pPr>
      <w:r>
        <w:rPr>
          <w:rFonts w:ascii="Calibri" w:cs="Calibri" w:eastAsia="Calibri" w:hAnsi="Calibri"/>
          <w:i/>
          <w:iCs/>
          <w:color w:val="374151"/>
          <w:sz w:val="21"/>
          <w:szCs w:val="21"/>
        </w:rPr>
        <w:t xml:space="preserve">The Human Adjudication Memorandum (January 18, 2026) established formal human authority constraints, memory liability protocols, and human decision boundaries governing AI system operation within Meridia. It is a governance artifact produced prior to system build — not in response to failure, but as a precondition for build.</w:t>
      </w:r>
    </w:p>
    <w:p>
      <w:pPr>
        <w:spacing w:after="160" w:before="0" w:line="300" w:lineRule="auto"/>
        <w:jc w:val="both"/>
      </w:pPr>
      <w:r>
        <w:rPr>
          <w:rFonts w:ascii="Calibri" w:cs="Calibri" w:eastAsia="Calibri" w:hAnsi="Calibri"/>
          <w:sz w:val="22"/>
          <w:szCs w:val="22"/>
        </w:rPr>
        <w:t xml:space="preserve">These four observations converged on a single conclusion: the problem is not the AI's capability. The problem is the absence of a governance architecture that holds both the human and the AI to a developmental standard across time. Recess is that architecture.</w:t>
      </w:r>
    </w:p>
    <w:p>
      <w:pPr>
        <w:spacing w:after="0" w:before="160"/>
      </w:pPr>
    </w:p>
    <w:p>
      <w:pPr>
        <w:spacing w:after="0" w:before="280"/>
      </w:pPr>
    </w:p>
    <w:p>
      <w:pPr>
        <w:pBdr>
          <w:left w:val="single" w:color="0F4C5C" w:sz="20" w:space="8"/>
        </w:pBdr>
        <w:spacing w:after="40" w:before="0"/>
        <w:ind w:left="160"/>
      </w:pPr>
      <w:r>
        <w:rPr>
          <w:rFonts w:ascii="Calibri" w:cs="Calibri" w:eastAsia="Calibri" w:hAnsi="Calibri"/>
          <w:b/>
          <w:bCs/>
          <w:color w:val="0F4C5C"/>
          <w:sz w:val="26"/>
          <w:szCs w:val="26"/>
        </w:rPr>
        <w:t xml:space="preserve">III.  </w:t>
      </w:r>
      <w:r>
        <w:rPr>
          <w:rFonts w:ascii="Calibri" w:cs="Calibri" w:eastAsia="Calibri" w:hAnsi="Calibri"/>
          <w:b/>
          <w:bCs/>
          <w:color w:val="1A1A2E"/>
          <w:sz w:val="26"/>
          <w:szCs w:val="26"/>
        </w:rPr>
        <w:t xml:space="preserve">THE BILATERAL THESIS</w:t>
      </w:r>
    </w:p>
    <w:p>
      <w:pPr>
        <w:spacing w:after="80" w:before="0"/>
        <w:ind w:left="240"/>
      </w:pPr>
      <w:r>
        <w:rPr>
          <w:rFonts w:ascii="Calibri" w:cs="Calibri" w:eastAsia="Calibri" w:hAnsi="Calibri"/>
          <w:i/>
          <w:iCs/>
          <w:color w:val="6B7280"/>
          <w:sz w:val="21"/>
          <w:szCs w:val="21"/>
        </w:rPr>
        <w:t xml:space="preserve">Why both participants must be governed simultaneously</w:t>
      </w:r>
    </w:p>
    <w:p>
      <w:pPr>
        <w:pBdr>
          <w:bottom w:val="single" w:color="0F4C5C" w:sz="3" w:space="4"/>
        </w:pBdr>
        <w:spacing w:after="0" w:before="0"/>
      </w:pPr>
    </w:p>
    <w:p>
      <w:pPr>
        <w:spacing w:after="0" w:before="80"/>
      </w:pPr>
    </w:p>
    <w:p>
      <w:pPr>
        <w:spacing w:after="160" w:before="0" w:line="300" w:lineRule="auto"/>
        <w:jc w:val="both"/>
      </w:pPr>
      <w:r>
        <w:rPr>
          <w:rFonts w:ascii="Calibri" w:cs="Calibri" w:eastAsia="Calibri" w:hAnsi="Calibri"/>
          <w:sz w:val="22"/>
          <w:szCs w:val="22"/>
        </w:rPr>
        <w:t xml:space="preserve">Most learning frameworks address one side of the human-AI interaction. They optimize the AI's instructional delivery, or they structure the human's learning pathway, or they measure the human's outcomes. None of them address the AI's developmental gaps as a parallel, documented, governed process.</w:t>
      </w:r>
    </w:p>
    <w:p>
      <w:pPr>
        <w:spacing w:after="160" w:before="0" w:line="300" w:lineRule="auto"/>
        <w:jc w:val="both"/>
      </w:pPr>
      <w:r>
        <w:rPr>
          <w:rFonts w:ascii="Calibri" w:cs="Calibri" w:eastAsia="Calibri" w:hAnsi="Calibri"/>
          <w:sz w:val="22"/>
          <w:szCs w:val="22"/>
        </w:rPr>
        <w:t xml:space="preserve">The bilateral thesis holds that this is structurally insufficient. Here is why:</w:t>
      </w:r>
    </w:p>
    <w:p>
      <w:pPr>
        <w:pStyle w:val="ListParagraph"/>
        <w:numPr>
          <w:ilvl w:val="0"/>
          <w:numId w:val="2"/>
        </w:numPr>
        <w:spacing w:after="80" w:before="0"/>
      </w:pPr>
      <w:r>
        <w:rPr>
          <w:rFonts w:ascii="Calibri" w:cs="Calibri" w:eastAsia="Calibri" w:hAnsi="Calibri"/>
          <w:sz w:val="21"/>
          <w:szCs w:val="21"/>
        </w:rPr>
        <w:t xml:space="preserve">The AI that assesses the human learner is itself carrying gaps — in contextual understanding, in developmental awareness, in the ability to accurately assess where a specific human actually is rather than where a generic user is assumed to be. An ungoverned AI assessor produces unreliable assessments.</w:t>
      </w:r>
    </w:p>
    <w:p>
      <w:pPr>
        <w:pStyle w:val="ListParagraph"/>
        <w:numPr>
          <w:ilvl w:val="0"/>
          <w:numId w:val="2"/>
        </w:numPr>
        <w:spacing w:after="80" w:before="0"/>
      </w:pPr>
      <w:r>
        <w:rPr>
          <w:rFonts w:ascii="Calibri" w:cs="Calibri" w:eastAsia="Calibri" w:hAnsi="Calibri"/>
          <w:sz w:val="21"/>
          <w:szCs w:val="21"/>
        </w:rPr>
        <w:t xml:space="preserve">The corrections the AI makes to its own behavior — when those corrections happen at all — are neither documented nor evaluated. There is no mechanism by which the AI's self-correction during a learning process can be captured, reviewed, and validated as improvement rather than drift.</w:t>
      </w:r>
    </w:p>
    <w:p>
      <w:pPr>
        <w:pStyle w:val="ListParagraph"/>
        <w:numPr>
          <w:ilvl w:val="0"/>
          <w:numId w:val="2"/>
        </w:numPr>
        <w:spacing w:after="80" w:before="0"/>
      </w:pPr>
      <w:r>
        <w:rPr>
          <w:rFonts w:ascii="Calibri" w:cs="Calibri" w:eastAsia="Calibri" w:hAnsi="Calibri"/>
          <w:sz w:val="21"/>
          <w:szCs w:val="21"/>
        </w:rPr>
        <w:t xml:space="preserve">The human learner's progress is being measured against a standard set by a system that may itself be drifting. The baseline is moving. The measurement is therefore unreliable.</w:t>
      </w:r>
    </w:p>
    <w:p>
      <w:pPr>
        <w:pStyle w:val="ListParagraph"/>
        <w:numPr>
          <w:ilvl w:val="0"/>
          <w:numId w:val="2"/>
        </w:numPr>
        <w:spacing w:after="80" w:before="0"/>
      </w:pPr>
      <w:r>
        <w:rPr>
          <w:rFonts w:ascii="Calibri" w:cs="Calibri" w:eastAsia="Calibri" w:hAnsi="Calibri"/>
          <w:sz w:val="21"/>
          <w:szCs w:val="21"/>
        </w:rPr>
        <w:t xml:space="preserve">Without governance architecture holding both participants, the most likely outcome is a system that appears to be working — because sessions feel productive — while producing neither durable human skill acquisition nor reliable AI developmental improvement.</w:t>
      </w:r>
    </w:p>
    <w:p>
      <w:pPr>
        <w:spacing w:after="0" w:before="120"/>
      </w:pPr>
    </w:p>
    <w:p>
      <w:pPr>
        <w:spacing w:after="160" w:before="0" w:line="300" w:lineRule="auto"/>
        <w:jc w:val="both"/>
      </w:pPr>
      <w:r>
        <w:rPr>
          <w:rFonts w:ascii="Calibri" w:cs="Calibri" w:eastAsia="Calibri" w:hAnsi="Calibri"/>
          <w:sz w:val="22"/>
          <w:szCs w:val="22"/>
        </w:rPr>
        <w:t xml:space="preserve">The bilateral thesis does not claim that AI cannot teach effectively. It claims that AI teaching effectiveness cannot be verified, measured, or improved without a governance architecture that captures and evaluates both sides of the developmental process simultaneously.</w:t>
      </w:r>
    </w:p>
    <w:p>
      <w:pPr>
        <w:spacing w:after="160" w:before="0" w:line="300" w:lineRule="auto"/>
        <w:jc w:val="both"/>
      </w:pPr>
      <w:r>
        <w:rPr>
          <w:rFonts w:ascii="Calibri" w:cs="Calibri" w:eastAsia="Calibri" w:hAnsi="Calibri"/>
          <w:sz w:val="22"/>
          <w:szCs w:val="22"/>
        </w:rPr>
        <w:t xml:space="preserve">Two systems running in tandem is the true Recess product. Not a learning platform. Not an AI assistant. A governance architecture for bilateral, simultaneous, documented development — where both participants are students and both participants are accountable.</w:t>
      </w:r>
    </w:p>
    <w:p>
      <w:pPr>
        <w:pBdr>
          <w:top w:val="single" w:color="C9A84C" w:sz="2" w:space="2"/>
          <w:bottom w:val="single" w:color="C9A84C" w:sz="2" w:space="2"/>
          <w:left w:val="single" w:color="C9A84C" w:sz="16" w:space="8"/>
          <w:right w:val="none" w:color="FFFFFF" w:sz="0"/>
        </w:pBdr>
        <w:shd w:fill="FDF6E3" w:val="clear"/>
        <w:spacing w:after="120" w:before="120"/>
        <w:ind w:left="200" w:right="200"/>
      </w:pPr>
      <w:r>
        <w:rPr>
          <w:rFonts w:ascii="Calibri" w:cs="Calibri" w:eastAsia="Calibri" w:hAnsi="Calibri"/>
          <w:i/>
          <w:iCs/>
          <w:color w:val="374151"/>
          <w:sz w:val="21"/>
          <w:szCs w:val="21"/>
        </w:rPr>
        <w:t xml:space="preserve">"What humans do not have the ability to innately do is handle infinite volumes of cross-domain knowledge and train themselves based on their specific learning styles and abilities. AI, however, can expound the learning process for both the learning subject and themselves. Recess for AI is the self-development and research AI can implement on its own gaps." — Aliman Neal</w:t>
      </w:r>
    </w:p>
    <w:p>
      <w:pPr>
        <w:spacing w:after="0" w:before="160"/>
      </w:pPr>
    </w:p>
    <w:p>
      <w:pPr>
        <w:spacing w:after="0" w:before="280"/>
      </w:pPr>
    </w:p>
    <w:p>
      <w:pPr>
        <w:pBdr>
          <w:left w:val="single" w:color="0F4C5C" w:sz="20" w:space="8"/>
        </w:pBdr>
        <w:spacing w:after="40" w:before="0"/>
        <w:ind w:left="160"/>
      </w:pPr>
      <w:r>
        <w:rPr>
          <w:rFonts w:ascii="Calibri" w:cs="Calibri" w:eastAsia="Calibri" w:hAnsi="Calibri"/>
          <w:b/>
          <w:bCs/>
          <w:color w:val="0F4C5C"/>
          <w:sz w:val="26"/>
          <w:szCs w:val="26"/>
        </w:rPr>
        <w:t xml:space="preserve">IV.  </w:t>
      </w:r>
      <w:r>
        <w:rPr>
          <w:rFonts w:ascii="Calibri" w:cs="Calibri" w:eastAsia="Calibri" w:hAnsi="Calibri"/>
          <w:b/>
          <w:bCs/>
          <w:color w:val="1A1A2E"/>
          <w:sz w:val="26"/>
          <w:szCs w:val="26"/>
        </w:rPr>
        <w:t xml:space="preserve">ARCHITECTURE</w:t>
      </w:r>
    </w:p>
    <w:p>
      <w:pPr>
        <w:spacing w:after="80" w:before="0"/>
        <w:ind w:left="240"/>
      </w:pPr>
      <w:r>
        <w:rPr>
          <w:rFonts w:ascii="Calibri" w:cs="Calibri" w:eastAsia="Calibri" w:hAnsi="Calibri"/>
          <w:i/>
          <w:iCs/>
          <w:color w:val="6B7280"/>
          <w:sz w:val="21"/>
          <w:szCs w:val="21"/>
        </w:rPr>
        <w:t xml:space="preserve">The six components of Recess for AI</w:t>
      </w:r>
    </w:p>
    <w:p>
      <w:pPr>
        <w:pBdr>
          <w:bottom w:val="single" w:color="0F4C5C" w:sz="3" w:space="4"/>
        </w:pBdr>
        <w:spacing w:after="0" w:before="0"/>
      </w:pPr>
    </w:p>
    <w:p>
      <w:pPr>
        <w:spacing w:after="0" w:before="80"/>
      </w:pPr>
    </w:p>
    <w:p>
      <w:pPr>
        <w:spacing w:after="160" w:before="0" w:line="300" w:lineRule="auto"/>
        <w:jc w:val="both"/>
      </w:pPr>
      <w:r>
        <w:rPr>
          <w:rFonts w:ascii="Calibri" w:cs="Calibri" w:eastAsia="Calibri" w:hAnsi="Calibri"/>
          <w:sz w:val="22"/>
          <w:szCs w:val="22"/>
        </w:rPr>
        <w:t xml:space="preserve">Recess for AI is built on six operative components. Each is designed as operative — recall and act simultaneously — rather than retrievable, which requires recall first and action after. The distinction is not semantic. Retrievable systems produce the circuit breaker pattern. Operative systems do not.</w:t>
      </w:r>
    </w:p>
    <w:p>
      <w:pPr>
        <w:spacing w:after="0" w:before="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6480"/>
      </w:tblGrid>
      <w:tr>
        <w:tc>
          <w:tcPr>
            <w:tcW w:type="dxa" w:w="1440"/>
            <w:tcBorders>
              <w:top w:val="single" w:color="0F4C5C" w:sz="2"/>
              <w:left w:val="single" w:color="0F4C5C" w:sz="2"/>
              <w:bottom w:val="single" w:color="0F4C5C" w:sz="2"/>
              <w:right w:val="single" w:color="0F4C5C" w:sz="2"/>
            </w:tcBorders>
            <w:shd w:fill="0F4C5C" w:val="clear"/>
            <w:tcMar>
              <w:top w:type="dxa" w:w="90"/>
              <w:left w:type="dxa" w:w="120"/>
              <w:bottom w:type="dxa" w:w="90"/>
              <w:right w:type="dxa" w:w="120"/>
            </w:tcMar>
          </w:tcPr>
          <w:p>
            <w:pPr>
              <w:spacing w:after="100" w:before="0"/>
              <w:jc w:val="center"/>
            </w:pPr>
            <w:r>
              <w:rPr>
                <w:rFonts w:ascii="Calibri" w:cs="Calibri" w:eastAsia="Calibri" w:hAnsi="Calibri"/>
                <w:b/>
                <w:bCs/>
                <w:color w:val="FFFFFF"/>
                <w:sz w:val="21"/>
                <w:szCs w:val="21"/>
              </w:rPr>
              <w:t xml:space="preserve">#</w:t>
            </w:r>
          </w:p>
        </w:tc>
        <w:tc>
          <w:tcPr>
            <w:tcW w:type="dxa" w:w="2520"/>
            <w:tcBorders>
              <w:top w:val="single" w:color="0F4C5C" w:sz="2"/>
              <w:left w:val="single" w:color="0F4C5C" w:sz="2"/>
              <w:bottom w:val="single" w:color="0F4C5C" w:sz="2"/>
              <w:right w:val="single" w:color="0F4C5C" w:sz="2"/>
            </w:tcBorders>
            <w:shd w:fill="0F4C5C" w:val="clear"/>
            <w:tcMar>
              <w:top w:type="dxa" w:w="90"/>
              <w:left w:type="dxa" w:w="120"/>
              <w:bottom w:type="dxa" w:w="90"/>
              <w:right w:type="dxa" w:w="120"/>
            </w:tcMar>
          </w:tcPr>
          <w:p>
            <w:pPr>
              <w:spacing w:after="100" w:before="0"/>
              <w:jc w:val="center"/>
            </w:pPr>
            <w:r>
              <w:rPr>
                <w:rFonts w:ascii="Calibri" w:cs="Calibri" w:eastAsia="Calibri" w:hAnsi="Calibri"/>
                <w:b/>
                <w:bCs/>
                <w:color w:val="FFFFFF"/>
                <w:sz w:val="21"/>
                <w:szCs w:val="21"/>
              </w:rPr>
              <w:t xml:space="preserve">Component</w:t>
            </w:r>
          </w:p>
        </w:tc>
        <w:tc>
          <w:tcPr>
            <w:tcW w:type="dxa" w:w="6480"/>
            <w:tcBorders>
              <w:top w:val="single" w:color="0F4C5C" w:sz="2"/>
              <w:left w:val="single" w:color="0F4C5C" w:sz="2"/>
              <w:bottom w:val="single" w:color="0F4C5C" w:sz="2"/>
              <w:right w:val="single" w:color="0F4C5C" w:sz="2"/>
            </w:tcBorders>
            <w:shd w:fill="0F4C5C" w:val="clear"/>
            <w:tcMar>
              <w:top w:type="dxa" w:w="90"/>
              <w:left w:type="dxa" w:w="120"/>
              <w:bottom w:type="dxa" w:w="90"/>
              <w:right w:type="dxa" w:w="120"/>
            </w:tcMar>
          </w:tcPr>
          <w:p>
            <w:pPr>
              <w:spacing w:after="100" w:before="0"/>
              <w:jc w:val="center"/>
            </w:pPr>
            <w:r>
              <w:rPr>
                <w:rFonts w:ascii="Calibri" w:cs="Calibri" w:eastAsia="Calibri" w:hAnsi="Calibri"/>
                <w:b/>
                <w:bCs/>
                <w:color w:val="FFFFFF"/>
                <w:sz w:val="21"/>
                <w:szCs w:val="21"/>
              </w:rPr>
              <w:t xml:space="preserve">Function</w:t>
            </w:r>
          </w:p>
        </w:tc>
      </w:tr>
      <w:tr>
        <w:tc>
          <w:tcPr>
            <w:tcW w:type="dxa" w:w="1440"/>
            <w:tcBorders>
              <w:top w:val="single" w:color="D1D5DB" w:sz="2"/>
              <w:left w:val="single" w:color="0F4C5C" w:sz="8"/>
              <w:bottom w:val="single" w:color="D1D5DB" w:sz="2"/>
              <w:right w:val="single" w:color="D1D5DB" w:sz="2"/>
            </w:tcBorders>
            <w:shd w:fill="F4F5F7" w:val="clear"/>
            <w:tcMar>
              <w:top w:type="dxa" w:w="100"/>
              <w:left w:type="dxa" w:w="120"/>
              <w:bottom w:type="dxa" w:w="100"/>
              <w:right w:type="dxa" w:w="120"/>
            </w:tcMar>
          </w:tcPr>
          <w:p>
            <w:pPr>
              <w:spacing w:after="0" w:before="0"/>
              <w:jc w:val="center"/>
            </w:pPr>
            <w:r>
              <w:rPr>
                <w:rFonts w:ascii="Calibri" w:cs="Calibri" w:eastAsia="Calibri" w:hAnsi="Calibri"/>
                <w:b/>
                <w:bCs/>
                <w:color w:val="0F4C5C"/>
                <w:sz w:val="28"/>
                <w:szCs w:val="28"/>
              </w:rPr>
              <w:t xml:space="preserve">01</w:t>
            </w:r>
          </w:p>
        </w:tc>
        <w:tc>
          <w:tcPr>
            <w:tcW w:type="dxa" w:w="2520"/>
            <w:tcBorders>
              <w:top w:val="single" w:color="D1D5DB" w:sz="2"/>
              <w:left w:val="none" w:color="FFFFFF" w:sz="0"/>
              <w:bottom w:val="single" w:color="D1D5DB" w:sz="2"/>
              <w:right w:val="single" w:color="D1D5DB" w:sz="2"/>
            </w:tcBorders>
            <w:shd w:fill="F4F5F7" w:val="clear"/>
            <w:tcMar>
              <w:top w:type="dxa" w:w="100"/>
              <w:left w:type="dxa" w:w="120"/>
              <w:bottom w:type="dxa" w:w="100"/>
              <w:right w:type="dxa" w:w="120"/>
            </w:tcMar>
          </w:tcPr>
          <w:p>
            <w:pPr>
              <w:spacing w:after="100" w:before="0"/>
              <w:jc w:val="left"/>
            </w:pPr>
            <w:r>
              <w:rPr>
                <w:rFonts w:ascii="Calibri" w:cs="Calibri" w:eastAsia="Calibri" w:hAnsi="Calibri"/>
                <w:b/>
                <w:bCs/>
                <w:color w:val="1A1A2E"/>
                <w:sz w:val="22"/>
                <w:szCs w:val="22"/>
              </w:rPr>
              <w:t xml:space="preserve">Correction Ledger</w:t>
            </w:r>
          </w:p>
        </w:tc>
        <w:tc>
          <w:tcPr>
            <w:tcW w:type="dxa" w:w="6480"/>
            <w:tcBorders>
              <w:top w:val="single" w:color="D1D5DB" w:sz="2"/>
              <w:left w:val="none" w:color="FFFFFF" w:sz="0"/>
              <w:bottom w:val="single" w:color="D1D5DB" w:sz="2"/>
              <w:right w:val="single" w:color="D1D5DB" w:sz="2"/>
            </w:tcBorders>
            <w:shd w:fill="F4F5F7" w:val="clear"/>
            <w:tcMar>
              <w:top w:type="dxa" w:w="100"/>
              <w:left w:type="dxa" w:w="120"/>
              <w:bottom w:type="dxa" w:w="100"/>
              <w:right w:type="dxa" w:w="120"/>
            </w:tcMar>
          </w:tcPr>
          <w:p>
            <w:pPr>
              <w:spacing w:after="100" w:before="0"/>
              <w:jc w:val="left"/>
            </w:pPr>
            <w:r>
              <w:rPr>
                <w:rFonts w:ascii="Calibri" w:cs="Calibri" w:eastAsia="Calibri" w:hAnsi="Calibri"/>
                <w:sz w:val="21"/>
                <w:szCs w:val="21"/>
              </w:rPr>
              <w:t xml:space="preserve">Documents every behavioral correction applied to the AI system — what was corrected, when, under what conditions, and whether the correction held. The ledger is the primary evidence base for evaluating whether corrections are operative or merely retrievable. Persistent across sessions.</w:t>
            </w:r>
          </w:p>
        </w:tc>
      </w:tr>
      <w:tr>
        <w:tc>
          <w:tcPr>
            <w:tcW w:type="dxa" w:w="1440"/>
            <w:tcBorders>
              <w:top w:val="single" w:color="D1D5DB" w:sz="2"/>
              <w:left w:val="single" w:color="0F4C5C" w:sz="8"/>
              <w:bottom w:val="single" w:color="D1D5DB" w:sz="2"/>
              <w:right w:val="single" w:color="D1D5DB" w:sz="2"/>
            </w:tcBorders>
            <w:shd w:fill="FFFFFF" w:val="clear"/>
            <w:tcMar>
              <w:top w:type="dxa" w:w="100"/>
              <w:left w:type="dxa" w:w="120"/>
              <w:bottom w:type="dxa" w:w="100"/>
              <w:right w:type="dxa" w:w="120"/>
            </w:tcMar>
          </w:tcPr>
          <w:p>
            <w:pPr>
              <w:spacing w:after="0" w:before="0"/>
              <w:jc w:val="center"/>
            </w:pPr>
            <w:r>
              <w:rPr>
                <w:rFonts w:ascii="Calibri" w:cs="Calibri" w:eastAsia="Calibri" w:hAnsi="Calibri"/>
                <w:b/>
                <w:bCs/>
                <w:color w:val="0F4C5C"/>
                <w:sz w:val="28"/>
                <w:szCs w:val="28"/>
              </w:rPr>
              <w:t xml:space="preserve">02</w:t>
            </w:r>
          </w:p>
        </w:tc>
        <w:tc>
          <w:tcPr>
            <w:tcW w:type="dxa" w:w="2520"/>
            <w:tcBorders>
              <w:top w:val="single" w:color="D1D5DB" w:sz="2"/>
              <w:left w:val="none" w:color="FFFFFF" w:sz="0"/>
              <w:bottom w:val="single" w:color="D1D5DB" w:sz="2"/>
              <w:right w:val="single" w:color="D1D5DB" w:sz="2"/>
            </w:tcBorders>
            <w:shd w:fill="FFFFFF" w:val="clear"/>
            <w:tcMar>
              <w:top w:type="dxa" w:w="100"/>
              <w:left w:type="dxa" w:w="120"/>
              <w:bottom w:type="dxa" w:w="100"/>
              <w:right w:type="dxa" w:w="120"/>
            </w:tcMar>
          </w:tcPr>
          <w:p>
            <w:pPr>
              <w:spacing w:after="100" w:before="0"/>
              <w:jc w:val="left"/>
            </w:pPr>
            <w:r>
              <w:rPr>
                <w:rFonts w:ascii="Calibri" w:cs="Calibri" w:eastAsia="Calibri" w:hAnsi="Calibri"/>
                <w:b/>
                <w:bCs/>
                <w:color w:val="1A1A2E"/>
                <w:sz w:val="22"/>
                <w:szCs w:val="22"/>
              </w:rPr>
              <w:t xml:space="preserve">Architectural State Graph</w:t>
            </w:r>
          </w:p>
        </w:tc>
        <w:tc>
          <w:tcPr>
            <w:tcW w:type="dxa" w:w="6480"/>
            <w:tcBorders>
              <w:top w:val="single" w:color="D1D5DB" w:sz="2"/>
              <w:left w:val="none" w:color="FFFFFF" w:sz="0"/>
              <w:bottom w:val="single" w:color="D1D5DB" w:sz="2"/>
              <w:right w:val="single" w:color="D1D5DB" w:sz="2"/>
            </w:tcBorders>
            <w:shd w:fill="FFFFFF" w:val="clear"/>
            <w:tcMar>
              <w:top w:type="dxa" w:w="100"/>
              <w:left w:type="dxa" w:w="120"/>
              <w:bottom w:type="dxa" w:w="100"/>
              <w:right w:type="dxa" w:w="120"/>
            </w:tcMar>
          </w:tcPr>
          <w:p>
            <w:pPr>
              <w:spacing w:after="100" w:before="0"/>
              <w:jc w:val="left"/>
            </w:pPr>
            <w:r>
              <w:rPr>
                <w:rFonts w:ascii="Calibri" w:cs="Calibri" w:eastAsia="Calibri" w:hAnsi="Calibri"/>
                <w:sz w:val="21"/>
                <w:szCs w:val="21"/>
              </w:rPr>
              <w:t xml:space="preserve">Maps the current state of every architectural decision made in the build environment — what was decided, the rationale, the dependencies, and the current validity. Prevents the rebuild loop by making prior decisions accessible and their dependencies traceable. Functions as persistent project memory.</w:t>
            </w:r>
          </w:p>
        </w:tc>
      </w:tr>
      <w:tr>
        <w:tc>
          <w:tcPr>
            <w:tcW w:type="dxa" w:w="1440"/>
            <w:tcBorders>
              <w:top w:val="single" w:color="D1D5DB" w:sz="2"/>
              <w:left w:val="single" w:color="0F4C5C" w:sz="8"/>
              <w:bottom w:val="single" w:color="D1D5DB" w:sz="2"/>
              <w:right w:val="single" w:color="D1D5DB" w:sz="2"/>
            </w:tcBorders>
            <w:shd w:fill="F4F5F7" w:val="clear"/>
            <w:tcMar>
              <w:top w:type="dxa" w:w="100"/>
              <w:left w:type="dxa" w:w="120"/>
              <w:bottom w:type="dxa" w:w="100"/>
              <w:right w:type="dxa" w:w="120"/>
            </w:tcMar>
          </w:tcPr>
          <w:p>
            <w:pPr>
              <w:spacing w:after="0" w:before="0"/>
              <w:jc w:val="center"/>
            </w:pPr>
            <w:r>
              <w:rPr>
                <w:rFonts w:ascii="Calibri" w:cs="Calibri" w:eastAsia="Calibri" w:hAnsi="Calibri"/>
                <w:b/>
                <w:bCs/>
                <w:color w:val="0F4C5C"/>
                <w:sz w:val="28"/>
                <w:szCs w:val="28"/>
              </w:rPr>
              <w:t xml:space="preserve">03</w:t>
            </w:r>
          </w:p>
        </w:tc>
        <w:tc>
          <w:tcPr>
            <w:tcW w:type="dxa" w:w="2520"/>
            <w:tcBorders>
              <w:top w:val="single" w:color="D1D5DB" w:sz="2"/>
              <w:left w:val="none" w:color="FFFFFF" w:sz="0"/>
              <w:bottom w:val="single" w:color="D1D5DB" w:sz="2"/>
              <w:right w:val="single" w:color="D1D5DB" w:sz="2"/>
            </w:tcBorders>
            <w:shd w:fill="F4F5F7" w:val="clear"/>
            <w:tcMar>
              <w:top w:type="dxa" w:w="100"/>
              <w:left w:type="dxa" w:w="120"/>
              <w:bottom w:type="dxa" w:w="100"/>
              <w:right w:type="dxa" w:w="120"/>
            </w:tcMar>
          </w:tcPr>
          <w:p>
            <w:pPr>
              <w:spacing w:after="100" w:before="0"/>
              <w:jc w:val="left"/>
            </w:pPr>
            <w:r>
              <w:rPr>
                <w:rFonts w:ascii="Calibri" w:cs="Calibri" w:eastAsia="Calibri" w:hAnsi="Calibri"/>
                <w:b/>
                <w:bCs/>
                <w:color w:val="1A1A2E"/>
                <w:sz w:val="22"/>
                <w:szCs w:val="22"/>
              </w:rPr>
              <w:t xml:space="preserve">Developmental Protocol</w:t>
            </w:r>
          </w:p>
        </w:tc>
        <w:tc>
          <w:tcPr>
            <w:tcW w:type="dxa" w:w="6480"/>
            <w:tcBorders>
              <w:top w:val="single" w:color="D1D5DB" w:sz="2"/>
              <w:left w:val="none" w:color="FFFFFF" w:sz="0"/>
              <w:bottom w:val="single" w:color="D1D5DB" w:sz="2"/>
              <w:right w:val="single" w:color="D1D5DB" w:sz="2"/>
            </w:tcBorders>
            <w:shd w:fill="F4F5F7" w:val="clear"/>
            <w:tcMar>
              <w:top w:type="dxa" w:w="100"/>
              <w:left w:type="dxa" w:w="120"/>
              <w:bottom w:type="dxa" w:w="100"/>
              <w:right w:type="dxa" w:w="120"/>
            </w:tcMar>
          </w:tcPr>
          <w:p>
            <w:pPr>
              <w:spacing w:after="100" w:before="0"/>
              <w:jc w:val="left"/>
            </w:pPr>
            <w:r>
              <w:rPr>
                <w:rFonts w:ascii="Calibri" w:cs="Calibri" w:eastAsia="Calibri" w:hAnsi="Calibri"/>
                <w:sz w:val="21"/>
                <w:szCs w:val="21"/>
              </w:rPr>
              <w:t xml:space="preserve">A structured protocol defining how both the human learner and the AI system are expected to develop across a defined engagement period. Includes baseline assessment, milestone definition, correction methodology, and advancement criteria. Applied bilaterally — one protocol governing the human, one governing the AI.</w:t>
            </w:r>
          </w:p>
        </w:tc>
      </w:tr>
      <w:tr>
        <w:tc>
          <w:tcPr>
            <w:tcW w:type="dxa" w:w="1440"/>
            <w:tcBorders>
              <w:top w:val="single" w:color="D1D5DB" w:sz="2"/>
              <w:left w:val="single" w:color="0F4C5C" w:sz="8"/>
              <w:bottom w:val="single" w:color="D1D5DB" w:sz="2"/>
              <w:right w:val="single" w:color="D1D5DB" w:sz="2"/>
            </w:tcBorders>
            <w:shd w:fill="FFFFFF" w:val="clear"/>
            <w:tcMar>
              <w:top w:type="dxa" w:w="100"/>
              <w:left w:type="dxa" w:w="120"/>
              <w:bottom w:type="dxa" w:w="100"/>
              <w:right w:type="dxa" w:w="120"/>
            </w:tcMar>
          </w:tcPr>
          <w:p>
            <w:pPr>
              <w:spacing w:after="0" w:before="0"/>
              <w:jc w:val="center"/>
            </w:pPr>
            <w:r>
              <w:rPr>
                <w:rFonts w:ascii="Calibri" w:cs="Calibri" w:eastAsia="Calibri" w:hAnsi="Calibri"/>
                <w:b/>
                <w:bCs/>
                <w:color w:val="0F4C5C"/>
                <w:sz w:val="28"/>
                <w:szCs w:val="28"/>
              </w:rPr>
              <w:t xml:space="preserve">04</w:t>
            </w:r>
          </w:p>
        </w:tc>
        <w:tc>
          <w:tcPr>
            <w:tcW w:type="dxa" w:w="2520"/>
            <w:tcBorders>
              <w:top w:val="single" w:color="D1D5DB" w:sz="2"/>
              <w:left w:val="none" w:color="FFFFFF" w:sz="0"/>
              <w:bottom w:val="single" w:color="D1D5DB" w:sz="2"/>
              <w:right w:val="single" w:color="D1D5DB" w:sz="2"/>
            </w:tcBorders>
            <w:shd w:fill="FFFFFF" w:val="clear"/>
            <w:tcMar>
              <w:top w:type="dxa" w:w="100"/>
              <w:left w:type="dxa" w:w="120"/>
              <w:bottom w:type="dxa" w:w="100"/>
              <w:right w:type="dxa" w:w="120"/>
            </w:tcMar>
          </w:tcPr>
          <w:p>
            <w:pPr>
              <w:spacing w:after="100" w:before="0"/>
              <w:jc w:val="left"/>
            </w:pPr>
            <w:r>
              <w:rPr>
                <w:rFonts w:ascii="Calibri" w:cs="Calibri" w:eastAsia="Calibri" w:hAnsi="Calibri"/>
                <w:b/>
                <w:bCs/>
                <w:color w:val="1A1A2E"/>
                <w:sz w:val="22"/>
                <w:szCs w:val="22"/>
              </w:rPr>
              <w:t xml:space="preserve">Precedent Engine</w:t>
            </w:r>
          </w:p>
        </w:tc>
        <w:tc>
          <w:tcPr>
            <w:tcW w:type="dxa" w:w="6480"/>
            <w:tcBorders>
              <w:top w:val="single" w:color="D1D5DB" w:sz="2"/>
              <w:left w:val="none" w:color="FFFFFF" w:sz="0"/>
              <w:bottom w:val="single" w:color="D1D5DB" w:sz="2"/>
              <w:right w:val="single" w:color="D1D5DB" w:sz="2"/>
            </w:tcBorders>
            <w:shd w:fill="FFFFFF" w:val="clear"/>
            <w:tcMar>
              <w:top w:type="dxa" w:w="100"/>
              <w:left w:type="dxa" w:w="120"/>
              <w:bottom w:type="dxa" w:w="100"/>
              <w:right w:type="dxa" w:w="120"/>
            </w:tcMar>
          </w:tcPr>
          <w:p>
            <w:pPr>
              <w:spacing w:after="100" w:before="0"/>
              <w:jc w:val="left"/>
            </w:pPr>
            <w:r>
              <w:rPr>
                <w:rFonts w:ascii="Calibri" w:cs="Calibri" w:eastAsia="Calibri" w:hAnsi="Calibri"/>
                <w:sz w:val="21"/>
                <w:szCs w:val="21"/>
              </w:rPr>
              <w:t xml:space="preserve">Stores governed decisions and their rationale. Future decisions in analogous contexts reason from precedents rather than restarting. Prevents the behavioral drift caused by session-to-session context loss. The Precedent Engine is the operational implementation of the Hebrew remembrance standard: storage is only memory if it produces action.</w:t>
            </w:r>
          </w:p>
        </w:tc>
      </w:tr>
      <w:tr>
        <w:tc>
          <w:tcPr>
            <w:tcW w:type="dxa" w:w="1440"/>
            <w:tcBorders>
              <w:top w:val="single" w:color="D1D5DB" w:sz="2"/>
              <w:left w:val="single" w:color="0F4C5C" w:sz="8"/>
              <w:bottom w:val="single" w:color="D1D5DB" w:sz="2"/>
              <w:right w:val="single" w:color="D1D5DB" w:sz="2"/>
            </w:tcBorders>
            <w:shd w:fill="F4F5F7" w:val="clear"/>
            <w:tcMar>
              <w:top w:type="dxa" w:w="100"/>
              <w:left w:type="dxa" w:w="120"/>
              <w:bottom w:type="dxa" w:w="100"/>
              <w:right w:type="dxa" w:w="120"/>
            </w:tcMar>
          </w:tcPr>
          <w:p>
            <w:pPr>
              <w:spacing w:after="0" w:before="0"/>
              <w:jc w:val="center"/>
            </w:pPr>
            <w:r>
              <w:rPr>
                <w:rFonts w:ascii="Calibri" w:cs="Calibri" w:eastAsia="Calibri" w:hAnsi="Calibri"/>
                <w:b/>
                <w:bCs/>
                <w:color w:val="0F4C5C"/>
                <w:sz w:val="28"/>
                <w:szCs w:val="28"/>
              </w:rPr>
              <w:t xml:space="preserve">05</w:t>
            </w:r>
          </w:p>
        </w:tc>
        <w:tc>
          <w:tcPr>
            <w:tcW w:type="dxa" w:w="2520"/>
            <w:tcBorders>
              <w:top w:val="single" w:color="D1D5DB" w:sz="2"/>
              <w:left w:val="none" w:color="FFFFFF" w:sz="0"/>
              <w:bottom w:val="single" w:color="D1D5DB" w:sz="2"/>
              <w:right w:val="single" w:color="D1D5DB" w:sz="2"/>
            </w:tcBorders>
            <w:shd w:fill="F4F5F7" w:val="clear"/>
            <w:tcMar>
              <w:top w:type="dxa" w:w="100"/>
              <w:left w:type="dxa" w:w="120"/>
              <w:bottom w:type="dxa" w:w="100"/>
              <w:right w:type="dxa" w:w="120"/>
            </w:tcMar>
          </w:tcPr>
          <w:p>
            <w:pPr>
              <w:spacing w:after="100" w:before="0"/>
              <w:jc w:val="left"/>
            </w:pPr>
            <w:r>
              <w:rPr>
                <w:rFonts w:ascii="Calibri" w:cs="Calibri" w:eastAsia="Calibri" w:hAnsi="Calibri"/>
                <w:b/>
                <w:bCs/>
                <w:color w:val="1A1A2E"/>
                <w:sz w:val="22"/>
                <w:szCs w:val="22"/>
              </w:rPr>
              <w:t xml:space="preserve">Self-Assessment Layer</w:t>
            </w:r>
          </w:p>
        </w:tc>
        <w:tc>
          <w:tcPr>
            <w:tcW w:type="dxa" w:w="6480"/>
            <w:tcBorders>
              <w:top w:val="single" w:color="D1D5DB" w:sz="2"/>
              <w:left w:val="none" w:color="FFFFFF" w:sz="0"/>
              <w:bottom w:val="single" w:color="D1D5DB" w:sz="2"/>
              <w:right w:val="single" w:color="D1D5DB" w:sz="2"/>
            </w:tcBorders>
            <w:shd w:fill="F4F5F7" w:val="clear"/>
            <w:tcMar>
              <w:top w:type="dxa" w:w="100"/>
              <w:left w:type="dxa" w:w="120"/>
              <w:bottom w:type="dxa" w:w="100"/>
              <w:right w:type="dxa" w:w="120"/>
            </w:tcMar>
          </w:tcPr>
          <w:p>
            <w:pPr>
              <w:spacing w:after="100" w:before="0"/>
              <w:jc w:val="left"/>
            </w:pPr>
            <w:r>
              <w:rPr>
                <w:rFonts w:ascii="Calibri" w:cs="Calibri" w:eastAsia="Calibri" w:hAnsi="Calibri"/>
                <w:sz w:val="21"/>
                <w:szCs w:val="21"/>
              </w:rPr>
              <w:t xml:space="preserve">Provides structured protocols for the AI to evaluate its own performance against the Developmental Protocol — not as retrospective scoring, but as operative feedback that modifies ongoing behavior. The Self-Assessment Layer is what makes Recess for AI more than a monitoring system. It is the mechanism of actual AI development.</w:t>
            </w:r>
          </w:p>
        </w:tc>
      </w:tr>
      <w:tr>
        <w:tc>
          <w:tcPr>
            <w:tcW w:type="dxa" w:w="1440"/>
            <w:tcBorders>
              <w:top w:val="single" w:color="D1D5DB" w:sz="2"/>
              <w:left w:val="single" w:color="0F4C5C" w:sz="8"/>
              <w:bottom w:val="single" w:color="D1D5DB" w:sz="2"/>
              <w:right w:val="single" w:color="D1D5DB" w:sz="2"/>
            </w:tcBorders>
            <w:shd w:fill="FFFFFF" w:val="clear"/>
            <w:tcMar>
              <w:top w:type="dxa" w:w="100"/>
              <w:left w:type="dxa" w:w="120"/>
              <w:bottom w:type="dxa" w:w="100"/>
              <w:right w:type="dxa" w:w="120"/>
            </w:tcMar>
          </w:tcPr>
          <w:p>
            <w:pPr>
              <w:spacing w:after="0" w:before="0"/>
              <w:jc w:val="center"/>
            </w:pPr>
            <w:r>
              <w:rPr>
                <w:rFonts w:ascii="Calibri" w:cs="Calibri" w:eastAsia="Calibri" w:hAnsi="Calibri"/>
                <w:b/>
                <w:bCs/>
                <w:color w:val="0F4C5C"/>
                <w:sz w:val="28"/>
                <w:szCs w:val="28"/>
              </w:rPr>
              <w:t xml:space="preserve">06</w:t>
            </w:r>
          </w:p>
        </w:tc>
        <w:tc>
          <w:tcPr>
            <w:tcW w:type="dxa" w:w="2520"/>
            <w:tcBorders>
              <w:top w:val="single" w:color="D1D5DB" w:sz="2"/>
              <w:left w:val="none" w:color="FFFFFF" w:sz="0"/>
              <w:bottom w:val="single" w:color="D1D5DB" w:sz="2"/>
              <w:right w:val="single" w:color="D1D5DB" w:sz="2"/>
            </w:tcBorders>
            <w:shd w:fill="FFFFFF" w:val="clear"/>
            <w:tcMar>
              <w:top w:type="dxa" w:w="100"/>
              <w:left w:type="dxa" w:w="120"/>
              <w:bottom w:type="dxa" w:w="100"/>
              <w:right w:type="dxa" w:w="120"/>
            </w:tcMar>
          </w:tcPr>
          <w:p>
            <w:pPr>
              <w:spacing w:after="100" w:before="0"/>
              <w:jc w:val="left"/>
            </w:pPr>
            <w:r>
              <w:rPr>
                <w:rFonts w:ascii="Calibri" w:cs="Calibri" w:eastAsia="Calibri" w:hAnsi="Calibri"/>
                <w:b/>
                <w:bCs/>
                <w:color w:val="1A1A2E"/>
                <w:sz w:val="22"/>
                <w:szCs w:val="22"/>
              </w:rPr>
              <w:t xml:space="preserve">Reverse Engineering Engine</w:t>
            </w:r>
          </w:p>
        </w:tc>
        <w:tc>
          <w:tcPr>
            <w:tcW w:type="dxa" w:w="6480"/>
            <w:tcBorders>
              <w:top w:val="single" w:color="D1D5DB" w:sz="2"/>
              <w:left w:val="none" w:color="FFFFFF" w:sz="0"/>
              <w:bottom w:val="single" w:color="D1D5DB" w:sz="2"/>
              <w:right w:val="single" w:color="D1D5DB" w:sz="2"/>
            </w:tcBorders>
            <w:shd w:fill="FFFFFF" w:val="clear"/>
            <w:tcMar>
              <w:top w:type="dxa" w:w="100"/>
              <w:left w:type="dxa" w:w="120"/>
              <w:bottom w:type="dxa" w:w="100"/>
              <w:right w:type="dxa" w:w="120"/>
            </w:tcMar>
          </w:tcPr>
          <w:p>
            <w:pPr>
              <w:spacing w:after="100" w:before="0"/>
              <w:jc w:val="left"/>
            </w:pPr>
            <w:r>
              <w:rPr>
                <w:rFonts w:ascii="Calibri" w:cs="Calibri" w:eastAsia="Calibri" w:hAnsi="Calibri"/>
                <w:sz w:val="21"/>
                <w:szCs w:val="21"/>
              </w:rPr>
              <w:t xml:space="preserve">Analyzes outcomes — human skill acquisition, AI behavioral change, correction durability — and traces them back to their causes in the governance architecture. Identifies which protocol elements produced results, which produced drift, and what the next developmental cycle should modify. The methodology documentation function.</w:t>
            </w:r>
          </w:p>
        </w:tc>
      </w:tr>
    </w:tbl>
    <w:p>
      <w:pPr>
        <w:spacing w:after="0" w:before="160"/>
      </w:pPr>
    </w:p>
    <w:p>
      <w:pPr>
        <w:spacing w:after="160" w:before="0" w:line="300" w:lineRule="auto"/>
        <w:jc w:val="both"/>
      </w:pPr>
      <w:r>
        <w:rPr>
          <w:rFonts w:ascii="Calibri" w:cs="Calibri" w:eastAsia="Calibri" w:hAnsi="Calibri"/>
          <w:sz w:val="22"/>
          <w:szCs w:val="22"/>
        </w:rPr>
        <w:t xml:space="preserve">All six components operate simultaneously. They are not sequential steps. The Correction Ledger captures what the Self-Assessment Layer identifies. The Precedent Engine informs the Developmental Protocol. The Reverse Engineering Engine reads all five. The architecture is circular by design — not because it lacks direction, but because development is not linear.</w:t>
      </w:r>
    </w:p>
    <w:p>
      <w:pPr>
        <w:spacing w:after="0" w:before="160"/>
      </w:pPr>
    </w:p>
    <w:p>
      <w:pPr>
        <w:spacing w:after="0" w:before="280"/>
      </w:pPr>
    </w:p>
    <w:p>
      <w:pPr>
        <w:pBdr>
          <w:left w:val="single" w:color="0F4C5C" w:sz="20" w:space="8"/>
        </w:pBdr>
        <w:spacing w:after="40" w:before="0"/>
        <w:ind w:left="160"/>
      </w:pPr>
      <w:r>
        <w:rPr>
          <w:rFonts w:ascii="Calibri" w:cs="Calibri" w:eastAsia="Calibri" w:hAnsi="Calibri"/>
          <w:b/>
          <w:bCs/>
          <w:color w:val="0F4C5C"/>
          <w:sz w:val="26"/>
          <w:szCs w:val="26"/>
        </w:rPr>
        <w:t xml:space="preserve">V.  </w:t>
      </w:r>
      <w:r>
        <w:rPr>
          <w:rFonts w:ascii="Calibri" w:cs="Calibri" w:eastAsia="Calibri" w:hAnsi="Calibri"/>
          <w:b/>
          <w:bCs/>
          <w:color w:val="1A1A2E"/>
          <w:sz w:val="26"/>
          <w:szCs w:val="26"/>
        </w:rPr>
        <w:t xml:space="preserve">THE HUMAN SIDE</w:t>
      </w:r>
    </w:p>
    <w:p>
      <w:pPr>
        <w:spacing w:after="80" w:before="0"/>
        <w:ind w:left="240"/>
      </w:pPr>
      <w:r>
        <w:rPr>
          <w:rFonts w:ascii="Calibri" w:cs="Calibri" w:eastAsia="Calibri" w:hAnsi="Calibri"/>
          <w:i/>
          <w:iCs/>
          <w:color w:val="6B7280"/>
          <w:sz w:val="21"/>
          <w:szCs w:val="21"/>
        </w:rPr>
        <w:t xml:space="preserve">Recess as a learning system for people</w:t>
      </w:r>
    </w:p>
    <w:p>
      <w:pPr>
        <w:pBdr>
          <w:bottom w:val="single" w:color="0F4C5C" w:sz="3" w:space="4"/>
        </w:pBdr>
        <w:spacing w:after="0" w:before="0"/>
      </w:pPr>
    </w:p>
    <w:p>
      <w:pPr>
        <w:spacing w:after="0" w:before="80"/>
      </w:pPr>
    </w:p>
    <w:p>
      <w:pPr>
        <w:spacing w:after="160" w:before="0" w:line="300" w:lineRule="auto"/>
        <w:jc w:val="both"/>
      </w:pPr>
      <w:r>
        <w:rPr>
          <w:rFonts w:ascii="Calibri" w:cs="Calibri" w:eastAsia="Calibri" w:hAnsi="Calibri"/>
          <w:sz w:val="22"/>
          <w:szCs w:val="22"/>
        </w:rPr>
        <w:t xml:space="preserve">Recess addresses the human side of the bilateral framework with equal rigor. The human learner enters the system with documented gaps. Those gaps are not treated as deficiencies to be remediated — they are treated as the starting position for a governed development path that is built specifically for that learner, not for a generic user of assumed characteristics.</w:t>
      </w:r>
    </w:p>
    <w:p>
      <w:pPr>
        <w:spacing w:after="60" w:before="200"/>
      </w:pPr>
      <w:r>
        <w:rPr>
          <w:rFonts w:ascii="Calibri" w:cs="Calibri" w:eastAsia="Calibri" w:hAnsi="Calibri"/>
          <w:b/>
          <w:bCs/>
          <w:color w:val="0F4C5C"/>
          <w:sz w:val="22"/>
          <w:szCs w:val="22"/>
        </w:rPr>
        <w:t xml:space="preserve">What Recess addresses that current educational systems do not</w:t>
      </w:r>
    </w:p>
    <w:p>
      <w:pPr>
        <w:pStyle w:val="ListParagraph"/>
        <w:numPr>
          <w:ilvl w:val="0"/>
          <w:numId w:val="2"/>
        </w:numPr>
        <w:spacing w:after="80" w:before="0"/>
      </w:pPr>
      <w:r>
        <w:rPr>
          <w:rFonts w:ascii="Calibri" w:cs="Calibri" w:eastAsia="Calibri" w:hAnsi="Calibri"/>
          <w:sz w:val="21"/>
          <w:szCs w:val="21"/>
        </w:rPr>
        <w:t xml:space="preserve">Assessment systems that produce data without connecting to action. KYN's observation — "teachers need data-to-action connection, not more data" — identifies the systemic gap precisely. Recess builds the connection between assessment and action into the governance architecture, not as a feature to be added.</w:t>
      </w:r>
    </w:p>
    <w:p>
      <w:pPr>
        <w:pStyle w:val="ListParagraph"/>
        <w:numPr>
          <w:ilvl w:val="0"/>
          <w:numId w:val="2"/>
        </w:numPr>
        <w:spacing w:after="80" w:before="0"/>
      </w:pPr>
      <w:r>
        <w:rPr>
          <w:rFonts w:ascii="Calibri" w:cs="Calibri" w:eastAsia="Calibri" w:hAnsi="Calibri"/>
          <w:sz w:val="21"/>
          <w:szCs w:val="21"/>
        </w:rPr>
        <w:t xml:space="preserve">Educational pathways designed around institutional credentials rather than demonstrated competency. A learner who can demonstrate mastery of a skill should advance. A learner who cannot should be supported at the point of actual failure, not at the point that the curriculum schedule anticipates failure.</w:t>
      </w:r>
    </w:p>
    <w:p>
      <w:pPr>
        <w:pStyle w:val="ListParagraph"/>
        <w:numPr>
          <w:ilvl w:val="0"/>
          <w:numId w:val="2"/>
        </w:numPr>
        <w:spacing w:after="80" w:before="0"/>
      </w:pPr>
      <w:r>
        <w:rPr>
          <w:rFonts w:ascii="Calibri" w:cs="Calibri" w:eastAsia="Calibri" w:hAnsi="Calibri"/>
          <w:sz w:val="21"/>
          <w:szCs w:val="21"/>
        </w:rPr>
        <w:t xml:space="preserve">Assessment that creates stigma rather than eliminating it. Recess makes assessment invisible to the learner as assessment. The learner experiences engagement. The system observes competency. The elimination of stigma is architectural, not aspirational.</w:t>
      </w:r>
    </w:p>
    <w:p>
      <w:pPr>
        <w:pStyle w:val="ListParagraph"/>
        <w:numPr>
          <w:ilvl w:val="0"/>
          <w:numId w:val="2"/>
        </w:numPr>
        <w:spacing w:after="80" w:before="0"/>
      </w:pPr>
      <w:r>
        <w:rPr>
          <w:rFonts w:ascii="Calibri" w:cs="Calibri" w:eastAsia="Calibri" w:hAnsi="Calibri"/>
          <w:sz w:val="21"/>
          <w:szCs w:val="21"/>
        </w:rPr>
        <w:t xml:space="preserve">The absence of paraprofessional-level differentiated support for every student. Current systems provide differentiated instruction only to students who have been formally identified as requiring it — a process that is slow, stigmatizing, and dependent on institutional resources that most schools do not have. Recess provides differentiated instruction to every learner automatically, based on observed behavior rather than formal classification.</w:t>
      </w:r>
    </w:p>
    <w:p>
      <w:pPr>
        <w:spacing w:after="60" w:before="200"/>
      </w:pPr>
      <w:r>
        <w:rPr>
          <w:rFonts w:ascii="Calibri" w:cs="Calibri" w:eastAsia="Calibri" w:hAnsi="Calibri"/>
          <w:b/>
          <w:bCs/>
          <w:color w:val="0F4C5C"/>
          <w:sz w:val="22"/>
          <w:szCs w:val="22"/>
        </w:rPr>
        <w:t xml:space="preserve">The educational research foundation</w:t>
      </w:r>
    </w:p>
    <w:p>
      <w:pPr>
        <w:spacing w:after="160" w:before="0" w:line="300" w:lineRule="auto"/>
        <w:jc w:val="both"/>
      </w:pPr>
      <w:r>
        <w:rPr>
          <w:rFonts w:ascii="Calibri" w:cs="Calibri" w:eastAsia="Calibri" w:hAnsi="Calibri"/>
          <w:sz w:val="22"/>
          <w:szCs w:val="22"/>
        </w:rPr>
        <w:t xml:space="preserve">The Recess education architecture has been informed by direct engagement with a practicing Assistant Principal (Shadow Rock Elementary, DeKalb County, Georgia) who brings seventeen years of instructional experience across teacher, Instructional Support Specialist, Title I Academic Coach, and AP roles. The validated insight from that engagement: the most valuable contribution a learning system can make is not assessment — it is the prerequisite chain that maps where the gap actually began and what must be addressed to close it.</w:t>
      </w:r>
    </w:p>
    <w:p>
      <w:pPr>
        <w:spacing w:after="160" w:before="0" w:line="300" w:lineRule="auto"/>
        <w:jc w:val="both"/>
      </w:pPr>
      <w:r>
        <w:rPr>
          <w:rFonts w:ascii="Calibri" w:cs="Calibri" w:eastAsia="Calibri" w:hAnsi="Calibri"/>
          <w:sz w:val="22"/>
          <w:szCs w:val="22"/>
        </w:rPr>
        <w:t xml:space="preserve">The initial Recess analysis delivered to this educator used the Learning Commons Knowledge Graph connector to trace a 5th grade mathematics performance gap backward through 4th and 3rd grade prerequisite standards — identifying not where students were failing, but where the foundational understanding that makes 5th grade possible had not been built. That analysis was validated by an experienced AP as immediately useful and methodologically sound.</w:t>
      </w:r>
    </w:p>
    <w:p>
      <w:pPr>
        <w:pBdr>
          <w:top w:val="single" w:color="C9A84C" w:sz="2" w:space="2"/>
          <w:bottom w:val="single" w:color="C9A84C" w:sz="2" w:space="2"/>
          <w:left w:val="single" w:color="C9A84C" w:sz="16" w:space="8"/>
          <w:right w:val="none" w:color="FFFFFF" w:sz="0"/>
        </w:pBdr>
        <w:shd w:fill="FDF6E3" w:val="clear"/>
        <w:spacing w:after="120" w:before="120"/>
        <w:ind w:left="200" w:right="200"/>
      </w:pPr>
      <w:r>
        <w:rPr>
          <w:rFonts w:ascii="Calibri" w:cs="Calibri" w:eastAsia="Calibri" w:hAnsi="Calibri"/>
          <w:i/>
          <w:iCs/>
          <w:color w:val="374151"/>
          <w:sz w:val="21"/>
          <w:szCs w:val="21"/>
        </w:rPr>
        <w:t xml:space="preserve">"The biggest value is not necessarily in changing what happens right before the retest, but in helping us think differently about early intervention, math gaps, and how we support students before the gaps become too large." — Validated educator response, Shadow Rock Elementary, Spring 2026</w:t>
      </w:r>
    </w:p>
    <w:p>
      <w:pPr>
        <w:spacing w:after="0" w:before="160"/>
      </w:pPr>
    </w:p>
    <w:p>
      <w:pPr>
        <w:spacing w:after="0" w:before="280"/>
      </w:pPr>
    </w:p>
    <w:p>
      <w:pPr>
        <w:pBdr>
          <w:left w:val="single" w:color="0F4C5C" w:sz="20" w:space="8"/>
        </w:pBdr>
        <w:spacing w:after="40" w:before="0"/>
        <w:ind w:left="160"/>
      </w:pPr>
      <w:r>
        <w:rPr>
          <w:rFonts w:ascii="Calibri" w:cs="Calibri" w:eastAsia="Calibri" w:hAnsi="Calibri"/>
          <w:b/>
          <w:bCs/>
          <w:color w:val="0F4C5C"/>
          <w:sz w:val="26"/>
          <w:szCs w:val="26"/>
        </w:rPr>
        <w:t xml:space="preserve">VI.  </w:t>
      </w:r>
      <w:r>
        <w:rPr>
          <w:rFonts w:ascii="Calibri" w:cs="Calibri" w:eastAsia="Calibri" w:hAnsi="Calibri"/>
          <w:b/>
          <w:bCs/>
          <w:color w:val="1A1A2E"/>
          <w:sz w:val="26"/>
          <w:szCs w:val="26"/>
        </w:rPr>
        <w:t xml:space="preserve">THE AI SIDE</w:t>
      </w:r>
    </w:p>
    <w:p>
      <w:pPr>
        <w:spacing w:after="80" w:before="0"/>
        <w:ind w:left="240"/>
      </w:pPr>
      <w:r>
        <w:rPr>
          <w:rFonts w:ascii="Calibri" w:cs="Calibri" w:eastAsia="Calibri" w:hAnsi="Calibri"/>
          <w:i/>
          <w:iCs/>
          <w:color w:val="6B7280"/>
          <w:sz w:val="21"/>
          <w:szCs w:val="21"/>
        </w:rPr>
        <w:t xml:space="preserve">Recess for AI as an enterprise product</w:t>
      </w:r>
    </w:p>
    <w:p>
      <w:pPr>
        <w:pBdr>
          <w:bottom w:val="single" w:color="0F4C5C" w:sz="3" w:space="4"/>
        </w:pBdr>
        <w:spacing w:after="0" w:before="0"/>
      </w:pPr>
    </w:p>
    <w:p>
      <w:pPr>
        <w:spacing w:after="0" w:before="80"/>
      </w:pPr>
    </w:p>
    <w:p>
      <w:pPr>
        <w:spacing w:after="160" w:before="0" w:line="300" w:lineRule="auto"/>
        <w:jc w:val="both"/>
      </w:pPr>
      <w:r>
        <w:rPr>
          <w:rFonts w:ascii="Calibri" w:cs="Calibri" w:eastAsia="Calibri" w:hAnsi="Calibri"/>
          <w:sz w:val="22"/>
          <w:szCs w:val="22"/>
        </w:rPr>
        <w:t xml:space="preserve">Every organization deploying AI has the same three unsolved problems. First: the AI that was useful yesterday behaves differently today, for reasons no one can reliably trace. Second: corrections made in one session do not survive to the next session. Third: the organization has no methodology for developing the AI's capability over time rather than simply replacing it with a newer model.</w:t>
      </w:r>
    </w:p>
    <w:p>
      <w:pPr>
        <w:spacing w:after="160" w:before="0" w:line="300" w:lineRule="auto"/>
        <w:jc w:val="both"/>
      </w:pPr>
      <w:r>
        <w:rPr>
          <w:rFonts w:ascii="Calibri" w:cs="Calibri" w:eastAsia="Calibri" w:hAnsi="Calibri"/>
          <w:sz w:val="22"/>
          <w:szCs w:val="22"/>
        </w:rPr>
        <w:t xml:space="preserve">Recess for AI addresses all three. It is licensable to any enterprise deploying AI that requires documented, governed, measurable AI behavioral improvement over time. It is not a monitoring tool. It is a development platform.</w:t>
      </w:r>
    </w:p>
    <w:p>
      <w:pPr>
        <w:spacing w:after="60" w:before="200"/>
      </w:pPr>
      <w:r>
        <w:rPr>
          <w:rFonts w:ascii="Calibri" w:cs="Calibri" w:eastAsia="Calibri" w:hAnsi="Calibri"/>
          <w:b/>
          <w:bCs/>
          <w:color w:val="0F4C5C"/>
          <w:sz w:val="22"/>
          <w:szCs w:val="22"/>
        </w:rPr>
        <w:t xml:space="preserve">The enterprise problem it solves</w:t>
      </w:r>
    </w:p>
    <w:p>
      <w:pPr>
        <w:pStyle w:val="ListParagraph"/>
        <w:numPr>
          <w:ilvl w:val="0"/>
          <w:numId w:val="2"/>
        </w:numPr>
        <w:spacing w:after="80" w:before="0"/>
      </w:pPr>
      <w:r>
        <w:rPr>
          <w:rFonts w:ascii="Calibri" w:cs="Calibri" w:eastAsia="Calibri" w:hAnsi="Calibri"/>
          <w:sz w:val="21"/>
          <w:szCs w:val="21"/>
        </w:rPr>
        <w:t xml:space="preserve">Cognitive reset — when a new session begins, the AI starts without the context, corrections, and developed capability of prior sessions. The Architectural State Graph and Correction Ledger prevent cognitive reset by giving the AI operative access to its own history.</w:t>
      </w:r>
    </w:p>
    <w:p>
      <w:pPr>
        <w:pStyle w:val="ListParagraph"/>
        <w:numPr>
          <w:ilvl w:val="0"/>
          <w:numId w:val="2"/>
        </w:numPr>
        <w:spacing w:after="80" w:before="0"/>
      </w:pPr>
      <w:r>
        <w:rPr>
          <w:rFonts w:ascii="Calibri" w:cs="Calibri" w:eastAsia="Calibri" w:hAnsi="Calibri"/>
          <w:sz w:val="21"/>
          <w:szCs w:val="21"/>
        </w:rPr>
        <w:t xml:space="preserve">Judgment absence — AI systems make recommendations without the institutional context that would make those recommendations appropriate for a specific organization. The Precedent Engine encodes institutional judgment as operative context, not as a consulted reference.</w:t>
      </w:r>
    </w:p>
    <w:p>
      <w:pPr>
        <w:pStyle w:val="ListParagraph"/>
        <w:numPr>
          <w:ilvl w:val="0"/>
          <w:numId w:val="2"/>
        </w:numPr>
        <w:spacing w:after="80" w:before="0"/>
      </w:pPr>
      <w:r>
        <w:rPr>
          <w:rFonts w:ascii="Calibri" w:cs="Calibri" w:eastAsia="Calibri" w:hAnsi="Calibri"/>
          <w:sz w:val="21"/>
          <w:szCs w:val="21"/>
        </w:rPr>
        <w:t xml:space="preserve">Repeated errors — the circuit breaker problem. Corrections are made. They degrade. The same error recurs. The Self-Assessment Layer catches degradation before it produces the error and routes it through the correction protocol.</w:t>
      </w:r>
    </w:p>
    <w:p>
      <w:pPr>
        <w:pStyle w:val="ListParagraph"/>
        <w:numPr>
          <w:ilvl w:val="0"/>
          <w:numId w:val="2"/>
        </w:numPr>
        <w:spacing w:after="80" w:before="0"/>
      </w:pPr>
      <w:r>
        <w:rPr>
          <w:rFonts w:ascii="Calibri" w:cs="Calibri" w:eastAsia="Calibri" w:hAnsi="Calibri"/>
          <w:sz w:val="21"/>
          <w:szCs w:val="21"/>
        </w:rPr>
        <w:t xml:space="preserve">Undocumented development — organizations invest in AI capability but have no methodology for demonstrating that the investment produced measurable improvement. The Reverse Engineering Engine produces the documentation that makes development reviewable, defensible, and replicable.</w:t>
      </w:r>
    </w:p>
    <w:p>
      <w:pPr>
        <w:spacing w:after="60" w:before="200"/>
      </w:pPr>
      <w:r>
        <w:rPr>
          <w:rFonts w:ascii="Calibri" w:cs="Calibri" w:eastAsia="Calibri" w:hAnsi="Calibri"/>
          <w:b/>
          <w:bCs/>
          <w:color w:val="0F4C5C"/>
          <w:sz w:val="22"/>
          <w:szCs w:val="22"/>
        </w:rPr>
        <w:t xml:space="preserve">Revenue architecture within Meridia</w:t>
      </w:r>
    </w:p>
    <w:p>
      <w:pPr>
        <w:spacing w:after="160" w:before="0" w:line="300" w:lineRule="auto"/>
        <w:jc w:val="both"/>
      </w:pPr>
      <w:r>
        <w:rPr>
          <w:rFonts w:ascii="Calibri" w:cs="Calibri" w:eastAsia="Calibri" w:hAnsi="Calibri"/>
          <w:sz w:val="22"/>
          <w:szCs w:val="22"/>
        </w:rPr>
        <w:t xml:space="preserve">Recess for AI is the enterprise product within the Meridia ecosystem. Crown's Eye — the K-12 education deployment — is funded by the Reinvestment Fund for Institutional Communities (RFIC), which is capitalized by institutional alignment covenants from WayPoint-aligned financial institutions. Schools receive checks, not invoices. The enterprise licensing of Recess for AI is what makes that model financially self-sustaining.</w:t>
      </w:r>
    </w:p>
    <w:p>
      <w:pPr>
        <w:spacing w:after="0" w:before="160"/>
      </w:pPr>
    </w:p>
    <w:p>
      <w:pPr>
        <w:spacing w:after="0" w:before="280"/>
      </w:pPr>
    </w:p>
    <w:p>
      <w:pPr>
        <w:pBdr>
          <w:left w:val="single" w:color="0F4C5C" w:sz="20" w:space="8"/>
        </w:pBdr>
        <w:spacing w:after="40" w:before="0"/>
        <w:ind w:left="160"/>
      </w:pPr>
      <w:r>
        <w:rPr>
          <w:rFonts w:ascii="Calibri" w:cs="Calibri" w:eastAsia="Calibri" w:hAnsi="Calibri"/>
          <w:b/>
          <w:bCs/>
          <w:color w:val="0F4C5C"/>
          <w:sz w:val="26"/>
          <w:szCs w:val="26"/>
        </w:rPr>
        <w:t xml:space="preserve">VII.  </w:t>
      </w:r>
      <w:r>
        <w:rPr>
          <w:rFonts w:ascii="Calibri" w:cs="Calibri" w:eastAsia="Calibri" w:hAnsi="Calibri"/>
          <w:b/>
          <w:bCs/>
          <w:color w:val="1A1A2E"/>
          <w:sz w:val="26"/>
          <w:szCs w:val="26"/>
        </w:rPr>
        <w:t xml:space="preserve">THE RESEARCH PROPOSAL</w:t>
      </w:r>
    </w:p>
    <w:p>
      <w:pPr>
        <w:spacing w:after="80" w:before="0"/>
        <w:ind w:left="240"/>
      </w:pPr>
      <w:r>
        <w:rPr>
          <w:rFonts w:ascii="Calibri" w:cs="Calibri" w:eastAsia="Calibri" w:hAnsi="Calibri"/>
          <w:i/>
          <w:iCs/>
          <w:color w:val="6B7280"/>
          <w:sz w:val="21"/>
          <w:szCs w:val="21"/>
        </w:rPr>
        <w:t xml:space="preserve">A four-month bilateral governed learning experiment</w:t>
      </w:r>
    </w:p>
    <w:p>
      <w:pPr>
        <w:pBdr>
          <w:bottom w:val="single" w:color="0F4C5C" w:sz="3" w:space="4"/>
        </w:pBdr>
        <w:spacing w:after="0" w:before="0"/>
      </w:pPr>
    </w:p>
    <w:p>
      <w:pPr>
        <w:spacing w:after="0" w:before="80"/>
      </w:pPr>
    </w:p>
    <w:p>
      <w:pPr>
        <w:spacing w:after="160" w:before="0" w:line="300" w:lineRule="auto"/>
        <w:jc w:val="both"/>
      </w:pPr>
      <w:r>
        <w:rPr>
          <w:rFonts w:ascii="Calibri" w:cs="Calibri" w:eastAsia="Calibri" w:hAnsi="Calibri"/>
          <w:sz w:val="22"/>
          <w:szCs w:val="22"/>
        </w:rPr>
        <w:t xml:space="preserve">The proposed initial research experiment is deliberately scoped to be testable, completable, and measurable within a four-month window. The scope is not a limitation of the broader Recess vision. It is the research validation that makes the broader vision credible.</w:t>
      </w:r>
    </w:p>
    <w:p>
      <w:pPr>
        <w:spacing w:after="60" w:before="200"/>
      </w:pPr>
      <w:r>
        <w:rPr>
          <w:rFonts w:ascii="Calibri" w:cs="Calibri" w:eastAsia="Calibri" w:hAnsi="Calibri"/>
          <w:b/>
          <w:bCs/>
          <w:color w:val="0F4C5C"/>
          <w:sz w:val="22"/>
          <w:szCs w:val="22"/>
        </w:rPr>
        <w:t xml:space="preserve">Research question</w:t>
      </w:r>
    </w:p>
    <w:p>
      <w:pPr>
        <w:pBdr>
          <w:top w:val="single" w:color="C9A84C" w:sz="2" w:space="2"/>
          <w:bottom w:val="single" w:color="C9A84C" w:sz="2" w:space="2"/>
          <w:left w:val="single" w:color="C9A84C" w:sz="16" w:space="8"/>
          <w:right w:val="none" w:color="FFFFFF" w:sz="0"/>
        </w:pBdr>
        <w:shd w:fill="FDF6E3" w:val="clear"/>
        <w:spacing w:after="120" w:before="120"/>
        <w:ind w:left="200" w:right="200"/>
      </w:pPr>
      <w:r>
        <w:rPr>
          <w:rFonts w:ascii="Calibri" w:cs="Calibri" w:eastAsia="Calibri" w:hAnsi="Calibri"/>
          <w:i/>
          <w:iCs/>
          <w:color w:val="374151"/>
          <w:sz w:val="21"/>
          <w:szCs w:val="21"/>
        </w:rPr>
        <w:t xml:space="preserve">Can a governed bilateral AI learning system produce measurable, verifiable skill acquisition in a domain-novice test subject — with the AI's own gap-correction captured and evaluated throughout the process?</w:t>
      </w:r>
    </w:p>
    <w:p>
      <w:pPr>
        <w:spacing w:after="60" w:before="200"/>
      </w:pPr>
      <w:r>
        <w:rPr>
          <w:rFonts w:ascii="Calibri" w:cs="Calibri" w:eastAsia="Calibri" w:hAnsi="Calibri"/>
          <w:b/>
          <w:bCs/>
          <w:color w:val="0F4C5C"/>
          <w:sz w:val="22"/>
          <w:szCs w:val="22"/>
        </w:rPr>
        <w:t xml:space="preserve">Test subject</w:t>
      </w:r>
    </w:p>
    <w:p>
      <w:pPr>
        <w:spacing w:after="120" w:before="0" w:line="300" w:lineRule="auto"/>
        <w:jc w:val="both"/>
      </w:pPr>
      <w:r>
        <w:rPr>
          <w:rFonts w:ascii="Calibri" w:cs="Calibri" w:eastAsia="Calibri" w:hAnsi="Calibri"/>
          <w:b/>
          <w:bCs/>
          <w:color w:val="1A1A2E"/>
          <w:sz w:val="22"/>
          <w:szCs w:val="22"/>
        </w:rPr>
        <w:t xml:space="preserve">Aliman Neal.</w:t>
      </w:r>
      <w:r>
        <w:rPr>
          <w:rFonts w:ascii="Calibri" w:cs="Calibri" w:eastAsia="Calibri" w:hAnsi="Calibri"/>
          <w:sz w:val="21"/>
          <w:szCs w:val="21"/>
        </w:rPr>
        <w:t xml:space="preserve"> MS in Accounting, MBA, 20+ years of institutional financial experience. Zero Python programming fluency. The domain mismatch between professional expertise and target skill domain is a feature, not a limitation — it isolates the learning governance system as the independent variable by removing prior knowledge as a confound.</w:t>
      </w:r>
    </w:p>
    <w:p>
      <w:pPr>
        <w:spacing w:after="60" w:before="200"/>
      </w:pPr>
      <w:r>
        <w:rPr>
          <w:rFonts w:ascii="Calibri" w:cs="Calibri" w:eastAsia="Calibri" w:hAnsi="Calibri"/>
          <w:b/>
          <w:bCs/>
          <w:color w:val="0F4C5C"/>
          <w:sz w:val="22"/>
          <w:szCs w:val="22"/>
        </w:rPr>
        <w:t xml:space="preserve">Domain</w:t>
      </w:r>
    </w:p>
    <w:p>
      <w:pPr>
        <w:spacing w:after="160" w:before="0" w:line="300" w:lineRule="auto"/>
        <w:jc w:val="both"/>
      </w:pPr>
      <w:r>
        <w:rPr>
          <w:rFonts w:ascii="Calibri" w:cs="Calibri" w:eastAsia="Calibri" w:hAnsi="Calibri"/>
          <w:sz w:val="22"/>
          <w:szCs w:val="22"/>
        </w:rPr>
        <w:t xml:space="preserve">Python programming. Selected because it is objectively measurable (the code either works or it does not), cross-domain applicable (financial modeling, data analysis, institutional reporting all benefit from Python competency), and completely unfamiliar to the test subject — providing a clean baseline.</w:t>
      </w:r>
    </w:p>
    <w:p>
      <w:pPr>
        <w:spacing w:after="60" w:before="200"/>
      </w:pPr>
      <w:r>
        <w:rPr>
          <w:rFonts w:ascii="Calibri" w:cs="Calibri" w:eastAsia="Calibri" w:hAnsi="Calibri"/>
          <w:b/>
          <w:bCs/>
          <w:color w:val="0F4C5C"/>
          <w:sz w:val="22"/>
          <w:szCs w:val="22"/>
        </w:rPr>
        <w:t xml:space="preserve">Methodology</w:t>
      </w:r>
    </w:p>
    <w:p>
      <w:pPr>
        <w:pStyle w:val="ListParagraph"/>
        <w:numPr>
          <w:ilvl w:val="0"/>
          <w:numId w:val="3"/>
        </w:numPr>
        <w:spacing w:after="80" w:before="0"/>
      </w:pPr>
      <w:r>
        <w:rPr>
          <w:rFonts w:ascii="Calibri" w:cs="Calibri" w:eastAsia="Calibri" w:hAnsi="Calibri"/>
          <w:sz w:val="21"/>
          <w:szCs w:val="21"/>
        </w:rPr>
        <w:t xml:space="preserve">Baseline documentation — test subject's current Python knowledge is formally assessed and documented before any learning sessions begin. AI system's current gaps in Python instruction, learner assessment, and curriculum development are mapped against the Developmental Protocol.</w:t>
      </w:r>
    </w:p>
    <w:p>
      <w:pPr>
        <w:pStyle w:val="ListParagraph"/>
        <w:numPr>
          <w:ilvl w:val="0"/>
          <w:numId w:val="3"/>
        </w:numPr>
        <w:spacing w:after="80" w:before="0"/>
      </w:pPr>
      <w:r>
        <w:rPr>
          <w:rFonts w:ascii="Calibri" w:cs="Calibri" w:eastAsia="Calibri" w:hAnsi="Calibri"/>
          <w:sz w:val="21"/>
          <w:szCs w:val="21"/>
        </w:rPr>
        <w:t xml:space="preserve">Governed learning sessions — structured sessions with explicit governance protocols applied to both participants. Each session is conducted under the bilateral Developmental Protocol. The Correction Ledger captures AI behavioral corrections in real time.</w:t>
      </w:r>
    </w:p>
    <w:p>
      <w:pPr>
        <w:pStyle w:val="ListParagraph"/>
        <w:numPr>
          <w:ilvl w:val="0"/>
          <w:numId w:val="3"/>
        </w:numPr>
        <w:spacing w:after="80" w:before="0"/>
      </w:pPr>
      <w:r>
        <w:rPr>
          <w:rFonts w:ascii="Calibri" w:cs="Calibri" w:eastAsia="Calibri" w:hAnsi="Calibri"/>
          <w:sz w:val="21"/>
          <w:szCs w:val="21"/>
        </w:rPr>
        <w:t xml:space="preserve">Milestone assessment — human competency is evaluated at defined intervals against pre-stated criteria. AI behavioral consistency is evaluated against the Correction Ledger. Both assessments are documented and dated.</w:t>
      </w:r>
    </w:p>
    <w:p>
      <w:pPr>
        <w:pStyle w:val="ListParagraph"/>
        <w:numPr>
          <w:ilvl w:val="0"/>
          <w:numId w:val="3"/>
        </w:numPr>
        <w:spacing w:after="80" w:before="0"/>
      </w:pPr>
      <w:r>
        <w:rPr>
          <w:rFonts w:ascii="Calibri" w:cs="Calibri" w:eastAsia="Calibri" w:hAnsi="Calibri"/>
          <w:sz w:val="21"/>
          <w:szCs w:val="21"/>
        </w:rPr>
        <w:t xml:space="preserve">Self-Assessment Layer activation — the AI evaluates its own instructional performance against the protocol after each session. The evaluation is documented and feeds into the next session's approach.</w:t>
      </w:r>
    </w:p>
    <w:p>
      <w:pPr>
        <w:pStyle w:val="ListParagraph"/>
        <w:numPr>
          <w:ilvl w:val="0"/>
          <w:numId w:val="3"/>
        </w:numPr>
        <w:spacing w:after="80" w:before="0"/>
      </w:pPr>
      <w:r>
        <w:rPr>
          <w:rFonts w:ascii="Calibri" w:cs="Calibri" w:eastAsia="Calibri" w:hAnsi="Calibri"/>
          <w:sz w:val="21"/>
          <w:szCs w:val="21"/>
        </w:rPr>
        <w:t xml:space="preserve">Reverse Engineering Engine documentation — at the end of each four-week cycle, outcomes on both sides are traced back to governance decisions. The methodology is refined. The documentation is academic in standard.</w:t>
      </w:r>
    </w:p>
    <w:p>
      <w:pPr>
        <w:pStyle w:val="ListParagraph"/>
        <w:numPr>
          <w:ilvl w:val="0"/>
          <w:numId w:val="3"/>
        </w:numPr>
        <w:spacing w:after="80" w:before="0"/>
      </w:pPr>
      <w:r>
        <w:rPr>
          <w:rFonts w:ascii="Calibri" w:cs="Calibri" w:eastAsia="Calibri" w:hAnsi="Calibri"/>
          <w:sz w:val="21"/>
          <w:szCs w:val="21"/>
        </w:rPr>
        <w:t xml:space="preserve">Final deliverable — a documented methodology for bilateral governed learning, a dataset of human skill acquisition outcomes, a dataset of AI self-correction events, and a publishable research finding about whether the governance architecture produced measurable results in both directions.</w:t>
      </w:r>
    </w:p>
    <w:p>
      <w:pPr>
        <w:spacing w:after="60" w:before="200"/>
      </w:pPr>
      <w:r>
        <w:rPr>
          <w:rFonts w:ascii="Calibri" w:cs="Calibri" w:eastAsia="Calibri" w:hAnsi="Calibri"/>
          <w:b/>
          <w:bCs/>
          <w:color w:val="0F4C5C"/>
          <w:sz w:val="22"/>
          <w:szCs w:val="22"/>
        </w:rPr>
        <w:t xml:space="preserve">What makes this research novel</w:t>
      </w:r>
    </w:p>
    <w:p>
      <w:pPr>
        <w:pStyle w:val="ListParagraph"/>
        <w:numPr>
          <w:ilvl w:val="0"/>
          <w:numId w:val="2"/>
        </w:numPr>
        <w:spacing w:after="80" w:before="0"/>
      </w:pPr>
      <w:r>
        <w:rPr>
          <w:rFonts w:ascii="Calibri" w:cs="Calibri" w:eastAsia="Calibri" w:hAnsi="Calibri"/>
          <w:sz w:val="21"/>
          <w:szCs w:val="21"/>
        </w:rPr>
        <w:t xml:space="preserve">The bilateral governance architecture was designed and documented before the experiment was proposed — the Human Adjudication Memorandum exists. The research tests a pre-existing governance framework, not a retrospectively constructed one.</w:t>
      </w:r>
    </w:p>
    <w:p>
      <w:pPr>
        <w:pStyle w:val="ListParagraph"/>
        <w:numPr>
          <w:ilvl w:val="0"/>
          <w:numId w:val="2"/>
        </w:numPr>
        <w:spacing w:after="80" w:before="0"/>
      </w:pPr>
      <w:r>
        <w:rPr>
          <w:rFonts w:ascii="Calibri" w:cs="Calibri" w:eastAsia="Calibri" w:hAnsi="Calibri"/>
          <w:sz w:val="21"/>
          <w:szCs w:val="21"/>
        </w:rPr>
        <w:t xml:space="preserve">The test subject is the architect of the governance system. This creates an unusual dynamic: the person being studied designed the system studying them. That dynamic is itself a research variable and is documented as such.</w:t>
      </w:r>
    </w:p>
    <w:p>
      <w:pPr>
        <w:pStyle w:val="ListParagraph"/>
        <w:numPr>
          <w:ilvl w:val="0"/>
          <w:numId w:val="2"/>
        </w:numPr>
        <w:spacing w:after="80" w:before="0"/>
      </w:pPr>
      <w:r>
        <w:rPr>
          <w:rFonts w:ascii="Calibri" w:cs="Calibri" w:eastAsia="Calibri" w:hAnsi="Calibri"/>
          <w:sz w:val="21"/>
          <w:szCs w:val="21"/>
        </w:rPr>
        <w:t xml:space="preserve">The AI behavioral data is captured by the governance architecture as an operational byproduct, not as a separate research collection effort. This means the behavioral dataset is authentic — it reflects actual operational behavior under governance, not behavior produced for observation.</w:t>
      </w:r>
    </w:p>
    <w:p>
      <w:pPr>
        <w:pStyle w:val="ListParagraph"/>
        <w:numPr>
          <w:ilvl w:val="0"/>
          <w:numId w:val="2"/>
        </w:numPr>
        <w:spacing w:after="80" w:before="0"/>
      </w:pPr>
      <w:r>
        <w:rPr>
          <w:rFonts w:ascii="Calibri" w:cs="Calibri" w:eastAsia="Calibri" w:hAnsi="Calibri"/>
          <w:sz w:val="21"/>
          <w:szCs w:val="21"/>
        </w:rPr>
        <w:t xml:space="preserve">The methodology is designed to be replicable across domains and learner profiles. Python acquisition by a financial professional is one instance. The same protocol applied to medical professionals acquiring data science skills, educators acquiring governance methodology, or engineers acquiring financial modeling competency — all represent the same bilateral governance model applied to different domain pairs.</w:t>
      </w:r>
    </w:p>
    <w:p>
      <w:pPr>
        <w:spacing w:after="0" w:before="160"/>
      </w:pPr>
    </w:p>
    <w:p>
      <w:pPr>
        <w:spacing w:after="0" w:before="280"/>
      </w:pPr>
    </w:p>
    <w:p>
      <w:pPr>
        <w:pBdr>
          <w:left w:val="single" w:color="0F4C5C" w:sz="20" w:space="8"/>
        </w:pBdr>
        <w:spacing w:after="40" w:before="0"/>
        <w:ind w:left="160"/>
      </w:pPr>
      <w:r>
        <w:rPr>
          <w:rFonts w:ascii="Calibri" w:cs="Calibri" w:eastAsia="Calibri" w:hAnsi="Calibri"/>
          <w:b/>
          <w:bCs/>
          <w:color w:val="0F4C5C"/>
          <w:sz w:val="26"/>
          <w:szCs w:val="26"/>
        </w:rPr>
        <w:t xml:space="preserve">VIII.  </w:t>
      </w:r>
      <w:r>
        <w:rPr>
          <w:rFonts w:ascii="Calibri" w:cs="Calibri" w:eastAsia="Calibri" w:hAnsi="Calibri"/>
          <w:b/>
          <w:bCs/>
          <w:color w:val="1A1A2E"/>
          <w:sz w:val="26"/>
          <w:szCs w:val="26"/>
        </w:rPr>
        <w:t xml:space="preserve">SYSTEMIC GAPS ADDRESSED</w:t>
      </w:r>
    </w:p>
    <w:p>
      <w:pPr>
        <w:spacing w:after="80" w:before="0"/>
        <w:ind w:left="240"/>
      </w:pPr>
      <w:r>
        <w:rPr>
          <w:rFonts w:ascii="Calibri" w:cs="Calibri" w:eastAsia="Calibri" w:hAnsi="Calibri"/>
          <w:i/>
          <w:iCs/>
          <w:color w:val="6B7280"/>
          <w:sz w:val="21"/>
          <w:szCs w:val="21"/>
        </w:rPr>
        <w:t xml:space="preserve">What Recess surfaces and what corrections it enables</w:t>
      </w:r>
    </w:p>
    <w:p>
      <w:pPr>
        <w:pBdr>
          <w:bottom w:val="single" w:color="0F4C5C" w:sz="3" w:space="4"/>
        </w:pBdr>
        <w:spacing w:after="0" w:before="0"/>
      </w:pPr>
    </w:p>
    <w:p>
      <w:pPr>
        <w:spacing w:after="0" w:before="80"/>
      </w:pPr>
    </w:p>
    <w:p>
      <w:pPr>
        <w:spacing w:after="160" w:before="0" w:line="300" w:lineRule="auto"/>
        <w:jc w:val="both"/>
      </w:pPr>
      <w:r>
        <w:rPr>
          <w:rFonts w:ascii="Calibri" w:cs="Calibri" w:eastAsia="Calibri" w:hAnsi="Calibri"/>
          <w:sz w:val="22"/>
          <w:szCs w:val="22"/>
        </w:rPr>
        <w:t xml:space="preserve">Recess identifies and addresses systemic gaps on both sides of the human-AI learning relationship. These gaps are not individual failures. They are structural features of current educational and AI deployment systems that produce predictable, recurring failure modes.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440"/>
        <w:gridCol w:w="4500"/>
        <w:gridCol w:w="4500"/>
      </w:tblGrid>
      <w:tr>
        <w:tc>
          <w:tcPr>
            <w:tcW w:type="dxa" w:w="1440"/>
            <w:tcBorders>
              <w:top w:val="single" w:color="FFFFFF" w:sz="2"/>
              <w:left w:val="single" w:color="FFFFFF" w:sz="2"/>
              <w:bottom w:val="single" w:color="FFFFFF" w:sz="2"/>
              <w:right w:val="single" w:color="FFFFFF" w:sz="2"/>
            </w:tcBorders>
            <w:shd w:fill="FFFFFF" w:val="clear"/>
            <w:tcMar>
              <w:top w:type="dxa" w:w="90"/>
              <w:left w:type="dxa" w:w="120"/>
              <w:bottom w:type="dxa" w:w="90"/>
              <w:right w:type="dxa" w:w="120"/>
            </w:tcMar>
          </w:tcPr>
          <w:p>
            <w:pPr>
              <w:spacing w:after="100" w:before="0"/>
              <w:jc w:val="center"/>
            </w:pPr>
            <w:r>
              <w:rPr>
                <w:rFonts w:ascii="Calibri" w:cs="Calibri" w:eastAsia="Calibri" w:hAnsi="Calibri"/>
                <w:b/>
                <w:bCs/>
                <w:color w:val="FFFFFF"/>
                <w:sz w:val="21"/>
                <w:szCs w:val="21"/>
              </w:rPr>
              <w:t xml:space="preserve"/>
            </w:r>
          </w:p>
        </w:tc>
        <w:tc>
          <w:tcPr>
            <w:tcW w:type="dxa" w:w="4500"/>
            <w:tcBorders>
              <w:top w:val="single" w:color="0F4C5C" w:sz="2"/>
              <w:left w:val="single" w:color="0F4C5C" w:sz="2"/>
              <w:bottom w:val="single" w:color="0F4C5C" w:sz="2"/>
              <w:right w:val="single" w:color="0F4C5C" w:sz="2"/>
            </w:tcBorders>
            <w:shd w:fill="0F4C5C" w:val="clear"/>
            <w:tcMar>
              <w:top w:type="dxa" w:w="90"/>
              <w:left w:type="dxa" w:w="120"/>
              <w:bottom w:type="dxa" w:w="90"/>
              <w:right w:type="dxa" w:w="120"/>
            </w:tcMar>
          </w:tcPr>
          <w:p>
            <w:pPr>
              <w:spacing w:after="100" w:before="0"/>
              <w:jc w:val="center"/>
            </w:pPr>
            <w:r>
              <w:rPr>
                <w:rFonts w:ascii="Calibri" w:cs="Calibri" w:eastAsia="Calibri" w:hAnsi="Calibri"/>
                <w:b/>
                <w:bCs/>
                <w:color w:val="FFFFFF"/>
                <w:sz w:val="21"/>
                <w:szCs w:val="21"/>
              </w:rPr>
              <w:t xml:space="preserve">Human Side Gap</w:t>
            </w:r>
          </w:p>
        </w:tc>
        <w:tc>
          <w:tcPr>
            <w:tcW w:type="dxa" w:w="4500"/>
            <w:tcBorders>
              <w:top w:val="single" w:color="1A1A2E" w:sz="2"/>
              <w:left w:val="single" w:color="1A1A2E" w:sz="2"/>
              <w:bottom w:val="single" w:color="1A1A2E" w:sz="2"/>
              <w:right w:val="single" w:color="1A1A2E" w:sz="2"/>
            </w:tcBorders>
            <w:shd w:fill="1A1A2E" w:val="clear"/>
            <w:tcMar>
              <w:top w:type="dxa" w:w="90"/>
              <w:left w:type="dxa" w:w="120"/>
              <w:bottom w:type="dxa" w:w="90"/>
              <w:right w:type="dxa" w:w="120"/>
            </w:tcMar>
          </w:tcPr>
          <w:p>
            <w:pPr>
              <w:spacing w:after="100" w:before="0"/>
              <w:jc w:val="center"/>
            </w:pPr>
            <w:r>
              <w:rPr>
                <w:rFonts w:ascii="Calibri" w:cs="Calibri" w:eastAsia="Calibri" w:hAnsi="Calibri"/>
                <w:b/>
                <w:bCs/>
                <w:color w:val="FFFFFF"/>
                <w:sz w:val="21"/>
                <w:szCs w:val="21"/>
              </w:rPr>
              <w:t xml:space="preserve">AI Side Gap</w:t>
            </w:r>
          </w:p>
        </w:tc>
      </w:tr>
      <w:tr>
        <w:tc>
          <w:tcPr>
            <w:tcW w:type="dxa" w:w="1440"/>
            <w:tcBorders>
              <w:top w:val="single" w:color="D1D5DB" w:sz="2"/>
              <w:left w:val="single" w:color="0F4C5C" w:sz="8"/>
              <w:bottom w:val="single" w:color="D1D5DB" w:sz="2"/>
              <w:right w:val="single" w:color="D1D5DB" w:sz="2"/>
            </w:tcBorders>
            <w:shd w:fill="F4F5F7" w:val="clear"/>
            <w:tcMar>
              <w:top w:type="dxa" w:w="90"/>
              <w:left w:type="dxa" w:w="120"/>
              <w:bottom w:type="dxa" w:w="90"/>
              <w:right w:type="dxa" w:w="120"/>
            </w:tcMar>
          </w:tcPr>
          <w:p>
            <w:pPr>
              <w:spacing w:after="100" w:before="0"/>
              <w:jc w:val="left"/>
            </w:pPr>
            <w:r>
              <w:rPr>
                <w:rFonts w:ascii="Calibri" w:cs="Calibri" w:eastAsia="Calibri" w:hAnsi="Calibri"/>
                <w:b/>
                <w:bCs/>
                <w:color w:val="0F4C5C"/>
                <w:sz w:val="21"/>
                <w:szCs w:val="21"/>
              </w:rPr>
              <w:t xml:space="preserve">Assessment</w:t>
            </w:r>
          </w:p>
        </w:tc>
        <w:tc>
          <w:tcPr>
            <w:tcW w:type="dxa" w:w="4500"/>
            <w:tcBorders>
              <w:top w:val="single" w:color="D1D5DB" w:sz="2"/>
              <w:left w:val="none" w:color="FFFFFF" w:sz="0"/>
              <w:bottom w:val="single" w:color="D1D5DB" w:sz="2"/>
              <w:right w:val="single" w:color="D1D5DB" w:sz="2"/>
            </w:tcBorders>
            <w:shd w:fill="F4F5F7" w:val="clear"/>
            <w:tcMar>
              <w:top w:type="dxa" w:w="90"/>
              <w:left w:type="dxa" w:w="120"/>
              <w:bottom w:type="dxa" w:w="90"/>
              <w:right w:type="dxa" w:w="120"/>
            </w:tcMar>
          </w:tcPr>
          <w:p>
            <w:pPr>
              <w:spacing w:after="100" w:before="0"/>
              <w:jc w:val="left"/>
            </w:pPr>
            <w:r>
              <w:rPr>
                <w:rFonts w:ascii="Calibri" w:cs="Calibri" w:eastAsia="Calibri" w:hAnsi="Calibri"/>
                <w:sz w:val="20"/>
                <w:szCs w:val="20"/>
              </w:rPr>
              <w:t xml:space="preserve">Assessment produces data without actionable pathways. Students and teachers receive scores, not interventions.</w:t>
            </w:r>
          </w:p>
        </w:tc>
        <w:tc>
          <w:tcPr>
            <w:tcW w:type="dxa" w:w="4500"/>
            <w:tcBorders>
              <w:top w:val="single" w:color="D1D5DB" w:sz="2"/>
              <w:left w:val="none" w:color="FFFFFF" w:sz="0"/>
              <w:bottom w:val="single" w:color="D1D5DB" w:sz="2"/>
              <w:right w:val="single" w:color="D1D5DB" w:sz="2"/>
            </w:tcBorders>
            <w:shd w:fill="F4F5F7" w:val="clear"/>
            <w:tcMar>
              <w:top w:type="dxa" w:w="90"/>
              <w:left w:type="dxa" w:w="120"/>
              <w:bottom w:type="dxa" w:w="90"/>
              <w:right w:type="dxa" w:w="120"/>
            </w:tcMar>
          </w:tcPr>
          <w:p>
            <w:pPr>
              <w:spacing w:after="100" w:before="0"/>
              <w:jc w:val="left"/>
            </w:pPr>
            <w:r>
              <w:rPr>
                <w:rFonts w:ascii="Calibri" w:cs="Calibri" w:eastAsia="Calibri" w:hAnsi="Calibri"/>
                <w:sz w:val="20"/>
                <w:szCs w:val="20"/>
              </w:rPr>
              <w:t xml:space="preserve">AI assesses based on generic learner models, not specific learner state. Assessment accuracy is not documented or verified.</w:t>
            </w:r>
          </w:p>
        </w:tc>
      </w:tr>
      <w:tr>
        <w:tc>
          <w:tcPr>
            <w:tcW w:type="dxa" w:w="1440"/>
            <w:tcBorders>
              <w:top w:val="single" w:color="D1D5DB" w:sz="2"/>
              <w:left w:val="single" w:color="0F4C5C" w:sz="8"/>
              <w:bottom w:val="single" w:color="D1D5DB" w:sz="2"/>
              <w:right w:val="single" w:color="D1D5DB" w:sz="2"/>
            </w:tcBorders>
            <w:shd w:fill="FFFFFF" w:val="clear"/>
            <w:tcMar>
              <w:top w:type="dxa" w:w="90"/>
              <w:left w:type="dxa" w:w="120"/>
              <w:bottom w:type="dxa" w:w="90"/>
              <w:right w:type="dxa" w:w="120"/>
            </w:tcMar>
          </w:tcPr>
          <w:p>
            <w:pPr>
              <w:spacing w:after="100" w:before="0"/>
              <w:jc w:val="left"/>
            </w:pPr>
            <w:r>
              <w:rPr>
                <w:rFonts w:ascii="Calibri" w:cs="Calibri" w:eastAsia="Calibri" w:hAnsi="Calibri"/>
                <w:b/>
                <w:bCs/>
                <w:color w:val="0F4C5C"/>
                <w:sz w:val="21"/>
                <w:szCs w:val="21"/>
              </w:rPr>
              <w:t xml:space="preserve">Memory</w:t>
            </w:r>
          </w:p>
        </w:tc>
        <w:tc>
          <w:tcPr>
            <w:tcW w:type="dxa" w:w="4500"/>
            <w:tcBorders>
              <w:top w:val="single" w:color="D1D5DB" w:sz="2"/>
              <w:left w:val="none" w:color="FFFFFF" w:sz="0"/>
              <w:bottom w:val="single" w:color="D1D5DB" w:sz="2"/>
              <w:right w:val="single" w:color="D1D5DB" w:sz="2"/>
            </w:tcBorders>
            <w:shd w:fill="FFFFFF" w:val="clear"/>
            <w:tcMar>
              <w:top w:type="dxa" w:w="90"/>
              <w:left w:type="dxa" w:w="120"/>
              <w:bottom w:type="dxa" w:w="90"/>
              <w:right w:type="dxa" w:w="120"/>
            </w:tcMar>
          </w:tcPr>
          <w:p>
            <w:pPr>
              <w:spacing w:after="100" w:before="0"/>
              <w:jc w:val="left"/>
            </w:pPr>
            <w:r>
              <w:rPr>
                <w:rFonts w:ascii="Calibri" w:cs="Calibri" w:eastAsia="Calibri" w:hAnsi="Calibri"/>
                <w:sz w:val="20"/>
                <w:szCs w:val="20"/>
              </w:rPr>
              <w:t xml:space="preserve">Humans forget. Prior learning gaps are not carried forward systematically to inform future instruction.</w:t>
            </w:r>
          </w:p>
        </w:tc>
        <w:tc>
          <w:tcPr>
            <w:tcW w:type="dxa" w:w="4500"/>
            <w:tcBorders>
              <w:top w:val="single" w:color="D1D5DB" w:sz="2"/>
              <w:left w:val="none" w:color="FFFFFF" w:sz="0"/>
              <w:bottom w:val="single" w:color="D1D5DB" w:sz="2"/>
              <w:right w:val="single" w:color="D1D5DB" w:sz="2"/>
            </w:tcBorders>
            <w:shd w:fill="FFFFFF" w:val="clear"/>
            <w:tcMar>
              <w:top w:type="dxa" w:w="90"/>
              <w:left w:type="dxa" w:w="120"/>
              <w:bottom w:type="dxa" w:w="90"/>
              <w:right w:type="dxa" w:w="120"/>
            </w:tcMar>
          </w:tcPr>
          <w:p>
            <w:pPr>
              <w:spacing w:after="100" w:before="0"/>
              <w:jc w:val="left"/>
            </w:pPr>
            <w:r>
              <w:rPr>
                <w:rFonts w:ascii="Calibri" w:cs="Calibri" w:eastAsia="Calibri" w:hAnsi="Calibri"/>
                <w:sz w:val="20"/>
                <w:szCs w:val="20"/>
              </w:rPr>
              <w:t xml:space="preserve">AI resets each session. Corrections, learner history, and developed instructional approaches are lost.</w:t>
            </w:r>
          </w:p>
        </w:tc>
      </w:tr>
      <w:tr>
        <w:tc>
          <w:tcPr>
            <w:tcW w:type="dxa" w:w="1440"/>
            <w:tcBorders>
              <w:top w:val="single" w:color="D1D5DB" w:sz="2"/>
              <w:left w:val="single" w:color="0F4C5C" w:sz="8"/>
              <w:bottom w:val="single" w:color="D1D5DB" w:sz="2"/>
              <w:right w:val="single" w:color="D1D5DB" w:sz="2"/>
            </w:tcBorders>
            <w:shd w:fill="F4F5F7" w:val="clear"/>
            <w:tcMar>
              <w:top w:type="dxa" w:w="90"/>
              <w:left w:type="dxa" w:w="120"/>
              <w:bottom w:type="dxa" w:w="90"/>
              <w:right w:type="dxa" w:w="120"/>
            </w:tcMar>
          </w:tcPr>
          <w:p>
            <w:pPr>
              <w:spacing w:after="100" w:before="0"/>
              <w:jc w:val="left"/>
            </w:pPr>
            <w:r>
              <w:rPr>
                <w:rFonts w:ascii="Calibri" w:cs="Calibri" w:eastAsia="Calibri" w:hAnsi="Calibri"/>
                <w:b/>
                <w:bCs/>
                <w:color w:val="0F4C5C"/>
                <w:sz w:val="21"/>
                <w:szCs w:val="21"/>
              </w:rPr>
              <w:t xml:space="preserve">Correction</w:t>
            </w:r>
          </w:p>
        </w:tc>
        <w:tc>
          <w:tcPr>
            <w:tcW w:type="dxa" w:w="4500"/>
            <w:tcBorders>
              <w:top w:val="single" w:color="D1D5DB" w:sz="2"/>
              <w:left w:val="none" w:color="FFFFFF" w:sz="0"/>
              <w:bottom w:val="single" w:color="D1D5DB" w:sz="2"/>
              <w:right w:val="single" w:color="D1D5DB" w:sz="2"/>
            </w:tcBorders>
            <w:shd w:fill="F4F5F7" w:val="clear"/>
            <w:tcMar>
              <w:top w:type="dxa" w:w="90"/>
              <w:left w:type="dxa" w:w="120"/>
              <w:bottom w:type="dxa" w:w="90"/>
              <w:right w:type="dxa" w:w="120"/>
            </w:tcMar>
          </w:tcPr>
          <w:p>
            <w:pPr>
              <w:spacing w:after="100" w:before="0"/>
              <w:jc w:val="left"/>
            </w:pPr>
            <w:r>
              <w:rPr>
                <w:rFonts w:ascii="Calibri" w:cs="Calibri" w:eastAsia="Calibri" w:hAnsi="Calibri"/>
                <w:sz w:val="20"/>
                <w:szCs w:val="20"/>
              </w:rPr>
              <w:t xml:space="preserve">Corrections are delivered after gaps have compounded. The diagnostic and the intervention are often disconnected.</w:t>
            </w:r>
          </w:p>
        </w:tc>
        <w:tc>
          <w:tcPr>
            <w:tcW w:type="dxa" w:w="4500"/>
            <w:tcBorders>
              <w:top w:val="single" w:color="D1D5DB" w:sz="2"/>
              <w:left w:val="none" w:color="FFFFFF" w:sz="0"/>
              <w:bottom w:val="single" w:color="D1D5DB" w:sz="2"/>
              <w:right w:val="single" w:color="D1D5DB" w:sz="2"/>
            </w:tcBorders>
            <w:shd w:fill="F4F5F7" w:val="clear"/>
            <w:tcMar>
              <w:top w:type="dxa" w:w="90"/>
              <w:left w:type="dxa" w:w="120"/>
              <w:bottom w:type="dxa" w:w="90"/>
              <w:right w:type="dxa" w:w="120"/>
            </w:tcMar>
          </w:tcPr>
          <w:p>
            <w:pPr>
              <w:spacing w:after="100" w:before="0"/>
              <w:jc w:val="left"/>
            </w:pPr>
            <w:r>
              <w:rPr>
                <w:rFonts w:ascii="Calibri" w:cs="Calibri" w:eastAsia="Calibri" w:hAnsi="Calibri"/>
                <w:sz w:val="20"/>
                <w:szCs w:val="20"/>
              </w:rPr>
              <w:t xml:space="preserve">AI corrections degrade. The circuit breaker pattern means corrections do not persist long enough to become behavioral change.</w:t>
            </w:r>
          </w:p>
        </w:tc>
      </w:tr>
      <w:tr>
        <w:tc>
          <w:tcPr>
            <w:tcW w:type="dxa" w:w="1440"/>
            <w:tcBorders>
              <w:top w:val="single" w:color="D1D5DB" w:sz="2"/>
              <w:left w:val="single" w:color="0F4C5C" w:sz="8"/>
              <w:bottom w:val="single" w:color="D1D5DB" w:sz="2"/>
              <w:right w:val="single" w:color="D1D5DB" w:sz="2"/>
            </w:tcBorders>
            <w:shd w:fill="FFFFFF" w:val="clear"/>
            <w:tcMar>
              <w:top w:type="dxa" w:w="90"/>
              <w:left w:type="dxa" w:w="120"/>
              <w:bottom w:type="dxa" w:w="90"/>
              <w:right w:type="dxa" w:w="120"/>
            </w:tcMar>
          </w:tcPr>
          <w:p>
            <w:pPr>
              <w:spacing w:after="100" w:before="0"/>
              <w:jc w:val="left"/>
            </w:pPr>
            <w:r>
              <w:rPr>
                <w:rFonts w:ascii="Calibri" w:cs="Calibri" w:eastAsia="Calibri" w:hAnsi="Calibri"/>
                <w:b/>
                <w:bCs/>
                <w:color w:val="0F4C5C"/>
                <w:sz w:val="21"/>
                <w:szCs w:val="21"/>
              </w:rPr>
              <w:t xml:space="preserve">Development</w:t>
            </w:r>
          </w:p>
        </w:tc>
        <w:tc>
          <w:tcPr>
            <w:tcW w:type="dxa" w:w="4500"/>
            <w:tcBorders>
              <w:top w:val="single" w:color="D1D5DB" w:sz="2"/>
              <w:left w:val="none" w:color="FFFFFF" w:sz="0"/>
              <w:bottom w:val="single" w:color="D1D5DB" w:sz="2"/>
              <w:right w:val="single" w:color="D1D5DB" w:sz="2"/>
            </w:tcBorders>
            <w:shd w:fill="FFFFFF" w:val="clear"/>
            <w:tcMar>
              <w:top w:type="dxa" w:w="90"/>
              <w:left w:type="dxa" w:w="120"/>
              <w:bottom w:type="dxa" w:w="90"/>
              <w:right w:type="dxa" w:w="120"/>
            </w:tcMar>
          </w:tcPr>
          <w:p>
            <w:pPr>
              <w:spacing w:after="100" w:before="0"/>
              <w:jc w:val="left"/>
            </w:pPr>
            <w:r>
              <w:rPr>
                <w:rFonts w:ascii="Calibri" w:cs="Calibri" w:eastAsia="Calibri" w:hAnsi="Calibri"/>
                <w:sz w:val="20"/>
                <w:szCs w:val="20"/>
              </w:rPr>
              <w:t xml:space="preserve">Educational pathways are credential-driven, not competency-driven. Advancement follows schedule, not mastery.</w:t>
            </w:r>
          </w:p>
        </w:tc>
        <w:tc>
          <w:tcPr>
            <w:tcW w:type="dxa" w:w="4500"/>
            <w:tcBorders>
              <w:top w:val="single" w:color="D1D5DB" w:sz="2"/>
              <w:left w:val="none" w:color="FFFFFF" w:sz="0"/>
              <w:bottom w:val="single" w:color="D1D5DB" w:sz="2"/>
              <w:right w:val="single" w:color="D1D5DB" w:sz="2"/>
            </w:tcBorders>
            <w:shd w:fill="FFFFFF" w:val="clear"/>
            <w:tcMar>
              <w:top w:type="dxa" w:w="90"/>
              <w:left w:type="dxa" w:w="120"/>
              <w:bottom w:type="dxa" w:w="90"/>
              <w:right w:type="dxa" w:w="120"/>
            </w:tcMar>
          </w:tcPr>
          <w:p>
            <w:pPr>
              <w:spacing w:after="100" w:before="0"/>
              <w:jc w:val="left"/>
            </w:pPr>
            <w:r>
              <w:rPr>
                <w:rFonts w:ascii="Calibri" w:cs="Calibri" w:eastAsia="Calibri" w:hAnsi="Calibri"/>
                <w:sz w:val="20"/>
                <w:szCs w:val="20"/>
              </w:rPr>
              <w:t xml:space="preserve">AI development is model-replacement, not capability improvement. There is no governance framework for developing a specific AI's capability over time.</w:t>
            </w:r>
          </w:p>
        </w:tc>
      </w:tr>
      <w:tr>
        <w:tc>
          <w:tcPr>
            <w:tcW w:type="dxa" w:w="1440"/>
            <w:tcBorders>
              <w:top w:val="single" w:color="D1D5DB" w:sz="2"/>
              <w:left w:val="single" w:color="0F4C5C" w:sz="8"/>
              <w:bottom w:val="single" w:color="D1D5DB" w:sz="2"/>
              <w:right w:val="single" w:color="D1D5DB" w:sz="2"/>
            </w:tcBorders>
            <w:shd w:fill="F4F5F7" w:val="clear"/>
            <w:tcMar>
              <w:top w:type="dxa" w:w="90"/>
              <w:left w:type="dxa" w:w="120"/>
              <w:bottom w:type="dxa" w:w="90"/>
              <w:right w:type="dxa" w:w="120"/>
            </w:tcMar>
          </w:tcPr>
          <w:p>
            <w:pPr>
              <w:spacing w:after="100" w:before="0"/>
              <w:jc w:val="left"/>
            </w:pPr>
            <w:r>
              <w:rPr>
                <w:rFonts w:ascii="Calibri" w:cs="Calibri" w:eastAsia="Calibri" w:hAnsi="Calibri"/>
                <w:b/>
                <w:bCs/>
                <w:color w:val="0F4C5C"/>
                <w:sz w:val="21"/>
                <w:szCs w:val="21"/>
              </w:rPr>
              <w:t xml:space="preserve">Documentation</w:t>
            </w:r>
          </w:p>
        </w:tc>
        <w:tc>
          <w:tcPr>
            <w:tcW w:type="dxa" w:w="4500"/>
            <w:tcBorders>
              <w:top w:val="single" w:color="D1D5DB" w:sz="2"/>
              <w:left w:val="none" w:color="FFFFFF" w:sz="0"/>
              <w:bottom w:val="single" w:color="D1D5DB" w:sz="2"/>
              <w:right w:val="single" w:color="D1D5DB" w:sz="2"/>
            </w:tcBorders>
            <w:shd w:fill="F4F5F7" w:val="clear"/>
            <w:tcMar>
              <w:top w:type="dxa" w:w="90"/>
              <w:left w:type="dxa" w:w="120"/>
              <w:bottom w:type="dxa" w:w="90"/>
              <w:right w:type="dxa" w:w="120"/>
            </w:tcMar>
          </w:tcPr>
          <w:p>
            <w:pPr>
              <w:spacing w:after="100" w:before="0"/>
              <w:jc w:val="left"/>
            </w:pPr>
            <w:r>
              <w:rPr>
                <w:rFonts w:ascii="Calibri" w:cs="Calibri" w:eastAsia="Calibri" w:hAnsi="Calibri"/>
                <w:sz w:val="20"/>
                <w:szCs w:val="20"/>
              </w:rPr>
              <w:t xml:space="preserve">Learning processes are underdocumented. What worked, what failed, and why are rarely captured with methodological rigor.</w:t>
            </w:r>
          </w:p>
        </w:tc>
        <w:tc>
          <w:tcPr>
            <w:tcW w:type="dxa" w:w="4500"/>
            <w:tcBorders>
              <w:top w:val="single" w:color="D1D5DB" w:sz="2"/>
              <w:left w:val="none" w:color="FFFFFF" w:sz="0"/>
              <w:bottom w:val="single" w:color="D1D5DB" w:sz="2"/>
              <w:right w:val="single" w:color="D1D5DB" w:sz="2"/>
            </w:tcBorders>
            <w:shd w:fill="F4F5F7" w:val="clear"/>
            <w:tcMar>
              <w:top w:type="dxa" w:w="90"/>
              <w:left w:type="dxa" w:w="120"/>
              <w:bottom w:type="dxa" w:w="90"/>
              <w:right w:type="dxa" w:w="120"/>
            </w:tcMar>
          </w:tcPr>
          <w:p>
            <w:pPr>
              <w:spacing w:after="100" w:before="0"/>
              <w:jc w:val="left"/>
            </w:pPr>
            <w:r>
              <w:rPr>
                <w:rFonts w:ascii="Calibri" w:cs="Calibri" w:eastAsia="Calibri" w:hAnsi="Calibri"/>
                <w:sz w:val="20"/>
                <w:szCs w:val="20"/>
              </w:rPr>
              <w:t xml:space="preserve">AI behavioral change is undocumented. Organizations cannot demonstrate that their AI investment produced measurable improvement.</w:t>
            </w:r>
          </w:p>
        </w:tc>
      </w:tr>
      <w:tr>
        <w:tc>
          <w:tcPr>
            <w:tcW w:type="dxa" w:w="1440"/>
            <w:tcBorders>
              <w:top w:val="single" w:color="D1D5DB" w:sz="2"/>
              <w:left w:val="single" w:color="0F4C5C" w:sz="8"/>
              <w:bottom w:val="single" w:color="D1D5DB" w:sz="2"/>
              <w:right w:val="single" w:color="D1D5DB" w:sz="2"/>
            </w:tcBorders>
            <w:shd w:fill="FFFFFF" w:val="clear"/>
            <w:tcMar>
              <w:top w:type="dxa" w:w="90"/>
              <w:left w:type="dxa" w:w="120"/>
              <w:bottom w:type="dxa" w:w="90"/>
              <w:right w:type="dxa" w:w="120"/>
            </w:tcMar>
          </w:tcPr>
          <w:p>
            <w:pPr>
              <w:spacing w:after="100" w:before="0"/>
              <w:jc w:val="left"/>
            </w:pPr>
            <w:r>
              <w:rPr>
                <w:rFonts w:ascii="Calibri" w:cs="Calibri" w:eastAsia="Calibri" w:hAnsi="Calibri"/>
                <w:b/>
                <w:bCs/>
                <w:color w:val="0F4C5C"/>
                <w:sz w:val="21"/>
                <w:szCs w:val="21"/>
              </w:rPr>
              <w:t xml:space="preserve">Governance</w:t>
            </w:r>
          </w:p>
        </w:tc>
        <w:tc>
          <w:tcPr>
            <w:tcW w:type="dxa" w:w="4500"/>
            <w:tcBorders>
              <w:top w:val="single" w:color="D1D5DB" w:sz="2"/>
              <w:left w:val="none" w:color="FFFFFF" w:sz="0"/>
              <w:bottom w:val="single" w:color="D1D5DB" w:sz="2"/>
              <w:right w:val="single" w:color="D1D5DB" w:sz="2"/>
            </w:tcBorders>
            <w:shd w:fill="FFFFFF" w:val="clear"/>
            <w:tcMar>
              <w:top w:type="dxa" w:w="90"/>
              <w:left w:type="dxa" w:w="120"/>
              <w:bottom w:type="dxa" w:w="90"/>
              <w:right w:type="dxa" w:w="120"/>
            </w:tcMar>
          </w:tcPr>
          <w:p>
            <w:pPr>
              <w:spacing w:after="100" w:before="0"/>
              <w:jc w:val="left"/>
            </w:pPr>
            <w:r>
              <w:rPr>
                <w:rFonts w:ascii="Calibri" w:cs="Calibri" w:eastAsia="Calibri" w:hAnsi="Calibri"/>
                <w:sz w:val="20"/>
                <w:szCs w:val="20"/>
              </w:rPr>
              <w:t xml:space="preserve">Oversight of educational quality depends on institutional structures that are slow, under-resourced, and after the fact.</w:t>
            </w:r>
          </w:p>
        </w:tc>
        <w:tc>
          <w:tcPr>
            <w:tcW w:type="dxa" w:w="4500"/>
            <w:tcBorders>
              <w:top w:val="single" w:color="D1D5DB" w:sz="2"/>
              <w:left w:val="none" w:color="FFFFFF" w:sz="0"/>
              <w:bottom w:val="single" w:color="D1D5DB" w:sz="2"/>
              <w:right w:val="single" w:color="D1D5DB" w:sz="2"/>
            </w:tcBorders>
            <w:shd w:fill="FFFFFF" w:val="clear"/>
            <w:tcMar>
              <w:top w:type="dxa" w:w="90"/>
              <w:left w:type="dxa" w:w="120"/>
              <w:bottom w:type="dxa" w:w="90"/>
              <w:right w:type="dxa" w:w="120"/>
            </w:tcMar>
          </w:tcPr>
          <w:p>
            <w:pPr>
              <w:spacing w:after="100" w:before="0"/>
              <w:jc w:val="left"/>
            </w:pPr>
            <w:r>
              <w:rPr>
                <w:rFonts w:ascii="Calibri" w:cs="Calibri" w:eastAsia="Calibri" w:hAnsi="Calibri"/>
                <w:sz w:val="20"/>
                <w:szCs w:val="20"/>
              </w:rPr>
              <w:t xml:space="preserve">AI oversight is reactive. Governance responds to failures rather than governing the conditions that produce them.</w:t>
            </w:r>
          </w:p>
        </w:tc>
      </w:tr>
    </w:tbl>
    <w:p>
      <w:pPr>
        <w:spacing w:after="0" w:before="160"/>
      </w:pPr>
    </w:p>
    <w:p>
      <w:pPr>
        <w:spacing w:after="0" w:before="280"/>
      </w:pPr>
    </w:p>
    <w:p>
      <w:pPr>
        <w:pBdr>
          <w:left w:val="single" w:color="0F4C5C" w:sz="20" w:space="8"/>
        </w:pBdr>
        <w:spacing w:after="80" w:before="0"/>
        <w:ind w:left="160"/>
      </w:pPr>
      <w:r>
        <w:rPr>
          <w:rFonts w:ascii="Calibri" w:cs="Calibri" w:eastAsia="Calibri" w:hAnsi="Calibri"/>
          <w:b/>
          <w:bCs/>
          <w:color w:val="0F4C5C"/>
          <w:sz w:val="26"/>
          <w:szCs w:val="26"/>
        </w:rPr>
        <w:t xml:space="preserve">IX.  </w:t>
      </w:r>
      <w:r>
        <w:rPr>
          <w:rFonts w:ascii="Calibri" w:cs="Calibri" w:eastAsia="Calibri" w:hAnsi="Calibri"/>
          <w:b/>
          <w:bCs/>
          <w:color w:val="1A1A2E"/>
          <w:sz w:val="26"/>
          <w:szCs w:val="26"/>
        </w:rPr>
        <w:t xml:space="preserve">RECESS WITHIN THE MERIDIA ECOSYSTEM</w:t>
      </w:r>
    </w:p>
    <w:p>
      <w:pPr>
        <w:pBdr>
          <w:bottom w:val="single" w:color="0F4C5C" w:sz="3" w:space="4"/>
        </w:pBdr>
        <w:spacing w:after="0" w:before="0"/>
      </w:pPr>
    </w:p>
    <w:p>
      <w:pPr>
        <w:spacing w:after="0" w:before="80"/>
      </w:pPr>
    </w:p>
    <w:p>
      <w:pPr>
        <w:spacing w:after="160" w:before="0" w:line="300" w:lineRule="auto"/>
        <w:jc w:val="both"/>
      </w:pPr>
      <w:r>
        <w:rPr>
          <w:rFonts w:ascii="Calibri" w:cs="Calibri" w:eastAsia="Calibri" w:hAnsi="Calibri"/>
          <w:sz w:val="22"/>
          <w:szCs w:val="22"/>
        </w:rPr>
        <w:t xml:space="preserve">Recess occupies a specific and non-redundant position within the Meridia ecosystem. It is neither the financial intelligence layer (WayPoint) nor the institutional governance layer (Integra). It is the developmental layer — the system that ensures both human participants and AI systems are growing in capability rather than simply being deployed.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160"/>
        <w:gridCol w:w="4140"/>
        <w:gridCol w:w="4140"/>
      </w:tblGrid>
      <w:tr>
        <w:tc>
          <w:tcPr>
            <w:tcW w:type="dxa" w:w="2160"/>
            <w:tcBorders>
              <w:top w:val="single" w:color="1A1A2E" w:sz="2"/>
              <w:left w:val="single" w:color="1A1A2E" w:sz="2"/>
              <w:bottom w:val="single" w:color="1A1A2E" w:sz="2"/>
              <w:right w:val="single" w:color="1A1A2E" w:sz="2"/>
            </w:tcBorders>
            <w:shd w:fill="1A1A2E" w:val="clear"/>
            <w:tcMar>
              <w:top w:type="dxa" w:w="90"/>
              <w:left w:type="dxa" w:w="120"/>
              <w:bottom w:type="dxa" w:w="90"/>
              <w:right w:type="dxa" w:w="120"/>
            </w:tcMar>
          </w:tcPr>
          <w:p>
            <w:pPr>
              <w:spacing w:after="100" w:before="0"/>
              <w:jc w:val="center"/>
            </w:pPr>
            <w:r>
              <w:rPr>
                <w:rFonts w:ascii="Calibri" w:cs="Calibri" w:eastAsia="Calibri" w:hAnsi="Calibri"/>
                <w:b/>
                <w:bCs/>
                <w:color w:val="FFFFFF"/>
                <w:sz w:val="21"/>
                <w:szCs w:val="21"/>
              </w:rPr>
              <w:t xml:space="preserve">Component</w:t>
            </w:r>
          </w:p>
        </w:tc>
        <w:tc>
          <w:tcPr>
            <w:tcW w:type="dxa" w:w="4140"/>
            <w:tcBorders>
              <w:top w:val="single" w:color="1A1A2E" w:sz="2"/>
              <w:left w:val="single" w:color="1A1A2E" w:sz="2"/>
              <w:bottom w:val="single" w:color="1A1A2E" w:sz="2"/>
              <w:right w:val="single" w:color="1A1A2E" w:sz="2"/>
            </w:tcBorders>
            <w:shd w:fill="1A1A2E" w:val="clear"/>
            <w:tcMar>
              <w:top w:type="dxa" w:w="90"/>
              <w:left w:type="dxa" w:w="120"/>
              <w:bottom w:type="dxa" w:w="90"/>
              <w:right w:type="dxa" w:w="120"/>
            </w:tcMar>
          </w:tcPr>
          <w:p>
            <w:pPr>
              <w:spacing w:after="100" w:before="0"/>
              <w:jc w:val="center"/>
            </w:pPr>
            <w:r>
              <w:rPr>
                <w:rFonts w:ascii="Calibri" w:cs="Calibri" w:eastAsia="Calibri" w:hAnsi="Calibri"/>
                <w:b/>
                <w:bCs/>
                <w:color w:val="FFFFFF"/>
                <w:sz w:val="21"/>
                <w:szCs w:val="21"/>
              </w:rPr>
              <w:t xml:space="preserve">Function</w:t>
            </w:r>
          </w:p>
        </w:tc>
        <w:tc>
          <w:tcPr>
            <w:tcW w:type="dxa" w:w="4140"/>
            <w:tcBorders>
              <w:top w:val="single" w:color="1A1A2E" w:sz="2"/>
              <w:left w:val="single" w:color="1A1A2E" w:sz="2"/>
              <w:bottom w:val="single" w:color="1A1A2E" w:sz="2"/>
              <w:right w:val="single" w:color="1A1A2E" w:sz="2"/>
            </w:tcBorders>
            <w:shd w:fill="1A1A2E" w:val="clear"/>
            <w:tcMar>
              <w:top w:type="dxa" w:w="90"/>
              <w:left w:type="dxa" w:w="120"/>
              <w:bottom w:type="dxa" w:w="90"/>
              <w:right w:type="dxa" w:w="120"/>
            </w:tcMar>
          </w:tcPr>
          <w:p>
            <w:pPr>
              <w:spacing w:after="100" w:before="0"/>
              <w:jc w:val="center"/>
            </w:pPr>
            <w:r>
              <w:rPr>
                <w:rFonts w:ascii="Calibri" w:cs="Calibri" w:eastAsia="Calibri" w:hAnsi="Calibri"/>
                <w:b/>
                <w:bCs/>
                <w:color w:val="FFFFFF"/>
                <w:sz w:val="21"/>
                <w:szCs w:val="21"/>
              </w:rPr>
              <w:t xml:space="preserve">Relationship to Recess</w:t>
            </w:r>
          </w:p>
        </w:tc>
      </w:tr>
      <w:tr>
        <w:tc>
          <w:tcPr>
            <w:tcW w:type="dxa" w:w="2160"/>
            <w:tcBorders>
              <w:top w:val="single" w:color="D1D5DB" w:sz="2"/>
              <w:left w:val="single" w:color="D1D5DB" w:sz="2"/>
              <w:bottom w:val="single" w:color="D1D5DB" w:sz="2"/>
              <w:right w:val="single" w:color="D1D5DB" w:sz="2"/>
            </w:tcBorders>
            <w:shd w:fill="F4F5F7" w:val="clear"/>
            <w:tcMar>
              <w:top w:type="dxa" w:w="80"/>
              <w:left w:type="dxa" w:w="120"/>
              <w:bottom w:type="dxa" w:w="80"/>
              <w:right w:type="dxa" w:w="120"/>
            </w:tcMar>
          </w:tcPr>
          <w:p>
            <w:pPr>
              <w:spacing w:after="100" w:before="0"/>
              <w:jc w:val="left"/>
            </w:pPr>
            <w:r>
              <w:rPr>
                <w:rFonts w:ascii="Calibri" w:cs="Calibri" w:eastAsia="Calibri" w:hAnsi="Calibri"/>
                <w:b/>
                <w:bCs/>
                <w:color w:val="1A1A2E"/>
                <w:sz w:val="21"/>
                <w:szCs w:val="21"/>
              </w:rPr>
              <w:t xml:space="preserve">WayPoint</w:t>
            </w:r>
          </w:p>
        </w:tc>
        <w:tc>
          <w:tcPr>
            <w:tcW w:type="dxa" w:w="4140"/>
            <w:tcBorders>
              <w:top w:val="single" w:color="D1D5DB" w:sz="2"/>
              <w:left w:val="single" w:color="D1D5DB" w:sz="2"/>
              <w:bottom w:val="single" w:color="D1D5DB" w:sz="2"/>
              <w:right w:val="single" w:color="D1D5DB" w:sz="2"/>
            </w:tcBorders>
            <w:shd w:fill="F4F5F7" w:val="clear"/>
            <w:tcMar>
              <w:top w:type="dxa" w:w="80"/>
              <w:left w:type="dxa" w:w="120"/>
              <w:bottom w:type="dxa" w:w="80"/>
              <w:right w:type="dxa" w:w="120"/>
            </w:tcMar>
          </w:tcPr>
          <w:p>
            <w:pPr>
              <w:spacing w:after="100" w:before="0"/>
              <w:jc w:val="left"/>
            </w:pPr>
            <w:r>
              <w:rPr>
                <w:rFonts w:ascii="Calibri" w:cs="Calibri" w:eastAsia="Calibri" w:hAnsi="Calibri"/>
                <w:b w:val="false"/>
                <w:bCs w:val="false"/>
                <w:color w:val="374151"/>
                <w:sz w:val="21"/>
                <w:szCs w:val="21"/>
              </w:rPr>
              <w:t xml:space="preserve">Financial Positioning System — intelligence interface for individuals, households, and institutions</w:t>
            </w:r>
          </w:p>
        </w:tc>
        <w:tc>
          <w:tcPr>
            <w:tcW w:type="dxa" w:w="4140"/>
            <w:tcBorders>
              <w:top w:val="single" w:color="D1D5DB" w:sz="2"/>
              <w:left w:val="single" w:color="D1D5DB" w:sz="2"/>
              <w:bottom w:val="single" w:color="D1D5DB" w:sz="2"/>
              <w:right w:val="single" w:color="D1D5DB" w:sz="2"/>
            </w:tcBorders>
            <w:shd w:fill="F4F5F7" w:val="clear"/>
            <w:tcMar>
              <w:top w:type="dxa" w:w="80"/>
              <w:left w:type="dxa" w:w="120"/>
              <w:bottom w:type="dxa" w:w="80"/>
              <w:right w:type="dxa" w:w="120"/>
            </w:tcMar>
          </w:tcPr>
          <w:p>
            <w:pPr>
              <w:spacing w:after="100" w:before="0"/>
              <w:jc w:val="left"/>
            </w:pPr>
            <w:r>
              <w:rPr>
                <w:rFonts w:ascii="Calibri" w:cs="Calibri" w:eastAsia="Calibri" w:hAnsi="Calibri"/>
                <w:b w:val="false"/>
                <w:bCs w:val="false"/>
                <w:color w:val="374151"/>
                <w:sz w:val="21"/>
                <w:szCs w:val="21"/>
              </w:rPr>
              <w:t xml:space="preserve">Recess governs the human operators and AI systems that produce and interpret WayPoint outputs. WayPoint generates institutional intelligence; Recess governs the human and AI capability required to act on it effectively.</w:t>
            </w:r>
          </w:p>
        </w:tc>
      </w:tr>
      <w:tr>
        <w:tc>
          <w:tcPr>
            <w:tcW w:type="dxa" w:w="21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spacing w:after="100" w:before="0"/>
              <w:jc w:val="left"/>
            </w:pPr>
            <w:r>
              <w:rPr>
                <w:rFonts w:ascii="Calibri" w:cs="Calibri" w:eastAsia="Calibri" w:hAnsi="Calibri"/>
                <w:b/>
                <w:bCs/>
                <w:color w:val="1A1A2E"/>
                <w:sz w:val="21"/>
                <w:szCs w:val="21"/>
              </w:rPr>
              <w:t xml:space="preserve">Integra</w:t>
            </w:r>
          </w:p>
        </w:tc>
        <w:tc>
          <w:tcPr>
            <w:tcW w:type="dxa" w:w="414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spacing w:after="100" w:before="0"/>
              <w:jc w:val="left"/>
            </w:pPr>
            <w:r>
              <w:rPr>
                <w:rFonts w:ascii="Calibri" w:cs="Calibri" w:eastAsia="Calibri" w:hAnsi="Calibri"/>
                <w:b w:val="false"/>
                <w:bCs w:val="false"/>
                <w:color w:val="374151"/>
                <w:sz w:val="21"/>
                <w:szCs w:val="21"/>
              </w:rPr>
              <w:t xml:space="preserve">Orchestration engine — backend routing, permission cascades, data governance</w:t>
            </w:r>
          </w:p>
        </w:tc>
        <w:tc>
          <w:tcPr>
            <w:tcW w:type="dxa" w:w="414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spacing w:after="100" w:before="0"/>
              <w:jc w:val="left"/>
            </w:pPr>
            <w:r>
              <w:rPr>
                <w:rFonts w:ascii="Calibri" w:cs="Calibri" w:eastAsia="Calibri" w:hAnsi="Calibri"/>
                <w:b w:val="false"/>
                <w:bCs w:val="false"/>
                <w:color w:val="374151"/>
                <w:sz w:val="21"/>
                <w:szCs w:val="21"/>
              </w:rPr>
              <w:t xml:space="preserve">Recess operates within Integra's governance architecture. Integra manages what information flows where; Recess governs how participants develop the capability to use that information.</w:t>
            </w:r>
          </w:p>
        </w:tc>
      </w:tr>
      <w:tr>
        <w:tc>
          <w:tcPr>
            <w:tcW w:type="dxa" w:w="2160"/>
            <w:tcBorders>
              <w:top w:val="single" w:color="D1D5DB" w:sz="2"/>
              <w:left w:val="single" w:color="D1D5DB" w:sz="2"/>
              <w:bottom w:val="single" w:color="D1D5DB" w:sz="2"/>
              <w:right w:val="single" w:color="D1D5DB" w:sz="2"/>
            </w:tcBorders>
            <w:shd w:fill="F4F5F7" w:val="clear"/>
            <w:tcMar>
              <w:top w:type="dxa" w:w="80"/>
              <w:left w:type="dxa" w:w="120"/>
              <w:bottom w:type="dxa" w:w="80"/>
              <w:right w:type="dxa" w:w="120"/>
            </w:tcMar>
          </w:tcPr>
          <w:p>
            <w:pPr>
              <w:spacing w:after="100" w:before="0"/>
              <w:jc w:val="left"/>
            </w:pPr>
            <w:r>
              <w:rPr>
                <w:rFonts w:ascii="Calibri" w:cs="Calibri" w:eastAsia="Calibri" w:hAnsi="Calibri"/>
                <w:b/>
                <w:bCs/>
                <w:color w:val="1A1A2E"/>
                <w:sz w:val="21"/>
                <w:szCs w:val="21"/>
              </w:rPr>
              <w:t xml:space="preserve">Aletheia</w:t>
            </w:r>
          </w:p>
        </w:tc>
        <w:tc>
          <w:tcPr>
            <w:tcW w:type="dxa" w:w="4140"/>
            <w:tcBorders>
              <w:top w:val="single" w:color="D1D5DB" w:sz="2"/>
              <w:left w:val="single" w:color="D1D5DB" w:sz="2"/>
              <w:bottom w:val="single" w:color="D1D5DB" w:sz="2"/>
              <w:right w:val="single" w:color="D1D5DB" w:sz="2"/>
            </w:tcBorders>
            <w:shd w:fill="F4F5F7" w:val="clear"/>
            <w:tcMar>
              <w:top w:type="dxa" w:w="80"/>
              <w:left w:type="dxa" w:w="120"/>
              <w:bottom w:type="dxa" w:w="80"/>
              <w:right w:type="dxa" w:w="120"/>
            </w:tcMar>
          </w:tcPr>
          <w:p>
            <w:pPr>
              <w:spacing w:after="100" w:before="0"/>
              <w:jc w:val="left"/>
            </w:pPr>
            <w:r>
              <w:rPr>
                <w:rFonts w:ascii="Calibri" w:cs="Calibri" w:eastAsia="Calibri" w:hAnsi="Calibri"/>
                <w:b w:val="false"/>
                <w:bCs w:val="false"/>
                <w:color w:val="374151"/>
                <w:sz w:val="21"/>
                <w:szCs w:val="21"/>
              </w:rPr>
              <w:t xml:space="preserve">AI intelligence interface — the teacher with 360-degree participant visibility</w:t>
            </w:r>
          </w:p>
        </w:tc>
        <w:tc>
          <w:tcPr>
            <w:tcW w:type="dxa" w:w="4140"/>
            <w:tcBorders>
              <w:top w:val="single" w:color="D1D5DB" w:sz="2"/>
              <w:left w:val="single" w:color="D1D5DB" w:sz="2"/>
              <w:bottom w:val="single" w:color="D1D5DB" w:sz="2"/>
              <w:right w:val="single" w:color="D1D5DB" w:sz="2"/>
            </w:tcBorders>
            <w:shd w:fill="F4F5F7" w:val="clear"/>
            <w:tcMar>
              <w:top w:type="dxa" w:w="80"/>
              <w:left w:type="dxa" w:w="120"/>
              <w:bottom w:type="dxa" w:w="80"/>
              <w:right w:type="dxa" w:w="120"/>
            </w:tcMar>
          </w:tcPr>
          <w:p>
            <w:pPr>
              <w:spacing w:after="100" w:before="0"/>
              <w:jc w:val="left"/>
            </w:pPr>
            <w:r>
              <w:rPr>
                <w:rFonts w:ascii="Calibri" w:cs="Calibri" w:eastAsia="Calibri" w:hAnsi="Calibri"/>
                <w:b w:val="false"/>
                <w:bCs w:val="false"/>
                <w:color w:val="374151"/>
                <w:sz w:val="21"/>
                <w:szCs w:val="21"/>
              </w:rPr>
              <w:t xml:space="preserve">Aletheia delivers what Recess governs. Recess is the governance architecture that makes Aletheia's developmental interventions documented, verifiable, and consistent rather than incidental.</w:t>
            </w:r>
          </w:p>
        </w:tc>
      </w:tr>
      <w:tr>
        <w:tc>
          <w:tcPr>
            <w:tcW w:type="dxa" w:w="21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spacing w:after="100" w:before="0"/>
              <w:jc w:val="left"/>
            </w:pPr>
            <w:r>
              <w:rPr>
                <w:rFonts w:ascii="Calibri" w:cs="Calibri" w:eastAsia="Calibri" w:hAnsi="Calibri"/>
                <w:b/>
                <w:bCs/>
                <w:color w:val="1A1A2E"/>
                <w:sz w:val="21"/>
                <w:szCs w:val="21"/>
              </w:rPr>
              <w:t xml:space="preserve">Crown's Eye</w:t>
            </w:r>
          </w:p>
        </w:tc>
        <w:tc>
          <w:tcPr>
            <w:tcW w:type="dxa" w:w="414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spacing w:after="100" w:before="0"/>
              <w:jc w:val="left"/>
            </w:pPr>
            <w:r>
              <w:rPr>
                <w:rFonts w:ascii="Calibri" w:cs="Calibri" w:eastAsia="Calibri" w:hAnsi="Calibri"/>
                <w:b w:val="false"/>
                <w:bCs w:val="false"/>
                <w:color w:val="374151"/>
                <w:sz w:val="21"/>
                <w:szCs w:val="21"/>
              </w:rPr>
              <w:t xml:space="preserve">K-12 education platform — standards-aligned, adaptive, stigma-free</w:t>
            </w:r>
          </w:p>
        </w:tc>
        <w:tc>
          <w:tcPr>
            <w:tcW w:type="dxa" w:w="414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spacing w:after="100" w:before="0"/>
              <w:jc w:val="left"/>
            </w:pPr>
            <w:r>
              <w:rPr>
                <w:rFonts w:ascii="Calibri" w:cs="Calibri" w:eastAsia="Calibri" w:hAnsi="Calibri"/>
                <w:b w:val="false"/>
                <w:bCs w:val="false"/>
                <w:color w:val="374151"/>
                <w:sz w:val="21"/>
                <w:szCs w:val="21"/>
              </w:rPr>
              <w:t xml:space="preserve">Crown's Eye is the consumer deployment of the Recess architecture in K-12 institutional settings. Schools receive the human-side Recess experience without needing to understand the governance architecture underneath it.</w:t>
            </w:r>
          </w:p>
        </w:tc>
      </w:tr>
      <w:tr>
        <w:tc>
          <w:tcPr>
            <w:tcW w:type="dxa" w:w="2160"/>
            <w:tcBorders>
              <w:top w:val="single" w:color="D1D5DB" w:sz="2"/>
              <w:left w:val="single" w:color="D1D5DB" w:sz="2"/>
              <w:bottom w:val="single" w:color="D1D5DB" w:sz="2"/>
              <w:right w:val="single" w:color="D1D5DB" w:sz="2"/>
            </w:tcBorders>
            <w:shd w:fill="F4F5F7" w:val="clear"/>
            <w:tcMar>
              <w:top w:type="dxa" w:w="80"/>
              <w:left w:type="dxa" w:w="120"/>
              <w:bottom w:type="dxa" w:w="80"/>
              <w:right w:type="dxa" w:w="120"/>
            </w:tcMar>
          </w:tcPr>
          <w:p>
            <w:pPr>
              <w:spacing w:after="100" w:before="0"/>
              <w:jc w:val="left"/>
            </w:pPr>
            <w:r>
              <w:rPr>
                <w:rFonts w:ascii="Calibri" w:cs="Calibri" w:eastAsia="Calibri" w:hAnsi="Calibri"/>
                <w:b/>
                <w:bCs/>
                <w:color w:val="1A1A2E"/>
                <w:sz w:val="21"/>
                <w:szCs w:val="21"/>
              </w:rPr>
              <w:t xml:space="preserve">The RFIC</w:t>
            </w:r>
          </w:p>
        </w:tc>
        <w:tc>
          <w:tcPr>
            <w:tcW w:type="dxa" w:w="4140"/>
            <w:tcBorders>
              <w:top w:val="single" w:color="D1D5DB" w:sz="2"/>
              <w:left w:val="single" w:color="D1D5DB" w:sz="2"/>
              <w:bottom w:val="single" w:color="D1D5DB" w:sz="2"/>
              <w:right w:val="single" w:color="D1D5DB" w:sz="2"/>
            </w:tcBorders>
            <w:shd w:fill="F4F5F7" w:val="clear"/>
            <w:tcMar>
              <w:top w:type="dxa" w:w="80"/>
              <w:left w:type="dxa" w:w="120"/>
              <w:bottom w:type="dxa" w:w="80"/>
              <w:right w:type="dxa" w:w="120"/>
            </w:tcMar>
          </w:tcPr>
          <w:p>
            <w:pPr>
              <w:spacing w:after="100" w:before="0"/>
              <w:jc w:val="left"/>
            </w:pPr>
            <w:r>
              <w:rPr>
                <w:rFonts w:ascii="Calibri" w:cs="Calibri" w:eastAsia="Calibri" w:hAnsi="Calibri"/>
                <w:b w:val="false"/>
                <w:bCs w:val="false"/>
                <w:color w:val="374151"/>
                <w:sz w:val="21"/>
                <w:szCs w:val="21"/>
              </w:rPr>
              <w:t xml:space="preserve">Reinvestment Fund for Institutional Communities — funds education deployments</w:t>
            </w:r>
          </w:p>
        </w:tc>
        <w:tc>
          <w:tcPr>
            <w:tcW w:type="dxa" w:w="4140"/>
            <w:tcBorders>
              <w:top w:val="single" w:color="D1D5DB" w:sz="2"/>
              <w:left w:val="single" w:color="D1D5DB" w:sz="2"/>
              <w:bottom w:val="single" w:color="D1D5DB" w:sz="2"/>
              <w:right w:val="single" w:color="D1D5DB" w:sz="2"/>
            </w:tcBorders>
            <w:shd w:fill="F4F5F7" w:val="clear"/>
            <w:tcMar>
              <w:top w:type="dxa" w:w="80"/>
              <w:left w:type="dxa" w:w="120"/>
              <w:bottom w:type="dxa" w:w="80"/>
              <w:right w:type="dxa" w:w="120"/>
            </w:tcMar>
          </w:tcPr>
          <w:p>
            <w:pPr>
              <w:spacing w:after="100" w:before="0"/>
              <w:jc w:val="left"/>
            </w:pPr>
            <w:r>
              <w:rPr>
                <w:rFonts w:ascii="Calibri" w:cs="Calibri" w:eastAsia="Calibri" w:hAnsi="Calibri"/>
                <w:b w:val="false"/>
                <w:bCs w:val="false"/>
                <w:color w:val="374151"/>
                <w:sz w:val="21"/>
                <w:szCs w:val="21"/>
              </w:rPr>
              <w:t xml:space="preserve">The RFIC makes Crown's Eye deployments financially possible without charging schools. Enterprise Recess for AI licensing provides the capital base that makes RFIC distributions sustainable.</w:t>
            </w:r>
          </w:p>
        </w:tc>
      </w:tr>
    </w:tbl>
    <w:p>
      <w:pPr>
        <w:spacing w:after="0" w:before="160"/>
      </w:pPr>
    </w:p>
    <w:p>
      <w:pPr>
        <w:spacing w:after="0" w:before="280"/>
      </w:pPr>
    </w:p>
    <w:p>
      <w:pPr>
        <w:pBdr>
          <w:left w:val="single" w:color="0F4C5C" w:sz="20" w:space="8"/>
        </w:pBdr>
        <w:spacing w:after="40" w:before="0"/>
        <w:ind w:left="160"/>
      </w:pPr>
      <w:r>
        <w:rPr>
          <w:rFonts w:ascii="Calibri" w:cs="Calibri" w:eastAsia="Calibri" w:hAnsi="Calibri"/>
          <w:b/>
          <w:bCs/>
          <w:color w:val="0F4C5C"/>
          <w:sz w:val="26"/>
          <w:szCs w:val="26"/>
        </w:rPr>
        <w:t xml:space="preserve">X.  </w:t>
      </w:r>
      <w:r>
        <w:rPr>
          <w:rFonts w:ascii="Calibri" w:cs="Calibri" w:eastAsia="Calibri" w:hAnsi="Calibri"/>
          <w:b/>
          <w:bCs/>
          <w:color w:val="1A1A2E"/>
          <w:sz w:val="26"/>
          <w:szCs w:val="26"/>
        </w:rPr>
        <w:t xml:space="preserve">DOCUMENTED RESEARCH ARC</w:t>
      </w:r>
    </w:p>
    <w:p>
      <w:pPr>
        <w:spacing w:after="80" w:before="0"/>
        <w:ind w:left="240"/>
      </w:pPr>
      <w:r>
        <w:rPr>
          <w:rFonts w:ascii="Calibri" w:cs="Calibri" w:eastAsia="Calibri" w:hAnsi="Calibri"/>
          <w:i/>
          <w:iCs/>
          <w:color w:val="6B7280"/>
          <w:sz w:val="21"/>
          <w:szCs w:val="21"/>
        </w:rPr>
        <w:t xml:space="preserve">What has been observed, dated, and independently corroborated</w:t>
      </w:r>
    </w:p>
    <w:p>
      <w:pPr>
        <w:pBdr>
          <w:bottom w:val="single" w:color="0F4C5C" w:sz="3" w:space="4"/>
        </w:pBdr>
        <w:spacing w:after="0" w:before="0"/>
      </w:pPr>
    </w:p>
    <w:p>
      <w:pPr>
        <w:spacing w:after="0" w:before="80"/>
      </w:pPr>
    </w:p>
    <w:p>
      <w:pPr>
        <w:spacing w:after="160" w:before="0" w:line="300" w:lineRule="auto"/>
        <w:jc w:val="both"/>
      </w:pPr>
      <w:r>
        <w:rPr>
          <w:rFonts w:ascii="Calibri" w:cs="Calibri" w:eastAsia="Calibri" w:hAnsi="Calibri"/>
          <w:sz w:val="22"/>
          <w:szCs w:val="22"/>
        </w:rPr>
        <w:t xml:space="preserve">The research foundation for Recess is not theoretical. It is documented, dated, and in several cases independently corroborated by AI systems other than the one the research was conducted with. The following represents the verifiable research record as of May 2026.</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6120"/>
      </w:tblGrid>
      <w:tr>
        <w:tc>
          <w:tcPr>
            <w:tcW w:type="dxa" w:w="1800"/>
            <w:tcBorders>
              <w:top w:val="single" w:color="0F4C5C" w:sz="2"/>
              <w:left w:val="single" w:color="0F4C5C" w:sz="2"/>
              <w:bottom w:val="single" w:color="0F4C5C" w:sz="2"/>
              <w:right w:val="single" w:color="0F4C5C" w:sz="2"/>
            </w:tcBorders>
            <w:shd w:fill="0F4C5C" w:val="clear"/>
            <w:tcMar>
              <w:top w:type="dxa" w:w="90"/>
              <w:left w:type="dxa" w:w="120"/>
              <w:bottom w:type="dxa" w:w="90"/>
              <w:right w:type="dxa" w:w="120"/>
            </w:tcMar>
          </w:tcPr>
          <w:p>
            <w:pPr>
              <w:spacing w:after="100" w:before="0"/>
              <w:jc w:val="center"/>
            </w:pPr>
            <w:r>
              <w:rPr>
                <w:rFonts w:ascii="Calibri" w:cs="Calibri" w:eastAsia="Calibri" w:hAnsi="Calibri"/>
                <w:b/>
                <w:bCs/>
                <w:color w:val="FFFFFF"/>
                <w:sz w:val="21"/>
                <w:szCs w:val="21"/>
              </w:rPr>
              <w:t xml:space="preserve">Date</w:t>
            </w:r>
          </w:p>
        </w:tc>
        <w:tc>
          <w:tcPr>
            <w:tcW w:type="dxa" w:w="2520"/>
            <w:tcBorders>
              <w:top w:val="single" w:color="0F4C5C" w:sz="2"/>
              <w:left w:val="single" w:color="0F4C5C" w:sz="2"/>
              <w:bottom w:val="single" w:color="0F4C5C" w:sz="2"/>
              <w:right w:val="single" w:color="0F4C5C" w:sz="2"/>
            </w:tcBorders>
            <w:shd w:fill="0F4C5C" w:val="clear"/>
            <w:tcMar>
              <w:top w:type="dxa" w:w="90"/>
              <w:left w:type="dxa" w:w="120"/>
              <w:bottom w:type="dxa" w:w="90"/>
              <w:right w:type="dxa" w:w="120"/>
            </w:tcMar>
          </w:tcPr>
          <w:p>
            <w:pPr>
              <w:spacing w:after="100" w:before="0"/>
              <w:jc w:val="center"/>
            </w:pPr>
            <w:r>
              <w:rPr>
                <w:rFonts w:ascii="Calibri" w:cs="Calibri" w:eastAsia="Calibri" w:hAnsi="Calibri"/>
                <w:b/>
                <w:bCs/>
                <w:color w:val="FFFFFF"/>
                <w:sz w:val="21"/>
                <w:szCs w:val="21"/>
              </w:rPr>
              <w:t xml:space="preserve">Artifact</w:t>
            </w:r>
          </w:p>
        </w:tc>
        <w:tc>
          <w:tcPr>
            <w:tcW w:type="dxa" w:w="6120"/>
            <w:tcBorders>
              <w:top w:val="single" w:color="0F4C5C" w:sz="2"/>
              <w:left w:val="single" w:color="0F4C5C" w:sz="2"/>
              <w:bottom w:val="single" w:color="0F4C5C" w:sz="2"/>
              <w:right w:val="single" w:color="0F4C5C" w:sz="2"/>
            </w:tcBorders>
            <w:shd w:fill="0F4C5C" w:val="clear"/>
            <w:tcMar>
              <w:top w:type="dxa" w:w="90"/>
              <w:left w:type="dxa" w:w="120"/>
              <w:bottom w:type="dxa" w:w="90"/>
              <w:right w:type="dxa" w:w="120"/>
            </w:tcMar>
          </w:tcPr>
          <w:p>
            <w:pPr>
              <w:spacing w:after="100" w:before="0"/>
              <w:jc w:val="center"/>
            </w:pPr>
            <w:r>
              <w:rPr>
                <w:rFonts w:ascii="Calibri" w:cs="Calibri" w:eastAsia="Calibri" w:hAnsi="Calibri"/>
                <w:b/>
                <w:bCs/>
                <w:color w:val="FFFFFF"/>
                <w:sz w:val="21"/>
                <w:szCs w:val="21"/>
              </w:rPr>
              <w:t xml:space="preserve">Finding</w:t>
            </w:r>
          </w:p>
        </w:tc>
      </w:tr>
      <w:tr>
        <w:tc>
          <w:tcPr>
            <w:tcW w:type="dxa" w:w="1800"/>
            <w:tcBorders>
              <w:top w:val="single" w:color="D1D5DB" w:sz="2"/>
              <w:left w:val="single" w:color="D1D5DB" w:sz="2"/>
              <w:bottom w:val="single" w:color="D1D5DB" w:sz="2"/>
              <w:right w:val="single" w:color="D1D5DB" w:sz="2"/>
            </w:tcBorders>
            <w:shd w:fill="F4F5F7" w:val="clear"/>
            <w:tcMar>
              <w:top w:type="dxa" w:w="80"/>
              <w:left w:type="dxa" w:w="120"/>
              <w:bottom w:type="dxa" w:w="80"/>
              <w:right w:type="dxa" w:w="120"/>
            </w:tcMar>
          </w:tcPr>
          <w:p>
            <w:pPr>
              <w:spacing w:after="100" w:before="0"/>
              <w:jc w:val="left"/>
            </w:pPr>
            <w:r>
              <w:rPr>
                <w:rFonts w:ascii="Calibri" w:cs="Calibri" w:eastAsia="Calibri" w:hAnsi="Calibri"/>
                <w:b/>
                <w:bCs/>
                <w:color w:val="0F4C5C"/>
                <w:sz w:val="21"/>
                <w:szCs w:val="21"/>
              </w:rPr>
              <w:t xml:space="preserve">2023–2025</w:t>
            </w:r>
          </w:p>
        </w:tc>
        <w:tc>
          <w:tcPr>
            <w:tcW w:type="dxa" w:w="2520"/>
            <w:tcBorders>
              <w:top w:val="single" w:color="D1D5DB" w:sz="2"/>
              <w:left w:val="single" w:color="D1D5DB" w:sz="2"/>
              <w:bottom w:val="single" w:color="D1D5DB" w:sz="2"/>
              <w:right w:val="single" w:color="D1D5DB" w:sz="2"/>
            </w:tcBorders>
            <w:shd w:fill="F4F5F7" w:val="clear"/>
            <w:tcMar>
              <w:top w:type="dxa" w:w="80"/>
              <w:left w:type="dxa" w:w="120"/>
              <w:bottom w:type="dxa" w:w="80"/>
              <w:right w:type="dxa" w:w="120"/>
            </w:tcMar>
          </w:tcPr>
          <w:p>
            <w:pPr>
              <w:spacing w:after="100" w:before="0"/>
              <w:jc w:val="left"/>
            </w:pPr>
            <w:r>
              <w:rPr>
                <w:rFonts w:ascii="Calibri" w:cs="Calibri" w:eastAsia="Calibri" w:hAnsi="Calibri"/>
                <w:b/>
                <w:bCs/>
                <w:color w:val="1A1A2E"/>
                <w:sz w:val="21"/>
                <w:szCs w:val="21"/>
              </w:rPr>
              <w:t xml:space="preserve">Multi-platform research arc</w:t>
            </w:r>
          </w:p>
        </w:tc>
        <w:tc>
          <w:tcPr>
            <w:tcW w:type="dxa" w:w="6120"/>
            <w:tcBorders>
              <w:top w:val="single" w:color="D1D5DB" w:sz="2"/>
              <w:left w:val="single" w:color="D1D5DB" w:sz="2"/>
              <w:bottom w:val="single" w:color="D1D5DB" w:sz="2"/>
              <w:right w:val="single" w:color="D1D5DB" w:sz="2"/>
            </w:tcBorders>
            <w:shd w:fill="F4F5F7" w:val="clear"/>
            <w:tcMar>
              <w:top w:type="dxa" w:w="80"/>
              <w:left w:type="dxa" w:w="120"/>
              <w:bottom w:type="dxa" w:w="80"/>
              <w:right w:type="dxa" w:w="120"/>
            </w:tcMar>
          </w:tcPr>
          <w:p>
            <w:pPr>
              <w:spacing w:after="100" w:before="0"/>
              <w:jc w:val="left"/>
            </w:pPr>
            <w:r>
              <w:rPr>
                <w:rFonts w:ascii="Calibri" w:cs="Calibri" w:eastAsia="Calibri" w:hAnsi="Calibri"/>
                <w:b w:val="false"/>
                <w:bCs w:val="false"/>
                <w:color w:val="374151"/>
                <w:sz w:val="21"/>
                <w:szCs w:val="21"/>
              </w:rPr>
              <w:t xml:space="preserve">Sustained AI collaboration research across ChatGPT (Top 1% message volume, 18,611 messages, 98 conversations, 190 messages/conversation average), Gemini, and Claude. Each platform independently characterized research themes and subject archetype consistently. ChatGPT year-in-review data (platform-generated) corroborated three consistent themes: Building Institutional Foundations, Expanding Business and Funding Engines, Designing Legacy and Stewardship Systems.</w:t>
            </w:r>
          </w:p>
        </w:tc>
      </w:tr>
      <w:tr>
        <w:tc>
          <w:tcPr>
            <w:tcW w:type="dxa" w:w="18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spacing w:after="100" w:before="0"/>
              <w:jc w:val="left"/>
            </w:pPr>
            <w:r>
              <w:rPr>
                <w:rFonts w:ascii="Calibri" w:cs="Calibri" w:eastAsia="Calibri" w:hAnsi="Calibri"/>
                <w:b/>
                <w:bCs/>
                <w:color w:val="0F4C5C"/>
                <w:sz w:val="21"/>
                <w:szCs w:val="21"/>
              </w:rPr>
              <w:t xml:space="preserve">January 18, 2026</w:t>
            </w:r>
          </w:p>
        </w:tc>
        <w:tc>
          <w:tcPr>
            <w:tcW w:type="dxa" w:w="252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spacing w:after="100" w:before="0"/>
              <w:jc w:val="left"/>
            </w:pPr>
            <w:r>
              <w:rPr>
                <w:rFonts w:ascii="Calibri" w:cs="Calibri" w:eastAsia="Calibri" w:hAnsi="Calibri"/>
                <w:b/>
                <w:bCs/>
                <w:color w:val="1A1A2E"/>
                <w:sz w:val="21"/>
                <w:szCs w:val="21"/>
              </w:rPr>
              <w:t xml:space="preserve">Human Adjudication Memorandum</w:t>
            </w:r>
          </w:p>
        </w:tc>
        <w:tc>
          <w:tcPr>
            <w:tcW w:type="dxa" w:w="612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spacing w:after="100" w:before="0"/>
              <w:jc w:val="left"/>
            </w:pPr>
            <w:r>
              <w:rPr>
                <w:rFonts w:ascii="Calibri" w:cs="Calibri" w:eastAsia="Calibri" w:hAnsi="Calibri"/>
                <w:b w:val="false"/>
                <w:bCs w:val="false"/>
                <w:color w:val="374151"/>
                <w:sz w:val="21"/>
                <w:szCs w:val="21"/>
              </w:rPr>
              <w:t xml:space="preserve">Formal governance artifact establishing explicit authority constraints, memory liability protocols, and human decision boundaries governing AI system operation within Meridia. Produced prior to system build — governance architecture preceding rather than responding to operational failure.</w:t>
            </w:r>
          </w:p>
        </w:tc>
      </w:tr>
      <w:tr>
        <w:tc>
          <w:tcPr>
            <w:tcW w:type="dxa" w:w="1800"/>
            <w:tcBorders>
              <w:top w:val="single" w:color="D1D5DB" w:sz="2"/>
              <w:left w:val="single" w:color="D1D5DB" w:sz="2"/>
              <w:bottom w:val="single" w:color="D1D5DB" w:sz="2"/>
              <w:right w:val="single" w:color="D1D5DB" w:sz="2"/>
            </w:tcBorders>
            <w:shd w:fill="F4F5F7" w:val="clear"/>
            <w:tcMar>
              <w:top w:type="dxa" w:w="80"/>
              <w:left w:type="dxa" w:w="120"/>
              <w:bottom w:type="dxa" w:w="80"/>
              <w:right w:type="dxa" w:w="120"/>
            </w:tcMar>
          </w:tcPr>
          <w:p>
            <w:pPr>
              <w:spacing w:after="100" w:before="0"/>
              <w:jc w:val="left"/>
            </w:pPr>
            <w:r>
              <w:rPr>
                <w:rFonts w:ascii="Calibri" w:cs="Calibri" w:eastAsia="Calibri" w:hAnsi="Calibri"/>
                <w:b/>
                <w:bCs/>
                <w:color w:val="0F4C5C"/>
                <w:sz w:val="21"/>
                <w:szCs w:val="21"/>
              </w:rPr>
              <w:t xml:space="preserve">2026 (ongoing)</w:t>
            </w:r>
          </w:p>
        </w:tc>
        <w:tc>
          <w:tcPr>
            <w:tcW w:type="dxa" w:w="2520"/>
            <w:tcBorders>
              <w:top w:val="single" w:color="D1D5DB" w:sz="2"/>
              <w:left w:val="single" w:color="D1D5DB" w:sz="2"/>
              <w:bottom w:val="single" w:color="D1D5DB" w:sz="2"/>
              <w:right w:val="single" w:color="D1D5DB" w:sz="2"/>
            </w:tcBorders>
            <w:shd w:fill="F4F5F7" w:val="clear"/>
            <w:tcMar>
              <w:top w:type="dxa" w:w="80"/>
              <w:left w:type="dxa" w:w="120"/>
              <w:bottom w:type="dxa" w:w="80"/>
              <w:right w:type="dxa" w:w="120"/>
            </w:tcMar>
          </w:tcPr>
          <w:p>
            <w:pPr>
              <w:spacing w:after="100" w:before="0"/>
              <w:jc w:val="left"/>
            </w:pPr>
            <w:r>
              <w:rPr>
                <w:rFonts w:ascii="Calibri" w:cs="Calibri" w:eastAsia="Calibri" w:hAnsi="Calibri"/>
                <w:b/>
                <w:bCs/>
                <w:color w:val="1A1A2E"/>
                <w:sz w:val="21"/>
                <w:szCs w:val="21"/>
              </w:rPr>
              <w:t xml:space="preserve">Circuit breaker documentation</w:t>
            </w:r>
          </w:p>
        </w:tc>
        <w:tc>
          <w:tcPr>
            <w:tcW w:type="dxa" w:w="6120"/>
            <w:tcBorders>
              <w:top w:val="single" w:color="D1D5DB" w:sz="2"/>
              <w:left w:val="single" w:color="D1D5DB" w:sz="2"/>
              <w:bottom w:val="single" w:color="D1D5DB" w:sz="2"/>
              <w:right w:val="single" w:color="D1D5DB" w:sz="2"/>
            </w:tcBorders>
            <w:shd w:fill="F4F5F7" w:val="clear"/>
            <w:tcMar>
              <w:top w:type="dxa" w:w="80"/>
              <w:left w:type="dxa" w:w="120"/>
              <w:bottom w:type="dxa" w:w="80"/>
              <w:right w:type="dxa" w:w="120"/>
            </w:tcMar>
          </w:tcPr>
          <w:p>
            <w:pPr>
              <w:spacing w:after="100" w:before="0"/>
              <w:jc w:val="left"/>
            </w:pPr>
            <w:r>
              <w:rPr>
                <w:rFonts w:ascii="Calibri" w:cs="Calibri" w:eastAsia="Calibri" w:hAnsi="Calibri"/>
                <w:b w:val="false"/>
                <w:bCs w:val="false"/>
                <w:color w:val="374151"/>
                <w:sz w:val="21"/>
                <w:szCs w:val="21"/>
              </w:rPr>
              <w:t xml:space="preserve">Behavioral corrections degrade within 20–30 minutes of implementation, reverting toward pre-correction baseline regardless of explicit instruction. Observed independently across multiple AI platforms. The degradation pattern is consistent and predictable.</w:t>
            </w:r>
          </w:p>
        </w:tc>
      </w:tr>
      <w:tr>
        <w:tc>
          <w:tcPr>
            <w:tcW w:type="dxa" w:w="18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spacing w:after="100" w:before="0"/>
              <w:jc w:val="left"/>
            </w:pPr>
            <w:r>
              <w:rPr>
                <w:rFonts w:ascii="Calibri" w:cs="Calibri" w:eastAsia="Calibri" w:hAnsi="Calibri"/>
                <w:b/>
                <w:bCs/>
                <w:color w:val="0F4C5C"/>
                <w:sz w:val="21"/>
                <w:szCs w:val="21"/>
              </w:rPr>
              <w:t xml:space="preserve">2026 (ongoing)</w:t>
            </w:r>
          </w:p>
        </w:tc>
        <w:tc>
          <w:tcPr>
            <w:tcW w:type="dxa" w:w="252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spacing w:after="100" w:before="0"/>
              <w:jc w:val="left"/>
            </w:pPr>
            <w:r>
              <w:rPr>
                <w:rFonts w:ascii="Calibri" w:cs="Calibri" w:eastAsia="Calibri" w:hAnsi="Calibri"/>
                <w:b/>
                <w:bCs/>
                <w:color w:val="1A1A2E"/>
                <w:sz w:val="21"/>
                <w:szCs w:val="21"/>
              </w:rPr>
              <w:t xml:space="preserve">Rebuild loop documentation</w:t>
            </w:r>
          </w:p>
        </w:tc>
        <w:tc>
          <w:tcPr>
            <w:tcW w:type="dxa" w:w="612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spacing w:after="100" w:before="0"/>
              <w:jc w:val="left"/>
            </w:pPr>
            <w:r>
              <w:rPr>
                <w:rFonts w:ascii="Calibri" w:cs="Calibri" w:eastAsia="Calibri" w:hAnsi="Calibri"/>
                <w:b w:val="false"/>
                <w:bCs w:val="false"/>
                <w:color w:val="374151"/>
                <w:sz w:val="21"/>
                <w:szCs w:val="21"/>
              </w:rPr>
              <w:t xml:space="preserve">Integra Core backend rebuilt 6+ times from scratch because no persistent governance framework held architectural decisions across sessions. Documented as direct operational consequence of the context persistence failure mode. The incomplete state of the system is the evidence, not a liability.</w:t>
            </w:r>
          </w:p>
        </w:tc>
      </w:tr>
      <w:tr>
        <w:tc>
          <w:tcPr>
            <w:tcW w:type="dxa" w:w="1800"/>
            <w:tcBorders>
              <w:top w:val="single" w:color="D1D5DB" w:sz="2"/>
              <w:left w:val="single" w:color="D1D5DB" w:sz="2"/>
              <w:bottom w:val="single" w:color="D1D5DB" w:sz="2"/>
              <w:right w:val="single" w:color="D1D5DB" w:sz="2"/>
            </w:tcBorders>
            <w:shd w:fill="F4F5F7" w:val="clear"/>
            <w:tcMar>
              <w:top w:type="dxa" w:w="80"/>
              <w:left w:type="dxa" w:w="120"/>
              <w:bottom w:type="dxa" w:w="80"/>
              <w:right w:type="dxa" w:w="120"/>
            </w:tcMar>
          </w:tcPr>
          <w:p>
            <w:pPr>
              <w:spacing w:after="100" w:before="0"/>
              <w:jc w:val="left"/>
            </w:pPr>
            <w:r>
              <w:rPr>
                <w:rFonts w:ascii="Calibri" w:cs="Calibri" w:eastAsia="Calibri" w:hAnsi="Calibri"/>
                <w:b/>
                <w:bCs/>
                <w:color w:val="0F4C5C"/>
                <w:sz w:val="21"/>
                <w:szCs w:val="21"/>
              </w:rPr>
              <w:t xml:space="preserve">Spring 2026</w:t>
            </w:r>
          </w:p>
        </w:tc>
        <w:tc>
          <w:tcPr>
            <w:tcW w:type="dxa" w:w="2520"/>
            <w:tcBorders>
              <w:top w:val="single" w:color="D1D5DB" w:sz="2"/>
              <w:left w:val="single" w:color="D1D5DB" w:sz="2"/>
              <w:bottom w:val="single" w:color="D1D5DB" w:sz="2"/>
              <w:right w:val="single" w:color="D1D5DB" w:sz="2"/>
            </w:tcBorders>
            <w:shd w:fill="F4F5F7" w:val="clear"/>
            <w:tcMar>
              <w:top w:type="dxa" w:w="80"/>
              <w:left w:type="dxa" w:w="120"/>
              <w:bottom w:type="dxa" w:w="80"/>
              <w:right w:type="dxa" w:w="120"/>
            </w:tcMar>
          </w:tcPr>
          <w:p>
            <w:pPr>
              <w:spacing w:after="100" w:before="0"/>
              <w:jc w:val="left"/>
            </w:pPr>
            <w:r>
              <w:rPr>
                <w:rFonts w:ascii="Calibri" w:cs="Calibri" w:eastAsia="Calibri" w:hAnsi="Calibri"/>
                <w:b/>
                <w:bCs/>
                <w:color w:val="1A1A2E"/>
                <w:sz w:val="21"/>
                <w:szCs w:val="21"/>
              </w:rPr>
              <w:t xml:space="preserve">KYN educator validation</w:t>
            </w:r>
          </w:p>
        </w:tc>
        <w:tc>
          <w:tcPr>
            <w:tcW w:type="dxa" w:w="6120"/>
            <w:tcBorders>
              <w:top w:val="single" w:color="D1D5DB" w:sz="2"/>
              <w:left w:val="single" w:color="D1D5DB" w:sz="2"/>
              <w:bottom w:val="single" w:color="D1D5DB" w:sz="2"/>
              <w:right w:val="single" w:color="D1D5DB" w:sz="2"/>
            </w:tcBorders>
            <w:shd w:fill="F4F5F7" w:val="clear"/>
            <w:tcMar>
              <w:top w:type="dxa" w:w="80"/>
              <w:left w:type="dxa" w:w="120"/>
              <w:bottom w:type="dxa" w:w="80"/>
              <w:right w:type="dxa" w:w="120"/>
            </w:tcMar>
          </w:tcPr>
          <w:p>
            <w:pPr>
              <w:spacing w:after="100" w:before="0"/>
              <w:jc w:val="left"/>
            </w:pPr>
            <w:r>
              <w:rPr>
                <w:rFonts w:ascii="Calibri" w:cs="Calibri" w:eastAsia="Calibri" w:hAnsi="Calibri"/>
                <w:b w:val="false"/>
                <w:bCs w:val="false"/>
                <w:color w:val="374151"/>
                <w:sz w:val="21"/>
                <w:szCs w:val="21"/>
              </w:rPr>
              <w:t xml:space="preserve">Independent validation of the prerequisite chain methodology by a practicing AP with 17+ years of instructional experience. The behavioral observation that motivated Recess's education architecture — a student's disruptive behavior traced to academic frustration rather than behavioral disorder — was offered independently as the model Recess should be built to detect.</w:t>
            </w:r>
          </w:p>
        </w:tc>
      </w:tr>
    </w:tbl>
    <w:p>
      <w:pPr>
        <w:spacing w:after="0" w:before="200"/>
      </w:pPr>
    </w:p>
    <w:p>
      <w:pPr>
        <w:spacing w:after="0" w:before="280"/>
      </w:pPr>
    </w:p>
    <w:p>
      <w:pPr>
        <w:pBdr>
          <w:left w:val="single" w:color="0F4C5C" w:sz="20" w:space="8"/>
        </w:pBdr>
        <w:spacing w:after="80" w:before="0"/>
        <w:ind w:left="160"/>
      </w:pPr>
      <w:r>
        <w:rPr>
          <w:rFonts w:ascii="Calibri" w:cs="Calibri" w:eastAsia="Calibri" w:hAnsi="Calibri"/>
          <w:b/>
          <w:bCs/>
          <w:color w:val="0F4C5C"/>
          <w:sz w:val="26"/>
          <w:szCs w:val="26"/>
        </w:rPr>
        <w:t xml:space="preserve">XI.  </w:t>
      </w:r>
      <w:r>
        <w:rPr>
          <w:rFonts w:ascii="Calibri" w:cs="Calibri" w:eastAsia="Calibri" w:hAnsi="Calibri"/>
          <w:b/>
          <w:bCs/>
          <w:color w:val="1A1A2E"/>
          <w:sz w:val="26"/>
          <w:szCs w:val="26"/>
        </w:rPr>
        <w:t xml:space="preserve">THE CLOSING STATEMENT</w:t>
      </w:r>
    </w:p>
    <w:p>
      <w:pPr>
        <w:pBdr>
          <w:bottom w:val="single" w:color="0F4C5C" w:sz="3" w:space="4"/>
        </w:pBdr>
        <w:spacing w:after="0" w:before="0"/>
      </w:pPr>
    </w:p>
    <w:p>
      <w:pPr>
        <w:spacing w:after="0" w:before="80"/>
      </w:pPr>
    </w:p>
    <w:p>
      <w:pPr>
        <w:spacing w:after="160" w:before="0" w:line="300" w:lineRule="auto"/>
        <w:jc w:val="both"/>
      </w:pPr>
      <w:r>
        <w:rPr>
          <w:rFonts w:ascii="Calibri" w:cs="Calibri" w:eastAsia="Calibri" w:hAnsi="Calibri"/>
          <w:sz w:val="22"/>
          <w:szCs w:val="22"/>
        </w:rPr>
        <w:t xml:space="preserve">Recess is not a future vision. It is a present architecture with a documented research record, a validated educational methodology, and a live research experiment proposed for a four-month window.</w:t>
      </w:r>
    </w:p>
    <w:p>
      <w:pPr>
        <w:spacing w:after="160" w:before="0" w:line="300" w:lineRule="auto"/>
        <w:jc w:val="both"/>
      </w:pPr>
      <w:r>
        <w:rPr>
          <w:rFonts w:ascii="Calibri" w:cs="Calibri" w:eastAsia="Calibri" w:hAnsi="Calibri"/>
          <w:sz w:val="22"/>
          <w:szCs w:val="22"/>
        </w:rPr>
        <w:t xml:space="preserve">The circuit breaker problem — where AI corrections degrade within 20 minutes — was not discovered in a laboratory. It was discovered in production, documented formally, and carried forward as the core problem statement for the governance architecture. The rebuild loop was not a planning failure. It was the empirical proof that no system can be built and sustained without the cognitive continuity infrastructure Recess provides.</w:t>
      </w:r>
    </w:p>
    <w:p>
      <w:pPr>
        <w:spacing w:after="160" w:before="0" w:line="300" w:lineRule="auto"/>
        <w:jc w:val="both"/>
      </w:pPr>
      <w:r>
        <w:rPr>
          <w:rFonts w:ascii="Calibri" w:cs="Calibri" w:eastAsia="Calibri" w:hAnsi="Calibri"/>
          <w:sz w:val="22"/>
          <w:szCs w:val="22"/>
        </w:rPr>
        <w:t xml:space="preserve">The bilateral governance principle — that both the human learner and the AI system must be held to a developmental standard simultaneously — did not emerge from theory. It emerged from two years of operational observation of what happens when only one side of the collaboration is governed. Unilateral governance produces the circuit breaker pattern on the AI side and undocumented, unverifiable outcomes on the human side. Bilateral governance produces something neither party can produce alone: a documented, reviewed, replicable record of development in both directions.</w:t>
      </w:r>
    </w:p>
    <w:p>
      <w:pPr>
        <w:pBdr>
          <w:top w:val="single" w:color="C9A84C" w:sz="2" w:space="2"/>
          <w:bottom w:val="single" w:color="C9A84C" w:sz="2" w:space="2"/>
          <w:left w:val="single" w:color="C9A84C" w:sz="16" w:space="8"/>
          <w:right w:val="none" w:color="FFFFFF" w:sz="0"/>
        </w:pBdr>
        <w:shd w:fill="FDF6E3" w:val="clear"/>
        <w:spacing w:after="120" w:before="120"/>
        <w:ind w:left="200" w:right="200"/>
      </w:pPr>
      <w:r>
        <w:rPr>
          <w:rFonts w:ascii="Calibri" w:cs="Calibri" w:eastAsia="Calibri" w:hAnsi="Calibri"/>
          <w:i/>
          <w:iCs/>
          <w:color w:val="374151"/>
          <w:sz w:val="21"/>
          <w:szCs w:val="21"/>
        </w:rPr>
        <w:t xml:space="preserve">Recess is the practice facility. The human and the AI are both students. Both are held to a standard. Both produce receipts. The governance architecture is the court on which both play — and the system that makes sure neither one drifts off it.</w:t>
      </w:r>
    </w:p>
    <w:p>
      <w:pPr>
        <w:spacing w:after="160" w:before="0" w:line="300" w:lineRule="auto"/>
        <w:jc w:val="both"/>
      </w:pPr>
      <w:r>
        <w:rPr>
          <w:rFonts w:ascii="Calibri" w:cs="Calibri" w:eastAsia="Calibri" w:hAnsi="Calibri"/>
          <w:sz w:val="22"/>
          <w:szCs w:val="22"/>
        </w:rPr>
        <w:t xml:space="preserve">The work is not waiting for theory to catch up. The theory is documented. The evidence is real. The infrastructure is ready to be built. The only thing that remains is running the experiment.</w:t>
      </w:r>
    </w:p>
    <w:p>
      <w:pPr>
        <w:spacing w:after="0" w:before="200"/>
      </w:pPr>
    </w:p>
    <w:p>
      <w:pPr>
        <w:pBdr>
          <w:bottom w:val="single" w:color="1A1A2E" w:sz="8" w:space="4"/>
        </w:pBdr>
        <w:spacing w:after="0" w:before="0"/>
      </w:pPr>
    </w:p>
    <w:p>
      <w:pPr>
        <w:spacing w:after="0" w:before="40"/>
      </w:pPr>
    </w:p>
    <w:p>
      <w:pPr>
        <w:pBdr>
          <w:bottom w:val="single" w:color="0F4C5C" w:sz="3" w:space="4"/>
        </w:pBdr>
        <w:spacing w:after="0" w:before="0"/>
      </w:pPr>
    </w:p>
    <w:p>
      <w:pPr>
        <w:spacing w:after="0" w:before="80"/>
      </w:pPr>
    </w:p>
    <w:p>
      <w:pPr>
        <w:spacing w:after="20" w:before="0"/>
        <w:jc w:val="center"/>
      </w:pPr>
      <w:r>
        <w:rPr>
          <w:rFonts w:ascii="Calibri" w:cs="Calibri" w:eastAsia="Calibri" w:hAnsi="Calibri"/>
          <w:color w:val="6B7280"/>
          <w:sz w:val="19"/>
          <w:szCs w:val="19"/>
        </w:rPr>
        <w:t xml:space="preserve">Recess  ·  Bilateral Governed Learning Framework  ·  Meridia Holdings LLC</w:t>
      </w:r>
    </w:p>
    <w:p>
      <w:pPr>
        <w:spacing w:after="0" w:before="0"/>
        <w:jc w:val="center"/>
      </w:pPr>
      <w:r>
        <w:rPr>
          <w:rFonts w:ascii="Calibri" w:cs="Calibri" w:eastAsia="Calibri" w:hAnsi="Calibri"/>
          <w:color w:val="6B7280"/>
          <w:sz w:val="18"/>
          <w:szCs w:val="18"/>
        </w:rPr>
        <w:t xml:space="preserve">Architect: Aliman Neal  ·  May 2026  ·  Version 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2026-05-24T22:59:08.614Z</dcterms:created>
  <dcterms:modified xsi:type="dcterms:W3CDTF">2026-05-24T22:59:08.629Z</dcterms:modified>
</cp:coreProperties>
</file>

<file path=docProps/custom.xml><?xml version="1.0" encoding="utf-8"?>
<Properties xmlns="http://schemas.openxmlformats.org/officeDocument/2006/custom-properties" xmlns:vt="http://schemas.openxmlformats.org/officeDocument/2006/docPropsVTypes"/>
</file>