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9EF1A"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b/>
          <w:bCs/>
          <w:color w:val="000000"/>
          <w:kern w:val="0"/>
          <w14:ligatures w14:val="none"/>
        </w:rPr>
        <w:t>RECESS — Educator &amp; Administrator Input (Completed Responses)</w:t>
      </w:r>
    </w:p>
    <w:p w14:paraId="310675E3"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5FE55D34"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SECTION 1 — DOCUMENTATION</w:t>
      </w:r>
    </w:p>
    <w:p w14:paraId="7D3588A0"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09C7622E"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1.1 Process when a teacher identifies a student who needs support:</w:t>
      </w:r>
    </w:p>
    <w:p w14:paraId="410E4285"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Typically, the process begins when a classroom teacher notices academic, behavioral, or social-emotional concerns.</w:t>
      </w:r>
    </w:p>
    <w:p w14:paraId="5B1AD0EA"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2ECD90BA"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Steps:</w:t>
      </w:r>
    </w:p>
    <w:p w14:paraId="1F3602BE"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Teacher documents classroom concerns (work samples, behavior notes, assessment data)</w:t>
      </w:r>
    </w:p>
    <w:p w14:paraId="7613FE53"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Implements Tier 1 interventions (small groups, differentiation, behavior supports)</w:t>
      </w:r>
    </w:p>
    <w:p w14:paraId="7810A50B"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Communicates with parents</w:t>
      </w:r>
    </w:p>
    <w:p w14:paraId="3198909B"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Brings concerns to MTSS team (MTSS specialist, counselor, AP, instructional coach)</w:t>
      </w:r>
    </w:p>
    <w:p w14:paraId="44F05CA8"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Tier 2 plan is developed with progress monitoring</w:t>
      </w:r>
    </w:p>
    <w:p w14:paraId="541F646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If limited progress, Tier 3 interventions and possible SST meeting</w:t>
      </w:r>
    </w:p>
    <w:p w14:paraId="535BDFA5"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Continued lack of progress may lead to evaluation consideration (SPED or 504)</w:t>
      </w:r>
    </w:p>
    <w:p w14:paraId="069F8C12"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31CD3AD3"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Breakdowns often occur due to inconsistent documentation, lack of time, difficulty gathering evidence, and unclear intervention fidelity.</w:t>
      </w:r>
    </w:p>
    <w:p w14:paraId="2956718B"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744EA082"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1.2 Documentation teachers struggle with:</w:t>
      </w:r>
    </w:p>
    <w:p w14:paraId="07709237"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MTSS paperwork</w:t>
      </w:r>
    </w:p>
    <w:p w14:paraId="04A60C8B"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Progress monitoring logs</w:t>
      </w:r>
    </w:p>
    <w:p w14:paraId="713BEBB0"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Behavior intervention documentation</w:t>
      </w:r>
    </w:p>
    <w:p w14:paraId="22CDABCF"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Writing evidence</w:t>
      </w:r>
      <w:r w:rsidRPr="00317CC7">
        <w:rPr>
          <w:rFonts w:ascii="Aptos" w:eastAsia="Times New Roman" w:hAnsi="Aptos" w:cs="Times New Roman"/>
          <w:color w:val="000000"/>
          <w:kern w:val="0"/>
          <w14:ligatures w14:val="none"/>
        </w:rPr>
        <w:noBreakHyphen/>
        <w:t>based narratives</w:t>
      </w:r>
    </w:p>
    <w:p w14:paraId="4744FB31"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Reasons include time constraints, multiple systems, unclear expectations, and documentation fatigue.</w:t>
      </w:r>
    </w:p>
    <w:p w14:paraId="3C655C38"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178FACE2"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1.3 Where evidence currently lives:</w:t>
      </w:r>
    </w:p>
    <w:p w14:paraId="7DE81A16"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Assessment platforms</w:t>
      </w:r>
    </w:p>
    <w:p w14:paraId="4C3DC2D7"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Infinite Campus behavior and attendance</w:t>
      </w:r>
    </w:p>
    <w:p w14:paraId="78688DE4"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xml:space="preserve">- Teacher </w:t>
      </w:r>
      <w:proofErr w:type="spellStart"/>
      <w:r w:rsidRPr="00317CC7">
        <w:rPr>
          <w:rFonts w:ascii="Aptos" w:eastAsia="Times New Roman" w:hAnsi="Aptos" w:cs="Times New Roman"/>
          <w:color w:val="000000"/>
          <w:kern w:val="0"/>
          <w14:ligatures w14:val="none"/>
        </w:rPr>
        <w:t>gradebooks</w:t>
      </w:r>
      <w:proofErr w:type="spellEnd"/>
    </w:p>
    <w:p w14:paraId="5E18513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Parent communication logs</w:t>
      </w:r>
    </w:p>
    <w:p w14:paraId="65F0D90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Anecdotal notes and spreadsheets</w:t>
      </w:r>
    </w:p>
    <w:p w14:paraId="63C32C9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Gathering evidence can take 30–90 minutes per student.</w:t>
      </w:r>
    </w:p>
    <w:p w14:paraId="5192CCDC"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07CA079D"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1.4 Ideal documentation process:</w:t>
      </w:r>
    </w:p>
    <w:p w14:paraId="6C92D6E4"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One dashboard pulling all data sources</w:t>
      </w:r>
    </w:p>
    <w:p w14:paraId="584AE642"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Automatic intervention tracking</w:t>
      </w:r>
    </w:p>
    <w:p w14:paraId="4C704E5D"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Progress graphs generated</w:t>
      </w:r>
    </w:p>
    <w:p w14:paraId="0B7B1E34"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Pre</w:t>
      </w:r>
      <w:r w:rsidRPr="00317CC7">
        <w:rPr>
          <w:rFonts w:ascii="Aptos" w:eastAsia="Times New Roman" w:hAnsi="Aptos" w:cs="Times New Roman"/>
          <w:color w:val="000000"/>
          <w:kern w:val="0"/>
          <w14:ligatures w14:val="none"/>
        </w:rPr>
        <w:noBreakHyphen/>
        <w:t>populated referral forms</w:t>
      </w:r>
    </w:p>
    <w:p w14:paraId="0D427142"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Collaboration notes stored centrally</w:t>
      </w:r>
    </w:p>
    <w:p w14:paraId="48FFA593"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127FE5E0"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SECTION 2 — LESSON PLANNING</w:t>
      </w:r>
    </w:p>
    <w:p w14:paraId="4FA28450"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28BAC4E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2.1 Lesson plan components:</w:t>
      </w:r>
    </w:p>
    <w:p w14:paraId="2020DBF0"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Standards/objectives</w:t>
      </w:r>
    </w:p>
    <w:p w14:paraId="27A24FFE"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Success criteria</w:t>
      </w:r>
    </w:p>
    <w:p w14:paraId="18E399E5"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Instructional strategies</w:t>
      </w:r>
    </w:p>
    <w:p w14:paraId="6E9398C4"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Differentiation</w:t>
      </w:r>
    </w:p>
    <w:p w14:paraId="2F58885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Assessment methods</w:t>
      </w:r>
    </w:p>
    <w:p w14:paraId="72737C72"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Materials</w:t>
      </w:r>
    </w:p>
    <w:p w14:paraId="537A1182"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Small group plans</w:t>
      </w:r>
    </w:p>
    <w:p w14:paraId="0CFE77E1"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Time allocations</w:t>
      </w:r>
    </w:p>
    <w:p w14:paraId="1949A970"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39F5F818"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2.2 Planning at Shadow Rock:</w:t>
      </w:r>
    </w:p>
    <w:p w14:paraId="2C3B725C"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Weekly PLC meetings</w:t>
      </w:r>
    </w:p>
    <w:p w14:paraId="7F9EEB64"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Shared planning with adaptation</w:t>
      </w:r>
    </w:p>
    <w:p w14:paraId="0EB94F78"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Planning time often interrupted</w:t>
      </w:r>
    </w:p>
    <w:p w14:paraId="762A76E6"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r w:rsidRPr="00317CC7">
        <w:rPr>
          <w:rFonts w:ascii="Aptos" w:eastAsia="Times New Roman" w:hAnsi="Aptos" w:cs="Times New Roman"/>
          <w:color w:val="000000"/>
          <w:kern w:val="0"/>
          <w:u w:val="single"/>
          <w14:ligatures w14:val="none"/>
        </w:rPr>
        <w:t>3–5 hours</w:t>
      </w:r>
      <w:r w:rsidRPr="00317CC7">
        <w:rPr>
          <w:rFonts w:ascii="Aptos" w:eastAsia="Times New Roman" w:hAnsi="Aptos" w:cs="Times New Roman"/>
          <w:color w:val="000000"/>
          <w:kern w:val="0"/>
          <w14:ligatures w14:val="none"/>
        </w:rPr>
        <w:t> weekly per teacher</w:t>
      </w:r>
    </w:p>
    <w:p w14:paraId="56203A42"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2D67D49D"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2.3 Use of auto</w:t>
      </w:r>
      <w:r w:rsidRPr="00317CC7">
        <w:rPr>
          <w:rFonts w:ascii="Aptos" w:eastAsia="Times New Roman" w:hAnsi="Aptos" w:cs="Times New Roman"/>
          <w:color w:val="000000"/>
          <w:kern w:val="0"/>
          <w14:ligatures w14:val="none"/>
        </w:rPr>
        <w:noBreakHyphen/>
        <w:t>generated lesson frameworks:</w:t>
      </w:r>
    </w:p>
    <w:p w14:paraId="03544E53"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Teachers would likely use if customizable, time</w:t>
      </w:r>
      <w:r w:rsidRPr="00317CC7">
        <w:rPr>
          <w:rFonts w:ascii="Aptos" w:eastAsia="Times New Roman" w:hAnsi="Aptos" w:cs="Times New Roman"/>
          <w:color w:val="000000"/>
          <w:kern w:val="0"/>
          <w14:ligatures w14:val="none"/>
        </w:rPr>
        <w:noBreakHyphen/>
        <w:t>saving, standards</w:t>
      </w:r>
      <w:r w:rsidRPr="00317CC7">
        <w:rPr>
          <w:rFonts w:ascii="Aptos" w:eastAsia="Times New Roman" w:hAnsi="Aptos" w:cs="Times New Roman"/>
          <w:color w:val="000000"/>
          <w:kern w:val="0"/>
          <w14:ligatures w14:val="none"/>
        </w:rPr>
        <w:noBreakHyphen/>
        <w:t>aligned, and flexible.</w:t>
      </w:r>
    </w:p>
    <w:p w14:paraId="544D7DF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3BE69FAA"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SECTION 3 — WHAT THE BUILDING NEEDS</w:t>
      </w:r>
    </w:p>
    <w:p w14:paraId="1987FDF3"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112607CE"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3.1 Monday priority:</w:t>
      </w:r>
    </w:p>
    <w:p w14:paraId="7B0629F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A clear actionable instructional summary identifying students needing support and recommended interventions.</w:t>
      </w:r>
    </w:p>
    <w:p w14:paraId="368521E1"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2C71884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3.2 Data collected but underutilized:</w:t>
      </w:r>
    </w:p>
    <w:p w14:paraId="1A86204E"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Diagnostic reports, engagement indicators, skill</w:t>
      </w:r>
      <w:r w:rsidRPr="00317CC7">
        <w:rPr>
          <w:rFonts w:ascii="Aptos" w:eastAsia="Times New Roman" w:hAnsi="Aptos" w:cs="Times New Roman"/>
          <w:color w:val="000000"/>
          <w:kern w:val="0"/>
          <w14:ligatures w14:val="none"/>
        </w:rPr>
        <w:noBreakHyphen/>
        <w:t>gap trends due to lack of analysis time.</w:t>
      </w:r>
    </w:p>
    <w:p w14:paraId="26920443"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4ABA5375"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3.3 Students falling through cracks:</w:t>
      </w:r>
    </w:p>
    <w:p w14:paraId="69209687"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Students slightly below grade level with inconsistent performance and mild behavior concerns.</w:t>
      </w:r>
    </w:p>
    <w:p w14:paraId="223BAFE2"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66D727B9"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3.4 Leadership requirements:</w:t>
      </w:r>
    </w:p>
    <w:p w14:paraId="671BCE01"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Demonstrated academic growth, alignment to district goals, CCRPI impact, usability, and cost effectiveness.</w:t>
      </w:r>
    </w:p>
    <w:p w14:paraId="30BAE87C"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0D75BB03"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SECTION 4 — THE DISTRICT</w:t>
      </w:r>
    </w:p>
    <w:p w14:paraId="78940D05"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62C47C17"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4.1 District priorities:</w:t>
      </w:r>
    </w:p>
    <w:p w14:paraId="26D96130"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Literacy growth tools, MTSS supports, data</w:t>
      </w:r>
      <w:r w:rsidRPr="00317CC7">
        <w:rPr>
          <w:rFonts w:ascii="Aptos" w:eastAsia="Times New Roman" w:hAnsi="Aptos" w:cs="Times New Roman"/>
          <w:color w:val="000000"/>
          <w:kern w:val="0"/>
          <w14:ligatures w14:val="none"/>
        </w:rPr>
        <w:noBreakHyphen/>
        <w:t>driven platforms, engagement solutions.</w:t>
      </w:r>
    </w:p>
    <w:p w14:paraId="7C723850"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44E75903"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4.2 Current pilots reception:</w:t>
      </w:r>
    </w:p>
    <w:p w14:paraId="7A4E9CFB"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Assessment tools useful but often create data overload and lack instructional translation.</w:t>
      </w:r>
    </w:p>
    <w:p w14:paraId="34E941AB"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738919F4"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4.3 Approval process:</w:t>
      </w:r>
    </w:p>
    <w:p w14:paraId="6DB5A7DD"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The district must approve any new instructional platform, and the approval process is often very difficult and lengthy. It typically requires multiple levels of review, including curriculum, technology, data privacy, and budget considerations before implementation can occur.</w:t>
      </w:r>
    </w:p>
    <w:p w14:paraId="6CF5BDA5"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4.4 Outcomes needed for scaling:</w:t>
      </w:r>
    </w:p>
    <w:p w14:paraId="2A796698"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GA Milestones growth, improved literacy proficiency, reduced referrals, increased engagement, teacher time savings.</w:t>
      </w:r>
    </w:p>
    <w:p w14:paraId="0E618E3E"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4F9A9CC4"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4.5 Funding alignment:</w:t>
      </w:r>
    </w:p>
    <w:p w14:paraId="797CE68A"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Title I Part A, IDEA funds, literacy grants, district innovation funds. Budget planning typically winter–spring with implementation in summer or fall.</w:t>
      </w:r>
    </w:p>
    <w:p w14:paraId="47A52615" w14:textId="77777777" w:rsidR="00317CC7" w:rsidRPr="00317CC7" w:rsidRDefault="00317CC7" w:rsidP="00317CC7">
      <w:pPr>
        <w:spacing w:after="0" w:line="240" w:lineRule="auto"/>
        <w:rPr>
          <w:rFonts w:ascii="Aptos" w:eastAsia="Times New Roman" w:hAnsi="Aptos" w:cs="Times New Roman"/>
          <w:color w:val="000000"/>
          <w:kern w:val="0"/>
          <w14:ligatures w14:val="none"/>
        </w:rPr>
      </w:pPr>
      <w:r w:rsidRPr="00317CC7">
        <w:rPr>
          <w:rFonts w:ascii="Aptos" w:eastAsia="Times New Roman" w:hAnsi="Aptos" w:cs="Times New Roman"/>
          <w:color w:val="000000"/>
          <w:kern w:val="0"/>
          <w14:ligatures w14:val="none"/>
        </w:rPr>
        <w:t> </w:t>
      </w:r>
    </w:p>
    <w:p w14:paraId="63C1BAA1" w14:textId="77777777" w:rsidR="00317CC7" w:rsidRDefault="00317CC7"/>
    <w:sectPr w:rsidR="00317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CC7"/>
    <w:rsid w:val="000228A8"/>
    <w:rsid w:val="00317CC7"/>
    <w:rsid w:val="007301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709A12"/>
  <w15:chartTrackingRefBased/>
  <w15:docId w15:val="{A4F05ABC-7497-4B41-AB9C-2744220F9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CC7"/>
    <w:rPr>
      <w:rFonts w:eastAsiaTheme="majorEastAsia" w:cstheme="majorBidi"/>
      <w:color w:val="272727" w:themeColor="text1" w:themeTint="D8"/>
    </w:rPr>
  </w:style>
  <w:style w:type="paragraph" w:styleId="Title">
    <w:name w:val="Title"/>
    <w:basedOn w:val="Normal"/>
    <w:next w:val="Normal"/>
    <w:link w:val="TitleChar"/>
    <w:uiPriority w:val="10"/>
    <w:qFormat/>
    <w:rsid w:val="00317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CC7"/>
    <w:pPr>
      <w:spacing w:before="160"/>
      <w:jc w:val="center"/>
    </w:pPr>
    <w:rPr>
      <w:i/>
      <w:iCs/>
      <w:color w:val="404040" w:themeColor="text1" w:themeTint="BF"/>
    </w:rPr>
  </w:style>
  <w:style w:type="character" w:customStyle="1" w:styleId="QuoteChar">
    <w:name w:val="Quote Char"/>
    <w:basedOn w:val="DefaultParagraphFont"/>
    <w:link w:val="Quote"/>
    <w:uiPriority w:val="29"/>
    <w:rsid w:val="00317CC7"/>
    <w:rPr>
      <w:i/>
      <w:iCs/>
      <w:color w:val="404040" w:themeColor="text1" w:themeTint="BF"/>
    </w:rPr>
  </w:style>
  <w:style w:type="paragraph" w:styleId="ListParagraph">
    <w:name w:val="List Paragraph"/>
    <w:basedOn w:val="Normal"/>
    <w:uiPriority w:val="34"/>
    <w:qFormat/>
    <w:rsid w:val="00317CC7"/>
    <w:pPr>
      <w:ind w:left="720"/>
      <w:contextualSpacing/>
    </w:pPr>
  </w:style>
  <w:style w:type="character" w:styleId="IntenseEmphasis">
    <w:name w:val="Intense Emphasis"/>
    <w:basedOn w:val="DefaultParagraphFont"/>
    <w:uiPriority w:val="21"/>
    <w:qFormat/>
    <w:rsid w:val="00317CC7"/>
    <w:rPr>
      <w:i/>
      <w:iCs/>
      <w:color w:val="2F5496" w:themeColor="accent1" w:themeShade="BF"/>
    </w:rPr>
  </w:style>
  <w:style w:type="paragraph" w:styleId="IntenseQuote">
    <w:name w:val="Intense Quote"/>
    <w:basedOn w:val="Normal"/>
    <w:next w:val="Normal"/>
    <w:link w:val="IntenseQuoteChar"/>
    <w:uiPriority w:val="30"/>
    <w:qFormat/>
    <w:rsid w:val="00317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CC7"/>
    <w:rPr>
      <w:i/>
      <w:iCs/>
      <w:color w:val="2F5496" w:themeColor="accent1" w:themeShade="BF"/>
    </w:rPr>
  </w:style>
  <w:style w:type="character" w:styleId="IntenseReference">
    <w:name w:val="Intense Reference"/>
    <w:basedOn w:val="DefaultParagraphFont"/>
    <w:uiPriority w:val="32"/>
    <w:qFormat/>
    <w:rsid w:val="00317CC7"/>
    <w:rPr>
      <w:b/>
      <w:bCs/>
      <w:smallCaps/>
      <w:color w:val="2F5496" w:themeColor="accent1" w:themeShade="BF"/>
      <w:spacing w:val="5"/>
    </w:rPr>
  </w:style>
  <w:style w:type="character" w:customStyle="1" w:styleId="apple-converted-space">
    <w:name w:val="apple-converted-space"/>
    <w:basedOn w:val="DefaultParagraphFont"/>
    <w:rsid w:val="00317C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535</Words>
  <Characters>3054</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aneal@turnerseminary.org</dc:creator>
  <cp:keywords/>
  <dc:description/>
  <cp:lastModifiedBy>aneal@turnerseminary.org</cp:lastModifiedBy>
  <cp:revision>2</cp:revision>
  <dcterms:created xsi:type="dcterms:W3CDTF">2026-03-25T12:56:00Z</dcterms:created>
  <dcterms:modified xsi:type="dcterms:W3CDTF">2026-03-25T12:56:00Z</dcterms:modified>
</cp:coreProperties>
</file>