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6_Платежное поручение (оплата).doc</w:t>
      </w:r>
    </w:p>
    <w:p>
      <w:r>
        <w:t xml:space="preserve">### 2. Назначение документа</w:t>
      </w:r>
    </w:p>
    <w:p>
      <w:r>
        <w:t xml:space="preserve">Платёжный документ/поручение для уплаты пошлины.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- Реквизиты плательщика/получателя, КБК, сумма: заполняется вручную | из проекта: нет</w:t>
      </w:r>
    </w:p>
    <w:p>
      <w:r>
        <w:t xml:space="preserve">- Дата, номер платежного поручения: заполняется вручную | из проекта: нет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