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9E75"/>
          <w:sz w:val="72"/>
        </w:rPr>
        <w:t>EnergyLens</w:t>
      </w:r>
    </w:p>
    <w:p>
      <w:pPr>
        <w:jc w:val="center"/>
      </w:pPr>
      <w:r>
        <w:rPr>
          <w:b/>
          <w:color w:val="2C2C2A"/>
          <w:sz w:val="44"/>
        </w:rPr>
        <w:t>Dashboard Master Guide</w:t>
      </w:r>
    </w:p>
    <w:p>
      <w:pPr>
        <w:jc w:val="center"/>
      </w:pPr>
      <w:r>
        <w:rPr>
          <w:i/>
          <w:color w:val="606060"/>
          <w:sz w:val="26"/>
        </w:rPr>
        <w:t>9 Sayfalık Power BI Raporu — Sayfa Sayfa Teknik &amp; Enerji Mühendisliği Anlatımı</w:t>
      </w:r>
    </w:p>
    <w:p/>
    <w:p/>
    <w:p>
      <w:pPr>
        <w:spacing w:after="80"/>
      </w:pPr>
      <w:r>
        <w:rPr>
          <w:rFonts w:ascii="Calibri" w:hAnsi="Calibri"/>
          <w:b w:val="0"/>
          <w:i w:val="0"/>
          <w:color w:val="2C2C2A"/>
          <w:sz w:val="22"/>
        </w:rPr>
        <w:t>Bu doküman, EnergyLens platformunun mevcut Power BI raporunun (9 sayfa) her bir sayfasındaki KPI kartlarını ve görselleri; ne anlatıyorlar, hangi hesaplamayla üretiliyorlar, nasıl yorumlanmalı ve bina için neden önemliler — sorularına cevap verir. Hedef kitle: sen (ürün sahibi + enerji domain reviewer), ileride sana eşlik edecek consultant'lar ve facility manager kullanıcıları.</w:t>
      </w:r>
    </w:p>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Platform</w:t>
            </w:r>
          </w:p>
        </w:tc>
        <w:tc>
          <w:tcPr>
            <w:tcW w:type="dxa" w:w="6803"/>
          </w:tcPr>
          <w:p>
            <w:r>
              <w:rPr>
                <w:rFonts w:ascii="Calibri" w:hAnsi="Calibri"/>
                <w:color w:val="2C2C2A"/>
                <w:sz w:val="20"/>
              </w:rPr>
              <w:t>EnergyLens — Energy Copilot Platform for Commercial Buildings</w:t>
            </w:r>
          </w:p>
        </w:tc>
      </w:tr>
      <w:tr>
        <w:tc>
          <w:tcPr>
            <w:tcW w:type="dxa" w:w="2268"/>
          </w:tcPr>
          <w:p>
            <w:r>
              <w:rPr>
                <w:rFonts w:ascii="Calibri" w:hAnsi="Calibri"/>
                <w:b/>
                <w:color w:val="0F6E56"/>
                <w:sz w:val="20"/>
              </w:rPr>
              <w:t>Mimari</w:t>
            </w:r>
          </w:p>
        </w:tc>
        <w:tc>
          <w:tcPr>
            <w:tcW w:type="dxa" w:w="6803"/>
          </w:tcPr>
          <w:p>
            <w:r>
              <w:rPr>
                <w:rFonts w:ascii="Calibri" w:hAnsi="Calibri"/>
                <w:color w:val="2C2C2A"/>
                <w:sz w:val="20"/>
              </w:rPr>
              <w:t>Microsoft Fabric (Medallion: Bronze → Silver → Gold) + Power BI</w:t>
            </w:r>
          </w:p>
        </w:tc>
      </w:tr>
      <w:tr>
        <w:tc>
          <w:tcPr>
            <w:tcW w:type="dxa" w:w="2268"/>
          </w:tcPr>
          <w:p>
            <w:r>
              <w:rPr>
                <w:rFonts w:ascii="Calibri" w:hAnsi="Calibri"/>
                <w:b/>
                <w:color w:val="0F6E56"/>
                <w:sz w:val="20"/>
              </w:rPr>
              <w:t>Modelleme yaklaşımı</w:t>
            </w:r>
          </w:p>
        </w:tc>
        <w:tc>
          <w:tcPr>
            <w:tcW w:type="dxa" w:w="6803"/>
          </w:tcPr>
          <w:p>
            <w:r>
              <w:rPr>
                <w:rFonts w:ascii="Calibri" w:hAnsi="Calibri"/>
                <w:color w:val="2C2C2A"/>
                <w:sz w:val="20"/>
              </w:rPr>
              <w:t>BMAD — Business → Architecture → Data → Logic → Implementation</w:t>
            </w:r>
          </w:p>
        </w:tc>
      </w:tr>
      <w:tr>
        <w:tc>
          <w:tcPr>
            <w:tcW w:type="dxa" w:w="2268"/>
          </w:tcPr>
          <w:p>
            <w:r>
              <w:rPr>
                <w:rFonts w:ascii="Calibri" w:hAnsi="Calibri"/>
                <w:b/>
                <w:color w:val="0F6E56"/>
                <w:sz w:val="20"/>
              </w:rPr>
              <w:t>Rapor versiyonu</w:t>
            </w:r>
          </w:p>
        </w:tc>
        <w:tc>
          <w:tcPr>
            <w:tcW w:type="dxa" w:w="6803"/>
          </w:tcPr>
          <w:p>
            <w:r>
              <w:rPr>
                <w:rFonts w:ascii="Calibri" w:hAnsi="Calibri"/>
                <w:color w:val="2C2C2A"/>
                <w:sz w:val="20"/>
              </w:rPr>
              <w:t>DAX v42 (Page 7), v44 (Page 8), v47/v48 (Page 9) — 9 sayfa</w:t>
            </w:r>
          </w:p>
        </w:tc>
      </w:tr>
      <w:tr>
        <w:tc>
          <w:tcPr>
            <w:tcW w:type="dxa" w:w="2268"/>
          </w:tcPr>
          <w:p>
            <w:r>
              <w:rPr>
                <w:rFonts w:ascii="Calibri" w:hAnsi="Calibri"/>
                <w:b/>
                <w:color w:val="0F6E56"/>
                <w:sz w:val="20"/>
              </w:rPr>
              <w:t>Portföy</w:t>
            </w:r>
          </w:p>
        </w:tc>
        <w:tc>
          <w:tcPr>
            <w:tcW w:type="dxa" w:w="6803"/>
          </w:tcPr>
          <w:p>
            <w:r>
              <w:rPr>
                <w:rFonts w:ascii="Calibri" w:hAnsi="Calibri"/>
                <w:color w:val="2C2C2A"/>
                <w:sz w:val="20"/>
              </w:rPr>
              <w:t>6 bina — Berlin (DE), Hamburg (DE), Frankfurt (DE), Wien (AT), Amsterdam (NL), Istanbul (TR)</w:t>
            </w:r>
          </w:p>
        </w:tc>
      </w:tr>
      <w:tr>
        <w:tc>
          <w:tcPr>
            <w:tcW w:type="dxa" w:w="2268"/>
          </w:tcPr>
          <w:p>
            <w:r>
              <w:rPr>
                <w:rFonts w:ascii="Calibri" w:hAnsi="Calibri"/>
                <w:b/>
                <w:color w:val="0F6E56"/>
                <w:sz w:val="20"/>
              </w:rPr>
              <w:t>Veri kapsamı</w:t>
            </w:r>
          </w:p>
        </w:tc>
        <w:tc>
          <w:tcPr>
            <w:tcW w:type="dxa" w:w="6803"/>
          </w:tcPr>
          <w:p>
            <w:r>
              <w:rPr>
                <w:rFonts w:ascii="Calibri" w:hAnsi="Calibri"/>
                <w:color w:val="2C2C2A"/>
                <w:sz w:val="20"/>
              </w:rPr>
              <w:t>2023-01 → 2026-05, 15-dak/saatlik enerji okumaları + solar + batarya + occupancy + hava</w:t>
            </w:r>
          </w:p>
        </w:tc>
      </w:tr>
      <w:tr>
        <w:tc>
          <w:tcPr>
            <w:tcW w:type="dxa" w:w="2268"/>
          </w:tcPr>
          <w:p>
            <w:r>
              <w:rPr>
                <w:rFonts w:ascii="Calibri" w:hAnsi="Calibri"/>
                <w:b/>
                <w:color w:val="0F6E56"/>
                <w:sz w:val="20"/>
              </w:rPr>
              <w:t>Tarih</w:t>
            </w:r>
          </w:p>
        </w:tc>
        <w:tc>
          <w:tcPr>
            <w:tcW w:type="dxa" w:w="6803"/>
          </w:tcPr>
          <w:p>
            <w:r>
              <w:rPr>
                <w:rFonts w:ascii="Calibri" w:hAnsi="Calibri"/>
                <w:color w:val="2C2C2A"/>
                <w:sz w:val="20"/>
              </w:rPr>
              <w:t>2026-05-13</w:t>
            </w:r>
          </w:p>
        </w:tc>
      </w:tr>
    </w:tbl>
    <w:p>
      <w:r>
        <w:br w:type="page"/>
      </w:r>
    </w:p>
    <w:p>
      <w:pPr>
        <w:spacing w:before="360" w:after="160"/>
      </w:pPr>
      <w:r>
        <w:rPr>
          <w:rFonts w:ascii="Calibri" w:hAnsi="Calibri"/>
          <w:b/>
          <w:color w:val="0F6E56"/>
          <w:sz w:val="44"/>
        </w:rPr>
        <w:t>0. Proje Bir Bakışta</w:t>
      </w:r>
    </w:p>
    <w:p>
      <w:pPr>
        <w:spacing w:before="280" w:after="80"/>
      </w:pPr>
      <w:r>
        <w:rPr>
          <w:rFonts w:ascii="Calibri" w:hAnsi="Calibri"/>
          <w:b/>
          <w:color w:val="1D9E75"/>
          <w:sz w:val="30"/>
        </w:rPr>
        <w:t>Niye var?</w:t>
      </w:r>
    </w:p>
    <w:p>
      <w:pPr>
        <w:spacing w:after="80"/>
      </w:pPr>
      <w:r>
        <w:rPr>
          <w:rFonts w:ascii="Calibri" w:hAnsi="Calibri"/>
          <w:b w:val="0"/>
          <w:i w:val="0"/>
          <w:color w:val="2C2C2A"/>
          <w:sz w:val="22"/>
        </w:rPr>
        <w:t>Ticari binaların enerji yönetimi 3 koldan baskı altında: (1) artan enerji maliyetleri ve volatilite, (2) AB ve ulusal regülasyonlar (EPBD 2030, CSRD, ETS2, CRREM stranding), (3) net-sıfır taahhütleri. Mevcut BMS / SCADA sistemleri operasyonel ama 'finansal + uyumluluk + karbon stratejisi' katmanını veremiyor. EnergyLens bu boşluğu dolduran karar destek platformu — yani 'Energy Copilot' kavramının ürün hali.</w:t>
      </w:r>
    </w:p>
    <w:p>
      <w:pPr>
        <w:spacing w:before="280" w:after="80"/>
      </w:pPr>
      <w:r>
        <w:rPr>
          <w:rFonts w:ascii="Calibri" w:hAnsi="Calibri"/>
          <w:b/>
          <w:color w:val="1D9E75"/>
          <w:sz w:val="30"/>
        </w:rPr>
        <w:t>Üç kullanıcı persona</w:t>
      </w:r>
    </w:p>
    <w:p>
      <w:pPr>
        <w:pStyle w:val="ListBullet"/>
        <w:spacing w:after="40"/>
        <w:ind w:left="340"/>
      </w:pPr>
      <w:r>
        <w:rPr>
          <w:rFonts w:ascii="Calibri" w:hAnsi="Calibri"/>
          <w:color w:val="2C2C2A"/>
          <w:sz w:val="22"/>
        </w:rPr>
        <w:t>Facility Manager — günlük operasyon, anomali yönetimi, konfor/IoT (Sayfa 2, 3, 5, 8)</w:t>
      </w:r>
    </w:p>
    <w:p>
      <w:pPr>
        <w:pStyle w:val="ListBullet"/>
        <w:spacing w:after="40"/>
        <w:ind w:left="340"/>
      </w:pPr>
      <w:r>
        <w:rPr>
          <w:rFonts w:ascii="Calibri" w:hAnsi="Calibri"/>
          <w:color w:val="2C2C2A"/>
          <w:sz w:val="22"/>
        </w:rPr>
        <w:t>Energy Manager / Consultant — portföy KPI'ları, forecast, retrofit, karbon (Sayfa 1, 4, 6, 7, 9)</w:t>
      </w:r>
    </w:p>
    <w:p>
      <w:pPr>
        <w:pStyle w:val="ListBullet"/>
        <w:spacing w:after="40"/>
        <w:ind w:left="340"/>
      </w:pPr>
      <w:r>
        <w:rPr>
          <w:rFonts w:ascii="Calibri" w:hAnsi="Calibri"/>
          <w:color w:val="2C2C2A"/>
          <w:sz w:val="22"/>
        </w:rPr>
        <w:t>Platform Admin (Mert) — bina onboarding, abonelik, demo gösterimi</w:t>
      </w:r>
    </w:p>
    <w:p>
      <w:pPr>
        <w:spacing w:before="280" w:after="80"/>
      </w:pPr>
      <w:r>
        <w:rPr>
          <w:rFonts w:ascii="Calibri" w:hAnsi="Calibri"/>
          <w:b/>
          <w:color w:val="1D9E75"/>
          <w:sz w:val="30"/>
        </w:rPr>
        <w:t>Mimari özet</w:t>
      </w:r>
    </w:p>
    <w:p>
      <w:pPr>
        <w:spacing w:after="80"/>
      </w:pPr>
      <w:r>
        <w:rPr>
          <w:rFonts w:ascii="Calibri" w:hAnsi="Calibri"/>
          <w:b w:val="0"/>
          <w:i w:val="0"/>
          <w:color w:val="2C2C2A"/>
          <w:sz w:val="22"/>
        </w:rPr>
        <w:t>Microsoft Fabric Lakehouse'da medallion mimarisi:</w:t>
      </w:r>
    </w:p>
    <w:p>
      <w:pPr>
        <w:pStyle w:val="ListBullet"/>
        <w:spacing w:after="40"/>
        <w:ind w:left="340"/>
      </w:pPr>
      <w:r>
        <w:rPr>
          <w:rFonts w:ascii="Calibri" w:hAnsi="Calibri"/>
          <w:color w:val="2C2C2A"/>
          <w:sz w:val="22"/>
        </w:rPr>
        <w:t>Bronze — ham veri (CSV, API, IoT sensör, EPEX fiyat, hava verisi)</w:t>
      </w:r>
    </w:p>
    <w:p>
      <w:pPr>
        <w:pStyle w:val="ListBullet"/>
        <w:spacing w:after="40"/>
        <w:ind w:left="340"/>
      </w:pPr>
      <w:r>
        <w:rPr>
          <w:rFonts w:ascii="Calibri" w:hAnsi="Calibri"/>
          <w:color w:val="2C2C2A"/>
          <w:sz w:val="22"/>
        </w:rPr>
        <w:t>Silver — temizlenmiş, normalize edilmiş, standart birimler (kWh, kW, °C, ppm, tCO₂)</w:t>
      </w:r>
    </w:p>
    <w:p>
      <w:pPr>
        <w:pStyle w:val="ListBullet"/>
        <w:spacing w:after="40"/>
        <w:ind w:left="340"/>
      </w:pPr>
      <w:r>
        <w:rPr>
          <w:rFonts w:ascii="Calibri" w:hAnsi="Calibri"/>
          <w:color w:val="2C2C2A"/>
          <w:sz w:val="22"/>
        </w:rPr>
        <w:t>Gold — iş mantığı (gold_kpi_daily, gold_hvac_analytics, gold_battery_dispatch, gold_iot_realtime, gold_compliance_results)</w:t>
      </w:r>
    </w:p>
    <w:p>
      <w:pPr>
        <w:spacing w:after="80"/>
      </w:pPr>
      <w:r>
        <w:rPr>
          <w:rFonts w:ascii="Calibri" w:hAnsi="Calibri"/>
          <w:b w:val="0"/>
          <w:i w:val="0"/>
          <w:color w:val="2C2C2A"/>
          <w:sz w:val="22"/>
        </w:rPr>
        <w:t>Power BI semantik model bu Gold tablolara DirectLake ile bağlı; DAX ölçüleri sayfa bazlı v34→v48 arasında yaşıyor.</w:t>
      </w:r>
    </w:p>
    <w:p>
      <w:pPr>
        <w:spacing w:before="280" w:after="80"/>
      </w:pPr>
      <w:r>
        <w:rPr>
          <w:rFonts w:ascii="Calibri" w:hAnsi="Calibri"/>
          <w:b/>
          <w:color w:val="1D9E75"/>
          <w:sz w:val="30"/>
        </w:rPr>
        <w:t>Page Map — Hangi sayfa ne anlatır?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Sayfa 1</w:t>
            </w:r>
          </w:p>
        </w:tc>
        <w:tc>
          <w:tcPr>
            <w:tcW w:type="dxa" w:w="6803"/>
          </w:tcPr>
          <w:p>
            <w:r>
              <w:rPr>
                <w:rFonts w:ascii="Calibri" w:hAnsi="Calibri"/>
                <w:color w:val="2C2C2A"/>
                <w:sz w:val="20"/>
              </w:rPr>
              <w:t>Portfolio Overview — yönetim seviyesi özet (kWh, EUI, anomali, maliyet, karbon)</w:t>
            </w:r>
          </w:p>
        </w:tc>
      </w:tr>
      <w:tr>
        <w:tc>
          <w:tcPr>
            <w:tcW w:type="dxa" w:w="2268"/>
          </w:tcPr>
          <w:p>
            <w:r>
              <w:rPr>
                <w:rFonts w:ascii="Calibri" w:hAnsi="Calibri"/>
                <w:b/>
                <w:color w:val="0F6E56"/>
                <w:sz w:val="20"/>
              </w:rPr>
              <w:t>Sayfa 2</w:t>
            </w:r>
          </w:p>
        </w:tc>
        <w:tc>
          <w:tcPr>
            <w:tcW w:type="dxa" w:w="6803"/>
          </w:tcPr>
          <w:p>
            <w:r>
              <w:rPr>
                <w:rFonts w:ascii="Calibri" w:hAnsi="Calibri"/>
                <w:color w:val="2C2C2A"/>
                <w:sz w:val="20"/>
              </w:rPr>
              <w:t>Energy Profile — günlük profil, peak demand, solar, batarya, hava etkisi (HDD/CDD)</w:t>
            </w:r>
          </w:p>
        </w:tc>
      </w:tr>
      <w:tr>
        <w:tc>
          <w:tcPr>
            <w:tcW w:type="dxa" w:w="2268"/>
          </w:tcPr>
          <w:p>
            <w:r>
              <w:rPr>
                <w:rFonts w:ascii="Calibri" w:hAnsi="Calibri"/>
                <w:b/>
                <w:color w:val="0F6E56"/>
                <w:sz w:val="20"/>
              </w:rPr>
              <w:t>Sayfa 3</w:t>
            </w:r>
          </w:p>
        </w:tc>
        <w:tc>
          <w:tcPr>
            <w:tcW w:type="dxa" w:w="6803"/>
          </w:tcPr>
          <w:p>
            <w:r>
              <w:rPr>
                <w:rFonts w:ascii="Calibri" w:hAnsi="Calibri"/>
                <w:color w:val="2C2C2A"/>
                <w:sz w:val="20"/>
              </w:rPr>
              <w:t>Anomaly &amp; Risk Monitor — fault detection, severity dağılımı, çözüm hızı</w:t>
            </w:r>
          </w:p>
        </w:tc>
      </w:tr>
      <w:tr>
        <w:tc>
          <w:tcPr>
            <w:tcW w:type="dxa" w:w="2268"/>
          </w:tcPr>
          <w:p>
            <w:r>
              <w:rPr>
                <w:rFonts w:ascii="Calibri" w:hAnsi="Calibri"/>
                <w:b/>
                <w:color w:val="0F6E56"/>
                <w:sz w:val="20"/>
              </w:rPr>
              <w:t>Sayfa 4</w:t>
            </w:r>
          </w:p>
        </w:tc>
        <w:tc>
          <w:tcPr>
            <w:tcW w:type="dxa" w:w="6803"/>
          </w:tcPr>
          <w:p>
            <w:r>
              <w:rPr>
                <w:rFonts w:ascii="Calibri" w:hAnsi="Calibri"/>
                <w:color w:val="2C2C2A"/>
                <w:sz w:val="20"/>
              </w:rPr>
              <w:t>Forecast &amp; Recommendations — ML forecast + aksiyon önerileri + payback</w:t>
            </w:r>
          </w:p>
        </w:tc>
      </w:tr>
      <w:tr>
        <w:tc>
          <w:tcPr>
            <w:tcW w:type="dxa" w:w="2268"/>
          </w:tcPr>
          <w:p>
            <w:r>
              <w:rPr>
                <w:rFonts w:ascii="Calibri" w:hAnsi="Calibri"/>
                <w:b/>
                <w:color w:val="0F6E56"/>
                <w:sz w:val="20"/>
              </w:rPr>
              <w:t>Sayfa 5</w:t>
            </w:r>
          </w:p>
        </w:tc>
        <w:tc>
          <w:tcPr>
            <w:tcW w:type="dxa" w:w="6803"/>
          </w:tcPr>
          <w:p>
            <w:r>
              <w:rPr>
                <w:rFonts w:ascii="Calibri" w:hAnsi="Calibri"/>
                <w:color w:val="2C2C2A"/>
                <w:sz w:val="20"/>
              </w:rPr>
              <w:t>Occupancy — kullanım profili, 7×24 heatmap, after-hours israfı</w:t>
            </w:r>
          </w:p>
        </w:tc>
      </w:tr>
      <w:tr>
        <w:tc>
          <w:tcPr>
            <w:tcW w:type="dxa" w:w="2268"/>
          </w:tcPr>
          <w:p>
            <w:r>
              <w:rPr>
                <w:rFonts w:ascii="Calibri" w:hAnsi="Calibri"/>
                <w:b/>
                <w:color w:val="0F6E56"/>
                <w:sz w:val="20"/>
              </w:rPr>
              <w:t>Sayfa 6</w:t>
            </w:r>
          </w:p>
        </w:tc>
        <w:tc>
          <w:tcPr>
            <w:tcW w:type="dxa" w:w="6803"/>
          </w:tcPr>
          <w:p>
            <w:r>
              <w:rPr>
                <w:rFonts w:ascii="Calibri" w:hAnsi="Calibri"/>
                <w:color w:val="2C2C2A"/>
                <w:sz w:val="20"/>
              </w:rPr>
              <w:t>Carbon &amp; CRREM — GHG yoğunluğu, EPC, ETS2 maruziyeti, stranding yılı</w:t>
            </w:r>
          </w:p>
        </w:tc>
      </w:tr>
      <w:tr>
        <w:tc>
          <w:tcPr>
            <w:tcW w:type="dxa" w:w="2268"/>
          </w:tcPr>
          <w:p>
            <w:r>
              <w:rPr>
                <w:rFonts w:ascii="Calibri" w:hAnsi="Calibri"/>
                <w:b/>
                <w:color w:val="0F6E56"/>
                <w:sz w:val="20"/>
              </w:rPr>
              <w:t>Sayfa 7</w:t>
            </w:r>
          </w:p>
        </w:tc>
        <w:tc>
          <w:tcPr>
            <w:tcW w:type="dxa" w:w="6803"/>
          </w:tcPr>
          <w:p>
            <w:r>
              <w:rPr>
                <w:rFonts w:ascii="Calibri" w:hAnsi="Calibri"/>
                <w:color w:val="2C2C2A"/>
                <w:sz w:val="20"/>
              </w:rPr>
              <w:t>HVAC &amp; Envelope — sistem türleri, COP/SCOP, ısı kaybı, retrofit önceliği</w:t>
            </w:r>
          </w:p>
        </w:tc>
      </w:tr>
      <w:tr>
        <w:tc>
          <w:tcPr>
            <w:tcW w:type="dxa" w:w="2268"/>
          </w:tcPr>
          <w:p>
            <w:r>
              <w:rPr>
                <w:rFonts w:ascii="Calibri" w:hAnsi="Calibri"/>
                <w:b/>
                <w:color w:val="0F6E56"/>
                <w:sz w:val="20"/>
              </w:rPr>
              <w:t>Sayfa 8</w:t>
            </w:r>
          </w:p>
        </w:tc>
        <w:tc>
          <w:tcPr>
            <w:tcW w:type="dxa" w:w="6803"/>
          </w:tcPr>
          <w:p>
            <w:r>
              <w:rPr>
                <w:rFonts w:ascii="Calibri" w:hAnsi="Calibri"/>
                <w:color w:val="2C2C2A"/>
                <w:sz w:val="20"/>
              </w:rPr>
              <w:t>IoT Monitoring — real-time kW, zone konfor, sensör sağlığı, anlık alert</w:t>
            </w:r>
          </w:p>
        </w:tc>
      </w:tr>
      <w:tr>
        <w:tc>
          <w:tcPr>
            <w:tcW w:type="dxa" w:w="2268"/>
          </w:tcPr>
          <w:p>
            <w:r>
              <w:rPr>
                <w:rFonts w:ascii="Calibri" w:hAnsi="Calibri"/>
                <w:b/>
                <w:color w:val="0F6E56"/>
                <w:sz w:val="20"/>
              </w:rPr>
              <w:t>Sayfa 9</w:t>
            </w:r>
          </w:p>
        </w:tc>
        <w:tc>
          <w:tcPr>
            <w:tcW w:type="dxa" w:w="6803"/>
          </w:tcPr>
          <w:p>
            <w:r>
              <w:rPr>
                <w:rFonts w:ascii="Calibri" w:hAnsi="Calibri"/>
                <w:color w:val="2C2C2A"/>
                <w:sz w:val="20"/>
              </w:rPr>
              <w:t>Battery Strategy — solar+batarya stratejileri, payback, ROI, 24h dispatch</w:t>
            </w:r>
          </w:p>
        </w:tc>
      </w:tr>
    </w:tbl>
    <w:p>
      <w:r>
        <w:br w:type="page"/>
      </w:r>
    </w:p>
    <w:p>
      <w:pPr>
        <w:spacing w:before="360" w:after="160"/>
      </w:pPr>
      <w:r>
        <w:rPr>
          <w:rFonts w:ascii="Calibri" w:hAnsi="Calibri"/>
          <w:b/>
          <w:color w:val="0F6E56"/>
          <w:sz w:val="44"/>
        </w:rPr>
        <w:t>Sayfa 1 — Portfolio Overview / Executive Summary</w:t>
      </w:r>
    </w:p>
    <w:p>
      <w:pPr>
        <w:spacing w:before="280" w:after="80"/>
      </w:pPr>
      <w:r>
        <w:rPr>
          <w:rFonts w:ascii="Calibri" w:hAnsi="Calibri"/>
          <w:b/>
          <w:color w:val="1D9E75"/>
          <w:sz w:val="30"/>
        </w:rPr>
        <w:t>Sayfanın amacı</w:t>
      </w:r>
    </w:p>
    <w:p>
      <w:pPr>
        <w:spacing w:after="80"/>
      </w:pPr>
      <w:r>
        <w:rPr>
          <w:rFonts w:ascii="Calibri" w:hAnsi="Calibri"/>
          <w:b w:val="0"/>
          <w:i w:val="0"/>
          <w:color w:val="2C2C2A"/>
          <w:sz w:val="22"/>
        </w:rPr>
        <w:t>Energy Manager veya bina sahibi sabah 'durumum ne?' dediğinde gördüğü ilk ekran. Tüm portföyün 30 saniyede özetlendiği yer. Tek bir karar verdirir: bugün hangi binaya/soruna odaklanmalıyım?</w:t>
      </w:r>
    </w:p>
    <w:p>
      <w:pPr>
        <w:spacing w:after="80"/>
      </w:pPr>
      <w:r>
        <w:rPr>
          <w:rFonts w:ascii="Calibri" w:hAnsi="Calibri"/>
          <w:b w:val="0"/>
          <w:i w:val="0"/>
          <w:color w:val="2C2C2A"/>
          <w:sz w:val="22"/>
        </w:rPr>
        <w:t>Hedef kullanıcı: Energy Manager, Consultant, C-level. Operasyonel detay yok — bu sayfa stratejik filtreleme katmanı.</w:t>
      </w:r>
    </w:p>
    <w:p>
      <w:pPr>
        <w:spacing w:before="280" w:after="80"/>
      </w:pPr>
      <w:r>
        <w:rPr>
          <w:rFonts w:ascii="Calibri" w:hAnsi="Calibri"/>
          <w:b/>
          <w:color w:val="1D9E75"/>
          <w:sz w:val="30"/>
        </w:rPr>
        <w:t>Üst Bant — KPI Kartları</w:t>
      </w:r>
    </w:p>
    <w:p>
      <w:pPr>
        <w:spacing w:before="200" w:after="40"/>
      </w:pPr>
      <w:r>
        <w:rPr>
          <w:rFonts w:ascii="Calibri" w:hAnsi="Calibri"/>
          <w:b/>
          <w:color w:val="639922"/>
          <w:sz w:val="24"/>
        </w:rPr>
        <w:t>C1 — Total Energy Consume kWh (113,148 kWh)</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Seçili dönemdeki tüm binaların elektrik + gaz (kWh eşdeğeri) toplam tüketimi.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SUM(gold_kpi_daily[total_consumption_kwh]) — slicer filtrelerine duyarlı. 'Goal' altta: bir önceki dönem (PY) veya hedef.</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Mutlak büyüklük → portföy ölçeğini anlatır. -%5.26 olması: hedefin altında kalmışız (iyi). Yeşil ok.</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Toplam tüketim, faturanın baz büyüklüğü. Karbon, maliyet ve EUI'nin paydası olmadan bu kart yalnız anlamlı değil — diğer kartlarla birlikte okunmalı.</w:t>
            </w:r>
          </w:p>
        </w:tc>
      </w:tr>
    </w:tbl>
    <w:p>
      <w:pPr>
        <w:spacing w:before="200" w:after="40"/>
      </w:pPr>
      <w:r>
        <w:rPr>
          <w:rFonts w:ascii="Calibri" w:hAnsi="Calibri"/>
          <w:b/>
          <w:color w:val="639922"/>
          <w:sz w:val="24"/>
        </w:rPr>
        <w:t>C2 — Avg EUI (0.25 kWh/m²/day)</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Energy Use Intensity — alan başına günlük tüketim (kWh / m² · gün). Binalar arası karşılaştırma için altın metrik.</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AVG(daily_kwh / building_area_m2) — alan ağırlıklı değil, basit ortalama. Yıllık'a çevirmek: ×365.</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0.25 kWh/m²/gün = 91 kWh/m²/yıl. Avrupa ortalama ofis ~150-250 kWh/m²/yıl. Portföy genel olarak verimli görünüyor ama bina bazında dağılım önemli (alttaki EUI Benchmark görseline bak).</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EUI, bina büyüklüğünden bağımsız 'verim' ölçüsüdür. EPBD 2030, CRREM ve EPC sistemlerinin temelidir. Bir Energy Manager'ın günlük dilinde m² başına kWh konuşur.</w:t>
            </w:r>
          </w:p>
        </w:tc>
      </w:tr>
    </w:tbl>
    <w:p>
      <w:pPr>
        <w:spacing w:before="200" w:after="40"/>
      </w:pPr>
      <w:r>
        <w:rPr>
          <w:rFonts w:ascii="Calibri" w:hAnsi="Calibri"/>
          <w:b/>
          <w:color w:val="639922"/>
          <w:sz w:val="24"/>
        </w:rPr>
        <w:t>C3 — Active Anomalies (12)</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Şu an aktif (is_resolved = FALSE) olan anomali sayısı. Severity ayrımı olmadan toplam.</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COUNT(gold_anomaly_alerts WHERE is_resolved = FALSE) — slicer'a uyarlı.</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12 anomali = düşük-orta yük. 50+ olsa kırmızı alarm. Sayfa 3'e tıklayıp severity dağılımına bakmalı.</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Anomali = enerji israfı ya da ekipman arızası sinyali. Açık kaldıkça günlük ekstra maliyet üretiyor. Resolution rate ve avg days open (Sayfa 3) bununla beraber okunmalı.</w:t>
            </w:r>
          </w:p>
        </w:tc>
      </w:tr>
    </w:tbl>
    <w:p>
      <w:pPr>
        <w:spacing w:before="200" w:after="40"/>
      </w:pPr>
      <w:r>
        <w:rPr>
          <w:rFonts w:ascii="Calibri" w:hAnsi="Calibri"/>
          <w:b/>
          <w:color w:val="639922"/>
          <w:sz w:val="24"/>
        </w:rPr>
        <w:t>C4 — Total Energy Cost (€28,958)</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Seçili dönemin elektrik + gaz maliyeti (€).</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SUM(daily_kwh × price_per_kwh) — ülke bazlı tarife: DE €0.20/kWh elektrik, €0.07/kWh gaz; TR €0.14/kWh; vb. Sayfa 9 ile aynı pricing logic.</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Tarife değişimine ve tüketim azalmasına aynı anda duyarlı. Kart bağımsız okunmaz — kWh ile birlikte: tüketim azaldı mı, tarife mi düştü?</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Karar verici (CFO, sahibi) için 'TL/EUR yüzü'. Mühendis kWh konuşur, finansçı €. EnergyLens bu çeviriyi netleştirir.</w:t>
            </w:r>
          </w:p>
        </w:tc>
      </w:tr>
    </w:tbl>
    <w:p>
      <w:pPr>
        <w:spacing w:before="200" w:after="40"/>
      </w:pPr>
      <w:r>
        <w:rPr>
          <w:rFonts w:ascii="Calibri" w:hAnsi="Calibri"/>
          <w:b/>
          <w:color w:val="639922"/>
          <w:sz w:val="24"/>
        </w:rPr>
        <w:t>C5 — Net Carbon Footprint (28 tCO₂)</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Net karbon ayak izi: doğrudan emisyon (Scope 1 — gaz, kazan) + dolaylı emisyon (Scope 2 — şebeke elektriği) − solar/yeşil enerji ile evrilen (avoid edilen) emisyon.</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Σ(kWh × grid_carbon_intensity g/kWh) + Σ(gas_kwh × 0.20 kgCO₂/kWh) − Σ(solar_kwh × grid_carbon_intensity)</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28 tCO₂ — 'Goal: 79' aşılmış (-%64.42 iyi). Hedef agresif konmuş demek ki, ya da tüketim çok düştü.</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CSRD ve ETS2 raporlamasının temel sayısıdır. AB'de ticari binalar 2027'den itibaren ETS2 kapsamında: her tCO₂ için ~€85-100 vergi. 28 tCO₂ × €100 = €2,800 yıllık ek maliyet.</w:t>
            </w:r>
          </w:p>
        </w:tc>
      </w:tr>
    </w:tbl>
    <w:p>
      <w:pPr>
        <w:spacing w:before="200" w:after="40"/>
      </w:pPr>
      <w:r>
        <w:rPr>
          <w:rFonts w:ascii="Calibri" w:hAnsi="Calibri"/>
          <w:b/>
          <w:color w:val="639922"/>
          <w:sz w:val="24"/>
        </w:rPr>
        <w:t>İkincil kartlar (alt bant)</w:t>
      </w:r>
    </w:p>
    <w:p>
      <w:pPr>
        <w:pStyle w:val="ListBullet"/>
        <w:spacing w:after="40"/>
        <w:ind w:left="340"/>
      </w:pPr>
      <w:r>
        <w:rPr>
          <w:rFonts w:ascii="Calibri" w:hAnsi="Calibri"/>
          <w:color w:val="2C2C2A"/>
          <w:sz w:val="22"/>
        </w:rPr>
        <w:t>Last Week Consumption (8,005 kWh, ▼2.2% WoW) — kısa vadeli trend. Haftalık düşüş normal sapma içinde.</w:t>
      </w:r>
    </w:p>
    <w:p>
      <w:pPr>
        <w:pStyle w:val="ListBullet"/>
        <w:spacing w:after="40"/>
        <w:ind w:left="340"/>
      </w:pPr>
      <w:r>
        <w:rPr>
          <w:rFonts w:ascii="Calibri" w:hAnsi="Calibri"/>
          <w:color w:val="2C2C2A"/>
          <w:sz w:val="22"/>
        </w:rPr>
        <w:t>Last Month Consumption (▼▼43.5% MoM) — aylık devasa düşüş. Mevsim etkisi (ısıtma dönemi sonu) veya bina kapanması; tek başına 'iyileşme' diye okunmamalı, HDD/CDD ile normalize edilmeli (Sayfa 2).</w:t>
      </w:r>
    </w:p>
    <w:p>
      <w:pPr>
        <w:pStyle w:val="ListBullet"/>
        <w:spacing w:after="40"/>
        <w:ind w:left="340"/>
      </w:pPr>
      <w:r>
        <w:rPr>
          <w:rFonts w:ascii="Calibri" w:hAnsi="Calibri"/>
          <w:color w:val="2C2C2A"/>
          <w:sz w:val="22"/>
        </w:rPr>
        <w:t>Last 7 Days Cost (€1,585.63) ve Last 30 Days CO₂ (8.9 tCO₂) — hızlı sanity check.</w:t>
      </w:r>
    </w:p>
    <w:p>
      <w:pPr>
        <w:spacing w:before="280" w:after="80"/>
      </w:pPr>
      <w:r>
        <w:rPr>
          <w:rFonts w:ascii="Calibri" w:hAnsi="Calibri"/>
          <w:b/>
          <w:color w:val="1D9E75"/>
          <w:sz w:val="30"/>
        </w:rPr>
        <w:t>V1 — Building-Based Consumption (Current vs PY)</w:t>
      </w:r>
    </w:p>
    <w:p>
      <w:pPr>
        <w:spacing w:before="200" w:after="40"/>
      </w:pPr>
      <w:r>
        <w:rPr>
          <w:rFonts w:ascii="Calibri" w:hAnsi="Calibri"/>
          <w:b/>
          <w:color w:val="639922"/>
          <w:sz w:val="24"/>
        </w:rPr>
        <w:t>Görsel tipi: Clustered Column Chart</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ekseni = bina adı; Y = toplam kWh; iki bar/bina: Current period vs Prior Year (PY).</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SUM(total_consumption_kwh) bina başına; PY için aynı dönem geçen yıl LASTYEAR / DATEADD DAX kalıbı.</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Bina bazında yıllık karşılaştırma. Berliner Bürogebäude Alpha 1,381K → 1,251K = -%9.4 (iyi, retrofit veya işletme iyileşmesi). Bir binada PY'den yüksek bar varsa, oraya odaklan.</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Year-over-year karşılaştırma, mevsim ve operasyon değişikliklerini gösteren tek normalize ölçüdür. Tarife değişimine duyarsız (kWh konuşuyor), karbon ve maliyet de paralel hareket eder.</w:t>
            </w:r>
          </w:p>
        </w:tc>
      </w:tr>
    </w:tbl>
    <w:p>
      <w:pPr>
        <w:spacing w:before="280" w:after="80"/>
      </w:pPr>
      <w:r>
        <w:rPr>
          <w:rFonts w:ascii="Calibri" w:hAnsi="Calibri"/>
          <w:b/>
          <w:color w:val="1D9E75"/>
          <w:sz w:val="30"/>
        </w:rPr>
        <w:t>V2 — Anomaly Severity × Building Heatmap</w:t>
      </w:r>
    </w:p>
    <w:p>
      <w:pPr>
        <w:spacing w:before="200" w:after="40"/>
      </w:pPr>
      <w:r>
        <w:rPr>
          <w:rFonts w:ascii="Calibri" w:hAnsi="Calibri"/>
          <w:b/>
          <w:color w:val="639922"/>
          <w:sz w:val="24"/>
        </w:rPr>
        <w:t>Görsel tipi: Matrix / Heatmap</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Satır = bina, sütun = Critical / High / Medium / Low; hücre = anomali sayısı; renk yoğunluğu sayıya göre.</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COUNT(anomaly_alerts) GROUP BY building_id, severity. Default 1 yıllık veya slicer dönemine göre.</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Berliner = 46 (göreceli yüksek ama bina büyük olabilir, normalize değil). Severity dağılımı önemli: Berliner'in Critical'ı 0 ise yönetilebilir; 10+ ise acil.</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Anomali tek sayı değil, profili önemli: bir binada 10 Critical = derhal müdahale; 100 Low = sistem hassas ayarlı, gürültü. Severity profili 'sağlık röntgeni' gibidir.</w:t>
            </w:r>
          </w:p>
        </w:tc>
      </w:tr>
    </w:tbl>
    <w:p>
      <w:pPr>
        <w:spacing w:before="280" w:after="80"/>
      </w:pPr>
      <w:r>
        <w:rPr>
          <w:rFonts w:ascii="Calibri" w:hAnsi="Calibri"/>
          <w:b/>
          <w:color w:val="1D9E75"/>
          <w:sz w:val="30"/>
        </w:rPr>
        <w:t>V3 — Monthly Energy Trend</w:t>
      </w:r>
    </w:p>
    <w:p>
      <w:pPr>
        <w:spacing w:before="200" w:after="40"/>
      </w:pPr>
      <w:r>
        <w:rPr>
          <w:rFonts w:ascii="Calibri" w:hAnsi="Calibri"/>
          <w:b/>
          <w:color w:val="639922"/>
          <w:sz w:val="24"/>
        </w:rPr>
        <w:t>Görsel tipi: Line Chart (3 seri)</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ay; 3 line: Total Consumption (current), Total Energy PY (geçen yıl), Energy Reduction Target.</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Aylık aggregation; PY = aynı ayın geçen yıl değeri (SAMEPERIODLASTYEAR); Target = yıllık hedef ÷ 12 veya manuel slope.</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Mevsim örüntüsü görünür: kış (Aralık-Şubat) zirve (heating), yaz ortası (Temmuz-Ağustos) ikinci zirve (cooling). Current line PY altındaysa portföy iyileşiyor. Target line altında kalıyorsa hedef tutturuluyor.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Mevsim normalizasyonu olmadan 'tüketim arttı/azaldı' yorumu yanıltıcı. Bu görsel, PY ve target ile birlikte yıl içi süreklilik hissi verir.</w:t>
            </w:r>
          </w:p>
        </w:tc>
      </w:tr>
    </w:tbl>
    <w:p>
      <w:pPr>
        <w:spacing w:before="280" w:after="80"/>
      </w:pPr>
      <w:r>
        <w:rPr>
          <w:rFonts w:ascii="Calibri" w:hAnsi="Calibri"/>
          <w:b/>
          <w:color w:val="1D9E75"/>
          <w:sz w:val="30"/>
        </w:rPr>
        <w:t>V4 — EUI Benchmark by Building</w:t>
      </w:r>
    </w:p>
    <w:p>
      <w:pPr>
        <w:spacing w:before="200" w:after="40"/>
      </w:pPr>
      <w:r>
        <w:rPr>
          <w:rFonts w:ascii="Calibri" w:hAnsi="Calibri"/>
          <w:b/>
          <w:color w:val="639922"/>
          <w:sz w:val="24"/>
        </w:rPr>
        <w:t>Görsel tipi: Horizontal Bar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Y = bina adı; X = EUI (kWh/m²/gün); referans çizgi: portföy ortalaması veya iklim bölgesi benchmark'ı.</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AVG(daily_kwh / area_m2) by building_id. Yıllık'a çevirmek için ×365.</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Berliner ~0.24 (modern bina, iyi yalıtım); Frankfurt Klinikum daha yüksek (24/7 sağlık tesisi, fan + sterilizasyon yükü). EUI yüksek olan ≠ kötü; bina tipini bil.</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Bina karşılaştırması için 'apple-to-apple' tek ölçüdür. Aynı bina tipi (ofis vs ofis) için kullanılmalı. EPC ve CRREM benchmarklarının temelidir.</w:t>
            </w:r>
          </w:p>
        </w:tc>
      </w:tr>
    </w:tbl>
    <w:p>
      <w:pPr>
        <w:spacing w:before="280" w:after="80"/>
      </w:pPr>
      <w:r>
        <w:rPr>
          <w:rFonts w:ascii="Calibri" w:hAnsi="Calibri"/>
          <w:b/>
          <w:color w:val="1D9E75"/>
          <w:sz w:val="30"/>
        </w:rPr>
        <w:t>Harita (TomTom)</w:t>
      </w:r>
    </w:p>
    <w:p>
      <w:pPr>
        <w:spacing w:after="80"/>
      </w:pPr>
      <w:r>
        <w:rPr>
          <w:rFonts w:ascii="Calibri" w:hAnsi="Calibri"/>
          <w:b w:val="0"/>
          <w:i w:val="0"/>
          <w:color w:val="2C2C2A"/>
          <w:sz w:val="22"/>
        </w:rPr>
        <w:t>Bina lokasyonlarını coğrafi görselleştirir. Coğrafi cluster'lar (DE 4 bina, NL 1, TR 1, AT 1) — pazar yoğunluğunu ve operasyon coğrafyasını anlatır. Müşteri sunumunda 'pan-European portfolio' hissi verir.</w:t>
      </w:r>
    </w:p>
    <w:p>
      <w:pPr>
        <w:spacing w:before="280" w:after="80"/>
      </w:pPr>
      <w:r>
        <w:rPr>
          <w:rFonts w:ascii="Calibri" w:hAnsi="Calibri"/>
          <w:b/>
          <w:color w:val="1D9E75"/>
          <w:sz w:val="30"/>
        </w:rPr>
        <w:t>Bu sayfa nasıl konuşulur (consultant sunumu)</w:t>
      </w:r>
    </w:p>
    <w:p>
      <w:pPr>
        <w:spacing w:after="80"/>
      </w:pPr>
      <w:r>
        <w:rPr>
          <w:rFonts w:ascii="Calibri" w:hAnsi="Calibri"/>
          <w:b w:val="0"/>
          <w:i w:val="0"/>
          <w:color w:val="2C2C2A"/>
          <w:sz w:val="22"/>
        </w:rPr>
        <w:t>Tek cümlede: 'Portföyümüz 6 bina, 113K kWh aylık tüketim, EUI 91 kWh/m²/yıl — Avrupa ofis ortalamasının altında. 28 tCO₂ aylık net karbon ve 12 aktif anomali var. Berliner Bürogebäude Alpha portföyün %30'unu temsil ediyor ve YoY -%9 düşüş gösterdi — operasyonel iyileşme veya retrofit etkisi.' Bu cümle 30 saniyede CFO/sahibine satar.</w:t>
      </w:r>
    </w:p>
    <w:p>
      <w:r>
        <w:br w:type="page"/>
      </w:r>
    </w:p>
    <w:p>
      <w:pPr>
        <w:spacing w:before="360" w:after="160"/>
      </w:pPr>
      <w:r>
        <w:rPr>
          <w:rFonts w:ascii="Calibri" w:hAnsi="Calibri"/>
          <w:b/>
          <w:color w:val="0F6E56"/>
          <w:sz w:val="44"/>
        </w:rPr>
        <w:t>Sayfa 2 — Daily Consumption / Energy Profile</w:t>
      </w:r>
    </w:p>
    <w:p>
      <w:pPr>
        <w:spacing w:before="280" w:after="80"/>
      </w:pPr>
      <w:r>
        <w:rPr>
          <w:rFonts w:ascii="Calibri" w:hAnsi="Calibri"/>
          <w:b/>
          <w:color w:val="1D9E75"/>
          <w:sz w:val="30"/>
        </w:rPr>
        <w:t>Sayfanın amacı</w:t>
      </w:r>
    </w:p>
    <w:p>
      <w:pPr>
        <w:spacing w:after="80"/>
      </w:pPr>
      <w:r>
        <w:rPr>
          <w:rFonts w:ascii="Calibri" w:hAnsi="Calibri"/>
          <w:b w:val="0"/>
          <w:i w:val="0"/>
          <w:color w:val="2C2C2A"/>
          <w:sz w:val="22"/>
        </w:rPr>
        <w:t>Sayfa 1 stratejikse, Sayfa 2 operasyonel — bir Facility Manager'ın günlük olarak baktığı sayfa. Bina nasıl yaşıyor: peak ne zaman, hava etkisi var mı, solar/batarya katkısı var mı?</w:t>
      </w:r>
    </w:p>
    <w:p>
      <w:pPr>
        <w:spacing w:after="80"/>
      </w:pPr>
      <w:r>
        <w:rPr>
          <w:rFonts w:ascii="Calibri" w:hAnsi="Calibri"/>
          <w:b w:val="0"/>
          <w:i w:val="0"/>
          <w:color w:val="2C2C2A"/>
          <w:sz w:val="22"/>
        </w:rPr>
        <w:t>Hedef kullanıcı: Facility Manager + Energy Engineer. Bu sayfa ML forecast'tan önceki 'gözlem' katmanıdır.</w:t>
      </w:r>
    </w:p>
    <w:p>
      <w:pPr>
        <w:spacing w:before="280" w:after="80"/>
      </w:pPr>
      <w:r>
        <w:rPr>
          <w:rFonts w:ascii="Calibri" w:hAnsi="Calibri"/>
          <w:b/>
          <w:color w:val="1D9E75"/>
          <w:sz w:val="30"/>
        </w:rPr>
        <w:t>Üst Bant — KPI Kartları</w:t>
      </w:r>
    </w:p>
    <w:p>
      <w:pPr>
        <w:spacing w:before="200" w:after="40"/>
      </w:pPr>
      <w:r>
        <w:rPr>
          <w:rFonts w:ascii="Calibri" w:hAnsi="Calibri"/>
          <w:b/>
          <w:color w:val="639922"/>
          <w:sz w:val="24"/>
        </w:rPr>
        <w:t>Daily Consumption (kWh)</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Son günün veya seçili günün toplam tüketimi.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SUM(total_consumption_kwh) WHERE date = MAX(date) — slicer'dan kaynaklı seçili tarihe duyarlı.</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'(Blank)' görüyorsan ya o tarihte veri yok ya da slicer All'da kalmış ve son güncel veri henüz bronze→silver'a inmemiş. Goal: 5,928 hedef vermiş — gerçek değer 0 → ETL eksiği.</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Günlük tüketim, peak demand ile birlikte fatura bileşenidir (özellikle demand charge olan tarifelerde).</w:t>
            </w:r>
          </w:p>
        </w:tc>
      </w:tr>
    </w:tbl>
    <w:p>
      <w:pPr>
        <w:spacing w:before="200" w:after="40"/>
      </w:pPr>
      <w:r>
        <w:rPr>
          <w:rFonts w:ascii="Calibri" w:hAnsi="Calibri"/>
          <w:b/>
          <w:color w:val="639922"/>
          <w:sz w:val="24"/>
        </w:rPr>
        <w:t>Peak Demand (kW)</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Seçili dönemin en yüksek 15-dakikalık ortalama güç çekişi.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MAX(15min_avg_kw) — Power BI tarafında değişken pencereli MAX; ham veriden 15 dakikalık aggregation gerekir.</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Peak demand, faturanın 'demand charge' kısmını belirler (DE €13.50/kW/ay, NL €14.80/kW/ay — Page 9 referansı). Tek bir saatlik tepe, ayın faturasını yukarı çeker.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Peak shaving (batarya ile) ve load shifting (HVAC zamanlaması) stratejilerinin temel ölçüsüdür. -50 kW peak shaving DE'de yıllık ~€8K tasarruf demek.</w:t>
            </w:r>
          </w:p>
        </w:tc>
      </w:tr>
    </w:tbl>
    <w:p>
      <w:pPr>
        <w:spacing w:before="200" w:after="40"/>
      </w:pPr>
      <w:r>
        <w:rPr>
          <w:rFonts w:ascii="Calibri" w:hAnsi="Calibri"/>
          <w:b/>
          <w:color w:val="639922"/>
          <w:sz w:val="24"/>
        </w:rPr>
        <w:t>EUI (kWh/m²) — 0.68</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Birim alan başına günlük tüketim — Sayfa 1'deki EUI'nin günlük versiyonu.</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daily_kwh / building_area_m2</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0.68 günlük → 248 kWh/m²/yıl — yüksek. Ya tek bir günün spike'ı ya da seçili bina yoğun (klinik, hotel).</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Günlük EUI volatilitesi, bina operasyonunun ne kadar stabil olduğunu gösterir. Aynı binanın EUI'si Pazartesi 0.68, Pazar 0.30 ise — occupancy bağlı, normal.</w:t>
            </w:r>
          </w:p>
        </w:tc>
      </w:tr>
    </w:tbl>
    <w:p>
      <w:pPr>
        <w:spacing w:before="200" w:after="40"/>
      </w:pPr>
      <w:r>
        <w:rPr>
          <w:rFonts w:ascii="Calibri" w:hAnsi="Calibri"/>
          <w:b/>
          <w:color w:val="639922"/>
          <w:sz w:val="24"/>
        </w:rPr>
        <w:t>Solar Generation (kWh)</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PV sisteminden üretilen toplam enerji (seçili dönem).</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SUM(solar_generation_kwh) FROM gold_solar_generation</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(Blank) görüyorsan ya solar yok ya da veri pipeline hatası. B005 Frankfurt 200 kWp, B003 Hamburg 500 kWp — büyük üreticiler.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Net karbon ve maliyet hesabının indirim kalemi. Self-consumption oranı önemli: solar üretti ama gridine geri verdiysen tarife farklı.</w:t>
            </w:r>
          </w:p>
        </w:tc>
      </w:tr>
    </w:tbl>
    <w:p>
      <w:pPr>
        <w:spacing w:before="200" w:after="40"/>
      </w:pPr>
      <w:r>
        <w:rPr>
          <w:rFonts w:ascii="Calibri" w:hAnsi="Calibri"/>
          <w:b/>
          <w:color w:val="639922"/>
          <w:sz w:val="24"/>
        </w:rPr>
        <w:t>Battery SoC (60.4%)</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Batarya doluluk yüzdesi — State of Charge.</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AVG(soc_percent) WHERE timestamp = MAX(timestamp). 0-100% arası.</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%60 — sağlıklı orta seviye; %20-80 arası kalmak batarya ömrü için ideal (deep cycle hasarı az). %95+ veya %5- sürekli kalmıyorsa stratejinin verimli çalıştığı işareti.</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SoC, dispatch stratejisinin (Sayfa 9) gerçek-zamanlı durumudur. Peak-shaving stratejisinde akşam tepe öncesi SoC %80+ olmalı.</w:t>
            </w:r>
          </w:p>
        </w:tc>
      </w:tr>
    </w:tbl>
    <w:p>
      <w:pPr>
        <w:spacing w:before="200" w:after="40"/>
      </w:pPr>
      <w:r>
        <w:rPr>
          <w:rFonts w:ascii="Calibri" w:hAnsi="Calibri"/>
          <w:b/>
          <w:color w:val="639922"/>
          <w:sz w:val="24"/>
        </w:rPr>
        <w:t>Carbon Intensity (kgCO₂/m²)</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Birim alan başına karbon emisyonu — EUI'nin karbon versiyonu.</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(total_kwh × grid_g_co2_per_kwh + gas_kwh × 200 g/kWh) / area_m2 / 1000</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CRREM stranding ve EPC için kritik ölçü. EU ofis 2030 hedefi: 20-30 kgCO₂/m²/yıl. Üzerinde olan binalar 'stranded asset' riski taşır.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Karbon yoğunluğu, AB Taxonomy ve yeşil sertifikasyon için temel sayıdır. EUI yüksek olabilir ama PPA + solar ile karbon yoğunluğu düşebilir — gerçek 'yeşil bina' ölçüsü budur.</w:t>
            </w:r>
          </w:p>
        </w:tc>
      </w:tr>
    </w:tbl>
    <w:p>
      <w:pPr>
        <w:spacing w:before="280" w:after="80"/>
      </w:pPr>
      <w:r>
        <w:rPr>
          <w:rFonts w:ascii="Calibri" w:hAnsi="Calibri"/>
          <w:b/>
          <w:color w:val="1D9E75"/>
          <w:sz w:val="30"/>
        </w:rPr>
        <w:t>V1 — Consumption + Temperature + 7-Day Avg</w:t>
      </w:r>
    </w:p>
    <w:p>
      <w:pPr>
        <w:spacing w:before="200" w:after="40"/>
      </w:pPr>
      <w:r>
        <w:rPr>
          <w:rFonts w:ascii="Calibri" w:hAnsi="Calibri"/>
          <w:b/>
          <w:color w:val="639922"/>
          <w:sz w:val="24"/>
        </w:rPr>
        <w:t>Tipi: Combo Chart (line + secondary axis)</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Mavi line: Total Consumption kWh (Y sol); turuncu line: 7-Day Rolling Avg; gri line: Avg Temperature °C (Y sağ).</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7-day rolling avg = AVERAGEX over -3 to +3 günler. Temperature gold_weather_daily'den DirectLake.</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Tüketim ve sıcaklığın ters/doğru orantısı: kışın temperature ↓ → consumption ↑ (heating); yazın temperature ↑ → consumption ↑ (cooling). 7-day avg gürültüyü temizler, gerçek trendi gösterir.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Hava normalizasyonu (HDD/CDD ile) olmadan tüketim trendi 'yanlış pozitif' iyileşme gösterebilir. Mevsim normalize edildiğinde gerçek operasyonel iyileşme görünür.</w:t>
            </w:r>
          </w:p>
        </w:tc>
      </w:tr>
    </w:tbl>
    <w:p>
      <w:pPr>
        <w:spacing w:before="280" w:after="80"/>
      </w:pPr>
      <w:r>
        <w:rPr>
          <w:rFonts w:ascii="Calibri" w:hAnsi="Calibri"/>
          <w:b/>
          <w:color w:val="1D9E75"/>
          <w:sz w:val="30"/>
        </w:rPr>
        <w:t>V2 — EUI Gauge</w:t>
      </w:r>
    </w:p>
    <w:p>
      <w:pPr>
        <w:spacing w:before="200" w:after="40"/>
      </w:pPr>
      <w:r>
        <w:rPr>
          <w:rFonts w:ascii="Calibri" w:hAnsi="Calibri"/>
          <w:b/>
          <w:color w:val="639922"/>
          <w:sz w:val="24"/>
        </w:rPr>
        <w:t>Tipi: Radial Gauge</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Min: 0, Target: 0.27, Max: 1.00. Mevcut: 0.27 → kırmızı 'Poor' işareti (target sapma).</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Single value: AVG(daily_eui). Threshold renkleri DAX'ta tanımlı (yeşil &lt;0.20, sarı 0.20-0.27, kırmızı &gt;0.27).</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Gauge target'ı tutturduğunu anlatır ama gerçek bağlam yıllık trendde. Bu görsel 'şu an nereyiz' soru cevaplar.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Gauge görselleri pazarlama gücü yüksek ama tek başına misleading — her zaman trend görseliyle birlikte okunmalı.</w:t>
            </w:r>
          </w:p>
        </w:tc>
      </w:tr>
    </w:tbl>
    <w:p>
      <w:pPr>
        <w:spacing w:before="280" w:after="80"/>
      </w:pPr>
      <w:r>
        <w:rPr>
          <w:rFonts w:ascii="Calibri" w:hAnsi="Calibri"/>
          <w:b/>
          <w:color w:val="1D9E75"/>
          <w:sz w:val="30"/>
        </w:rPr>
        <w:t>V3 — Solar Self-Consumed vs Exported vs Grid</w:t>
      </w:r>
    </w:p>
    <w:p>
      <w:pPr>
        <w:spacing w:before="200" w:after="40"/>
      </w:pPr>
      <w:r>
        <w:rPr>
          <w:rFonts w:ascii="Calibri" w:hAnsi="Calibri"/>
          <w:b/>
          <w:color w:val="639922"/>
          <w:sz w:val="24"/>
        </w:rPr>
        <w:t>Tipi: Stacked Area Chart</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3 alan: Solar Self-Consumed (kendi tükettiğin), Solar Exported (gridine sattığın), Total Grid Consumption (gridten aldığın).</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self_consumed = MIN(solar_gen, consumption); exported = solar_gen - self_consumed; grid = consumption - self_consumed</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Self-consumption yüksekse — solar boyutu doğru, yatırım amortismanı hızlı. Exported yüksekse — gridine düşük fiyatla satıyorsun (DE'de feed-in tarife €0.08/kWh, ev içi tarife €0.30/kWh) — batarya ekle ki self-consume olsun.</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PV sizing kararının doğruluğunu burada görürsün. 'Solar-to-self-consumption %' = self_consumed / (self_consumed + exported) — KPI olarak %70+ ideal.</w:t>
            </w:r>
          </w:p>
        </w:tc>
      </w:tr>
    </w:tbl>
    <w:p>
      <w:pPr>
        <w:spacing w:before="280" w:after="80"/>
      </w:pPr>
      <w:r>
        <w:rPr>
          <w:rFonts w:ascii="Calibri" w:hAnsi="Calibri"/>
          <w:b/>
          <w:color w:val="1D9E75"/>
          <w:sz w:val="30"/>
        </w:rPr>
        <w:t>V4 — Battery SoC Trend %</w:t>
      </w:r>
    </w:p>
    <w:p>
      <w:pPr>
        <w:spacing w:before="200" w:after="40"/>
      </w:pPr>
      <w:r>
        <w:rPr>
          <w:rFonts w:ascii="Calibri" w:hAnsi="Calibri"/>
          <w:b/>
          <w:color w:val="639922"/>
          <w:sz w:val="24"/>
        </w:rPr>
        <w:t>Tipi: Line Chart</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ay/gün; Y = ortalama SoC %.</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AVG(soc_percent) GROUP BY date veya month.</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SoC çok düz line (örn. sürekli %60) = batarya kullanılmıyor (idle). Volatil line (%20-80 arası gidip gelen) = aktif dispatch. Sürekli %95+ = stratejinin işlemediği (Backup-only stratejisindeki gibi).</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Batarya yatırımının amortismanı 'aktif kullanımla' gelir. Idle batarya = sermaye dondurma. Bu görsel stratejinin çalışıp çalışmadığının testi.</w:t>
            </w:r>
          </w:p>
        </w:tc>
      </w:tr>
    </w:tbl>
    <w:p>
      <w:pPr>
        <w:spacing w:before="280" w:after="80"/>
      </w:pPr>
      <w:r>
        <w:rPr>
          <w:rFonts w:ascii="Calibri" w:hAnsi="Calibri"/>
          <w:b/>
          <w:color w:val="1D9E75"/>
          <w:sz w:val="30"/>
        </w:rPr>
        <w:t>Live Building Power + Live HVAC Load</w:t>
      </w:r>
    </w:p>
    <w:p>
      <w:pPr>
        <w:spacing w:after="80"/>
      </w:pPr>
      <w:r>
        <w:rPr>
          <w:rFonts w:ascii="Calibri" w:hAnsi="Calibri"/>
          <w:b w:val="0"/>
          <w:i w:val="0"/>
          <w:color w:val="2C2C2A"/>
          <w:sz w:val="22"/>
        </w:rPr>
        <w:t>Live Building Power: 111 kW, Live HVAC Load: 50 kW. Anlık (son 15 dak ortalama) güç çekişi. HVAC payı = 50/111 = %45 — yüksek, kış sezonu işareti veya sıcak hava (cooling). Bu çift kart, Sayfa 7 (HVAC Share Pct) ile uyumlu bir 'şu an' kesiti.</w:t>
      </w:r>
    </w:p>
    <w:p>
      <w:pPr>
        <w:spacing w:before="280" w:after="80"/>
      </w:pPr>
      <w:r>
        <w:rPr>
          <w:rFonts w:ascii="Calibri" w:hAnsi="Calibri"/>
          <w:b/>
          <w:color w:val="1D9E75"/>
          <w:sz w:val="30"/>
        </w:rPr>
        <w:t>V5/V6 — HDD vs Consumption &amp; CDD vs Consumption (Scatter)</w:t>
      </w:r>
    </w:p>
    <w:p>
      <w:pPr>
        <w:spacing w:before="200" w:after="40"/>
      </w:pPr>
      <w:r>
        <w:rPr>
          <w:rFonts w:ascii="Calibri" w:hAnsi="Calibri"/>
          <w:b/>
          <w:color w:val="639922"/>
          <w:sz w:val="24"/>
        </w:rPr>
        <w:t>Tipi: Scatter (her nokta = bir ay)</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Heating Degree Days (HDD) veya Cooling Degree Days (CDD); Y = aylık kWh.</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HDD = Σmax(0, 18°C − T_avg_daily); CDD = Σmax(0, T_avg_daily − 22°C). Aylık toplam.</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Korelasyon doğrusu eğimi = bina ısıtma/soğutma hassasiyeti. Eğim yüksek = bina envelope zayıf (her ekstra HDD çok ekstra kWh). Eğim düşük = iyi yalıtım veya verimli HVAC.</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Energy Engineering'in 'baseline regression' tekniğinin görsel hali. M&amp;V (Measurement &amp; Verification, IPMVP Option C) projelerinde retrofit-öncesi/sonrası karşılaştırmanın temelidir.</w:t>
            </w:r>
          </w:p>
        </w:tc>
      </w:tr>
    </w:tbl>
    <w:p>
      <w:pPr>
        <w:spacing w:before="280" w:after="80"/>
      </w:pPr>
      <w:r>
        <w:rPr>
          <w:rFonts w:ascii="Calibri" w:hAnsi="Calibri"/>
          <w:b/>
          <w:color w:val="1D9E75"/>
          <w:sz w:val="30"/>
        </w:rPr>
        <w:t>Bu sayfa nasıl konuşulur</w:t>
      </w:r>
    </w:p>
    <w:p>
      <w:pPr>
        <w:spacing w:after="80"/>
      </w:pPr>
      <w:r>
        <w:rPr>
          <w:rFonts w:ascii="Calibri" w:hAnsi="Calibri"/>
          <w:b w:val="0"/>
          <w:i w:val="0"/>
          <w:color w:val="2C2C2A"/>
          <w:sz w:val="22"/>
        </w:rPr>
        <w:t>'Binanın peak demand'i 111 kW seviyesinde, HVAC %45 pay alıyor. Hava normalizasyonu (HDD/CDD scatter) sonrası gerçek trend YoY -%9. Solar self-consumption oranımız %X — batarya yatırımı ile %90+'a çıkabiliriz, payback Y yıl (Sayfa 9'a referans ver).'</w:t>
      </w:r>
    </w:p>
    <w:p>
      <w:r>
        <w:br w:type="page"/>
      </w:r>
    </w:p>
    <w:p>
      <w:pPr>
        <w:spacing w:before="360" w:after="160"/>
      </w:pPr>
      <w:r>
        <w:rPr>
          <w:rFonts w:ascii="Calibri" w:hAnsi="Calibri"/>
          <w:b/>
          <w:color w:val="0F6E56"/>
          <w:sz w:val="44"/>
        </w:rPr>
        <w:t>Sayfa 3 — Anomaly Detection &amp; Risk Monitor</w:t>
      </w:r>
    </w:p>
    <w:p>
      <w:pPr>
        <w:spacing w:before="280" w:after="80"/>
      </w:pPr>
      <w:r>
        <w:rPr>
          <w:rFonts w:ascii="Calibri" w:hAnsi="Calibri"/>
          <w:b/>
          <w:color w:val="1D9E75"/>
          <w:sz w:val="30"/>
        </w:rPr>
        <w:t>Sayfanın amacı</w:t>
      </w:r>
    </w:p>
    <w:p>
      <w:pPr>
        <w:spacing w:after="80"/>
      </w:pPr>
      <w:r>
        <w:rPr>
          <w:rFonts w:ascii="Calibri" w:hAnsi="Calibri"/>
          <w:b w:val="0"/>
          <w:i w:val="0"/>
          <w:color w:val="2C2C2A"/>
          <w:sz w:val="22"/>
        </w:rPr>
        <w:t>Fault Detection &amp; Diagnostics (FDD) sayfası. Hangi binada ne tür anomali var, kaç tanesi kritik, ne kadar süredir açık? Energy Manager bir 'işletme sağlık panosu' olarak kullanır.</w:t>
      </w:r>
    </w:p>
    <w:p>
      <w:pPr>
        <w:spacing w:after="80"/>
      </w:pPr>
      <w:r>
        <w:rPr>
          <w:rFonts w:ascii="Calibri" w:hAnsi="Calibri"/>
          <w:b w:val="0"/>
          <w:i w:val="0"/>
          <w:color w:val="2C2C2A"/>
          <w:sz w:val="22"/>
        </w:rPr>
        <w:t>Anomali türleri: CONSUMPTION_SPIKE, SOLAR_UNDERPERFORM, AFTER_HOURS_WASTE, HIGH_CARBON_INTENSITY. ML değil, kural-tabanlı (rule-based) — Phase 2'de adaptive ML eklenecek.</w:t>
      </w:r>
    </w:p>
    <w:p>
      <w:pPr>
        <w:spacing w:before="280" w:after="80"/>
      </w:pPr>
      <w:r>
        <w:rPr>
          <w:rFonts w:ascii="Calibri" w:hAnsi="Calibri"/>
          <w:b/>
          <w:color w:val="1D9E75"/>
          <w:sz w:val="30"/>
        </w:rPr>
        <w:t>Üst Bant — KPI Kartları</w:t>
      </w:r>
    </w:p>
    <w:p>
      <w:pPr>
        <w:spacing w:before="200" w:after="40"/>
      </w:pPr>
      <w:r>
        <w:rPr>
          <w:rFonts w:ascii="Calibri" w:hAnsi="Calibri"/>
          <w:b/>
          <w:color w:val="639922"/>
          <w:sz w:val="24"/>
        </w:rPr>
        <w:t>Total Anomalies (582)</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Seçili dönemde detect edilen toplam anomali (resolved + unresolved).</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COUNT(gold_anomaly_alerts) — slicer'lara uyarlı.</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582 sayısı tek başına anlamlı değil — gözden geçirme dönemi 1 yıl ise az, 1 ay ise çok. Çoğunluk Low/Medium ise sistemin hassasiyeti yüksek (rule eşikleri sıkı); Critical çoğunluksa gerçek sorun var.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Anomali sayısı != enerji israfı. Önemli olan kaç tanesi resolved ve kaç tanesi €cost taşıyor.</w:t>
            </w:r>
          </w:p>
        </w:tc>
      </w:tr>
    </w:tbl>
    <w:p>
      <w:pPr>
        <w:spacing w:before="200" w:after="40"/>
      </w:pPr>
      <w:r>
        <w:rPr>
          <w:rFonts w:ascii="Calibri" w:hAnsi="Calibri"/>
          <w:b/>
          <w:color w:val="639922"/>
          <w:sz w:val="24"/>
        </w:rPr>
        <w:t>Critical Anomalies (51 / Open)</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Critical seviyesinde açık (is_resolved = FALSE) anomali sayısı.</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 WHERE severity = 'CRITICAL' AND is_resolved = FALSE</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51 critical açık = derhal müdahale gerekli. Critical = enerji israfı + olası ekipman arızası + AB regülasyon riski (örn. EPC sapma).</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Sayfa 4'teki 'CRITICAL Actions' ile bağlantılı. Her critical anomali 1 öneri/action üretir; Sayfa 4'te bu action'lar listelidir.</w:t>
            </w:r>
          </w:p>
        </w:tc>
      </w:tr>
    </w:tbl>
    <w:p>
      <w:pPr>
        <w:spacing w:before="200" w:after="40"/>
      </w:pPr>
      <w:r>
        <w:rPr>
          <w:rFonts w:ascii="Calibri" w:hAnsi="Calibri"/>
          <w:b/>
          <w:color w:val="639922"/>
          <w:sz w:val="24"/>
        </w:rPr>
        <w:t>High Anomalies (158)</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High severity tüm anomaliler (resolved/unresolved birlikte).</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 WHERE severity = 'HIGH'</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High &gt; Critical orantısı sağlıklı (158 vs 51 ≈ 3:1) — pyramid yapı bekleriz: az critical, çok daha fazla low.</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Severity dağılımı 'hassasiyet ayarı' meselesidir. Çok fazla critical varsa eşikler hassas, false positive yüksek. Bu yüzden 'severity profili' kalibrasyon işidir.</w:t>
            </w:r>
          </w:p>
        </w:tc>
      </w:tr>
    </w:tbl>
    <w:p>
      <w:pPr>
        <w:spacing w:before="200" w:after="40"/>
      </w:pPr>
      <w:r>
        <w:rPr>
          <w:rFonts w:ascii="Calibri" w:hAnsi="Calibri"/>
          <w:b/>
          <w:color w:val="639922"/>
          <w:sz w:val="24"/>
        </w:rPr>
        <w:t>Unresolved (582) ve Active Anomaly Rate %</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Hala açık (resolved = FALSE) olanların sayısı + oran.</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Rate = unresolved / total × 100</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Bu projede şu an %100 unresolved = ETL hatası (is_resolved hep FALSE). Notebook 29b fix'i bekliyor. Gerçek senaryoda %20-40 normal.</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Resolution rate, ekip operasyonel olgunluğunu gösterir. %80+ resolution = aktif takım; %30- = anomaliler birikiyor, sistem fonksiyonsuz.</w:t>
            </w:r>
          </w:p>
        </w:tc>
      </w:tr>
    </w:tbl>
    <w:p>
      <w:pPr>
        <w:spacing w:before="280" w:after="80"/>
      </w:pPr>
      <w:r>
        <w:rPr>
          <w:rFonts w:ascii="Calibri" w:hAnsi="Calibri"/>
          <w:b/>
          <w:color w:val="1D9E75"/>
          <w:sz w:val="30"/>
        </w:rPr>
        <w:t>V1 — Operational Fault Detection &amp; Risk Monitor (Tablo)</w:t>
      </w:r>
    </w:p>
    <w:p>
      <w:pPr>
        <w:spacing w:before="200" w:after="40"/>
      </w:pPr>
      <w:r>
        <w:rPr>
          <w:rFonts w:ascii="Calibri" w:hAnsi="Calibri"/>
          <w:b/>
          <w:color w:val="639922"/>
          <w:sz w:val="24"/>
        </w:rPr>
        <w:t>Tipi: Table</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Sütunlar: Building, Severity, Anomaly Type, Detected (timestamp), Deviation %, is_resolved.</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gold_anomaly_alerts ham tablo + silver_building_master[building_name] join.</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Deviation % = anomalinin baseline'dan ne kadar saptığı. CONSUMPTION_SPIKE 10% = beklenen tüketimin %10 üstüne çıkmış (anlamlı sapma). &gt;15% genelde Critical.</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Burası FM'in 'iş listesi'. Severity ile sırala, en eski açıklara öncelik ver (avg days open yüksekse şirketin bir adresi yok demek).</w:t>
            </w:r>
          </w:p>
        </w:tc>
      </w:tr>
    </w:tbl>
    <w:p>
      <w:pPr>
        <w:spacing w:before="280" w:after="80"/>
      </w:pPr>
      <w:r>
        <w:rPr>
          <w:rFonts w:ascii="Calibri" w:hAnsi="Calibri"/>
          <w:b/>
          <w:color w:val="1D9E75"/>
          <w:sz w:val="30"/>
        </w:rPr>
        <w:t>V2 — Monthly Anomalies by Severity (Stacked Column)</w:t>
      </w:r>
    </w:p>
    <w:p>
      <w:pPr>
        <w:spacing w:before="200" w:after="40"/>
      </w:pPr>
      <w:r>
        <w:rPr>
          <w:rFonts w:ascii="Calibri" w:hAnsi="Calibri"/>
          <w:b/>
          <w:color w:val="639922"/>
          <w:sz w:val="24"/>
        </w:rPr>
        <w:t>Tipi: Stacked Column</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ay; Y = sayı; stack: CRITICAL / HIGH / MEDIUM / LOW.</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 GROUP BY YearMonth, severity</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Mevsim örüntüsü var mı? Kış aylarında critical artıyorsa heating sistemleri sorunlu. Yaz pikinde HVAC chiller anomaliler. Mart-Nisan'da düşük sayı, sezon geçişi.</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Anomali zamanlaması, hangi sistemde sorun olduğunun ipucudur. Aylık seriler 'sezonsal pattern detection' içindir.</w:t>
            </w:r>
          </w:p>
        </w:tc>
      </w:tr>
    </w:tbl>
    <w:p>
      <w:pPr>
        <w:spacing w:before="280" w:after="80"/>
      </w:pPr>
      <w:r>
        <w:rPr>
          <w:rFonts w:ascii="Calibri" w:hAnsi="Calibri"/>
          <w:b/>
          <w:color w:val="1D9E75"/>
          <w:sz w:val="30"/>
        </w:rPr>
        <w:t>V3 — Anomaly Type Breakdown (Horizontal Bar)</w:t>
      </w:r>
    </w:p>
    <w:p>
      <w:pPr>
        <w:spacing w:before="200" w:after="40"/>
      </w:pPr>
      <w:r>
        <w:rPr>
          <w:rFonts w:ascii="Calibri" w:hAnsi="Calibri"/>
          <w:b/>
          <w:color w:val="639922"/>
          <w:sz w:val="24"/>
        </w:rPr>
        <w:t>Tipi: Horizontal Bar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4 tür gösteriliyor: SOLAR_UNDERPERFORM (319), AFTER_HOURS_WASTE (172), HIGH_CARBON_INTENSITY (81), CONSUMPTION_SPIKE (10).</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 GROUP BY anomaly_type</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SOLAR_UNDERPERFORM en çok — PV temizlik / inverter sorunu / panel gölgelenme. AFTER_HOURS_WASTE ikinci — gece-hafta sonu HVAC veya aydınlatma açık kalıyor. CONSUMPTION_SPIKE sadece 10 — büyük dalgalanma az.</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Anomali tipinin dağılımı 'hangi iş' demek: SOLAR_UNDERPERFORM çoksa O&amp;M kontratı veya panel temizliği; AFTER_HOURS_WASTE çoksa BMS zamanlama hatası veya occupancy schedule yanlış (Sayfa 5'e referans).</w:t>
            </w:r>
          </w:p>
        </w:tc>
      </w:tr>
    </w:tbl>
    <w:p>
      <w:pPr>
        <w:spacing w:before="280" w:after="80"/>
      </w:pPr>
      <w:r>
        <w:rPr>
          <w:rFonts w:ascii="Calibri" w:hAnsi="Calibri"/>
          <w:b/>
          <w:color w:val="1D9E75"/>
          <w:sz w:val="30"/>
        </w:rPr>
        <w:t>V4 — Building Anomaly Share (% of portfolio)</w:t>
      </w:r>
    </w:p>
    <w:p>
      <w:pPr>
        <w:spacing w:before="200" w:after="40"/>
      </w:pPr>
      <w:r>
        <w:rPr>
          <w:rFonts w:ascii="Calibri" w:hAnsi="Calibri"/>
          <w:b/>
          <w:color w:val="639922"/>
          <w:sz w:val="24"/>
        </w:rPr>
        <w:t>Tipi: Horizontal Bar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Y = bina; X = bina'nın anomali payı / portföy anomali toplamı × 100.</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 per building / SUM all) × 100</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Istanbul %36.4, Frankfurt %18.7, Amsterdam %17.4, Berlin %11. Istanbul'un payı yüksek — ya bina sorunlu ya da eşikler iklim bölgesine göre kalibre edilmemiş.</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Anomali payı 'sorunlu bina' demek değil — alan-büyüklük normalize değilse büyük bina daha çok anomali üretir. Yine de %30+'lık tek bina kırmızı bayrak.</w:t>
            </w:r>
          </w:p>
        </w:tc>
      </w:tr>
    </w:tbl>
    <w:p>
      <w:pPr>
        <w:spacing w:before="280" w:after="80"/>
      </w:pPr>
      <w:r>
        <w:rPr>
          <w:rFonts w:ascii="Calibri" w:hAnsi="Calibri"/>
          <w:b/>
          <w:color w:val="1D9E75"/>
          <w:sz w:val="30"/>
        </w:rPr>
        <w:t>Alt Bant — Resolution / Risk Score Kartları</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Resolution Rate %</w:t>
            </w:r>
          </w:p>
        </w:tc>
        <w:tc>
          <w:tcPr>
            <w:tcW w:type="dxa" w:w="6803"/>
          </w:tcPr>
          <w:p>
            <w:r>
              <w:rPr>
                <w:rFonts w:ascii="Calibri" w:hAnsi="Calibri"/>
                <w:color w:val="2C2C2A"/>
                <w:sz w:val="20"/>
              </w:rPr>
              <w:t>Çözülmüş anomali / toplam × 100. Şu an --- (ETL hatası). Hedef %70+.</w:t>
            </w:r>
          </w:p>
        </w:tc>
      </w:tr>
      <w:tr>
        <w:tc>
          <w:tcPr>
            <w:tcW w:type="dxa" w:w="2268"/>
          </w:tcPr>
          <w:p>
            <w:r>
              <w:rPr>
                <w:rFonts w:ascii="Calibri" w:hAnsi="Calibri"/>
                <w:b/>
                <w:color w:val="0F6E56"/>
                <w:sz w:val="20"/>
              </w:rPr>
              <w:t>Avg Days Open (732)</w:t>
            </w:r>
          </w:p>
        </w:tc>
        <w:tc>
          <w:tcPr>
            <w:tcW w:type="dxa" w:w="6803"/>
          </w:tcPr>
          <w:p>
            <w:r>
              <w:rPr>
                <w:rFonts w:ascii="Calibri" w:hAnsi="Calibri"/>
                <w:color w:val="2C2C2A"/>
                <w:sz w:val="20"/>
              </w:rPr>
              <w:t>Açık anomalilerin ortalama gün sayısı. 732 gün ≈ 2 yıl — fix gelmediği için sistem yapay yüksek.</w:t>
            </w:r>
          </w:p>
        </w:tc>
      </w:tr>
      <w:tr>
        <w:tc>
          <w:tcPr>
            <w:tcW w:type="dxa" w:w="2268"/>
          </w:tcPr>
          <w:p>
            <w:r>
              <w:rPr>
                <w:rFonts w:ascii="Calibri" w:hAnsi="Calibri"/>
                <w:b/>
                <w:color w:val="0F6E56"/>
                <w:sz w:val="20"/>
              </w:rPr>
              <w:t>High Priority Open Count (209)</w:t>
            </w:r>
          </w:p>
        </w:tc>
        <w:tc>
          <w:tcPr>
            <w:tcW w:type="dxa" w:w="6803"/>
          </w:tcPr>
          <w:p>
            <w:r>
              <w:rPr>
                <w:rFonts w:ascii="Calibri" w:hAnsi="Calibri"/>
                <w:color w:val="2C2C2A"/>
                <w:sz w:val="20"/>
              </w:rPr>
              <w:t>Açık High+Critical sayısı. Ekibin iş yükü.</w:t>
            </w:r>
          </w:p>
        </w:tc>
      </w:tr>
      <w:tr>
        <w:tc>
          <w:tcPr>
            <w:tcW w:type="dxa" w:w="2268"/>
          </w:tcPr>
          <w:p>
            <w:r>
              <w:rPr>
                <w:rFonts w:ascii="Calibri" w:hAnsi="Calibri"/>
                <w:b/>
                <w:color w:val="0F6E56"/>
                <w:sz w:val="20"/>
              </w:rPr>
              <w:t>Top Risk Building Score (Istanbul: 212)</w:t>
            </w:r>
          </w:p>
        </w:tc>
        <w:tc>
          <w:tcPr>
            <w:tcW w:type="dxa" w:w="6803"/>
          </w:tcPr>
          <w:p>
            <w:r>
              <w:rPr>
                <w:rFonts w:ascii="Calibri" w:hAnsi="Calibri"/>
                <w:color w:val="2C2C2A"/>
                <w:sz w:val="20"/>
              </w:rPr>
              <w:t>Bina risk skoru = critical_count × 4 + high × 2 + medium × 1; Istanbul en üstte.</w:t>
            </w:r>
          </w:p>
        </w:tc>
      </w:tr>
    </w:tbl>
    <w:p>
      <w:pPr>
        <w:spacing w:before="280" w:after="80"/>
      </w:pPr>
      <w:r>
        <w:rPr>
          <w:rFonts w:ascii="Calibri" w:hAnsi="Calibri"/>
          <w:b/>
          <w:color w:val="1D9E75"/>
          <w:sz w:val="30"/>
        </w:rPr>
        <w:t>Bu sayfa nasıl konuşulur</w:t>
      </w:r>
    </w:p>
    <w:p>
      <w:pPr>
        <w:spacing w:after="80"/>
      </w:pPr>
      <w:r>
        <w:rPr>
          <w:rFonts w:ascii="Calibri" w:hAnsi="Calibri"/>
          <w:b w:val="0"/>
          <w:i w:val="0"/>
          <w:color w:val="2C2C2A"/>
          <w:sz w:val="22"/>
        </w:rPr>
        <w:t>'Portföyde 582 anomali var, %35'i Istanbul'da. En büyük problem alanı SOLAR_UNDERPERFORM — bu bize aylık ~€X kayıp demek. AFTER_HOURS_WASTE da ciddi — BMS zamanlama ve occupancy mismatch (Sayfa 5'te ispatlı). Resolution rate düşük; öneri: bir SLA ile FM ekibine atama yapmak.'</w:t>
      </w:r>
    </w:p>
    <w:p>
      <w:r>
        <w:br w:type="page"/>
      </w:r>
    </w:p>
    <w:p>
      <w:pPr>
        <w:spacing w:before="360" w:after="160"/>
      </w:pPr>
      <w:r>
        <w:rPr>
          <w:rFonts w:ascii="Calibri" w:hAnsi="Calibri"/>
          <w:b/>
          <w:color w:val="0F6E56"/>
          <w:sz w:val="44"/>
        </w:rPr>
        <w:t>Sayfa 4 — Forecast &amp; Recommendations</w:t>
      </w:r>
    </w:p>
    <w:p>
      <w:pPr>
        <w:spacing w:before="280" w:after="80"/>
      </w:pPr>
      <w:r>
        <w:rPr>
          <w:rFonts w:ascii="Calibri" w:hAnsi="Calibri"/>
          <w:b/>
          <w:color w:val="1D9E75"/>
          <w:sz w:val="30"/>
        </w:rPr>
        <w:t>Sayfanın amacı</w:t>
      </w:r>
    </w:p>
    <w:p>
      <w:pPr>
        <w:spacing w:after="80"/>
      </w:pPr>
      <w:r>
        <w:rPr>
          <w:rFonts w:ascii="Calibri" w:hAnsi="Calibri"/>
          <w:b w:val="0"/>
          <w:i w:val="0"/>
          <w:color w:val="2C2C2A"/>
          <w:sz w:val="22"/>
        </w:rPr>
        <w:t>Tahmin (ML forecast) + Aksiyon önerileri (rule-based + ML hibrit). 'Gelecek N gün ne olacak ve ne yapmalıyız?' sorusunu cevaplar. Energy Manager ve Consultant'lar için 'iş üretim' sayfası.</w:t>
      </w:r>
    </w:p>
    <w:p>
      <w:pPr>
        <w:spacing w:before="280" w:after="80"/>
      </w:pPr>
      <w:r>
        <w:rPr>
          <w:rFonts w:ascii="Calibri" w:hAnsi="Calibri"/>
          <w:b/>
          <w:color w:val="1D9E75"/>
          <w:sz w:val="30"/>
        </w:rPr>
        <w:t>Üst Bant — KPI Kartları</w:t>
      </w:r>
    </w:p>
    <w:p>
      <w:pPr>
        <w:spacing w:before="200" w:after="40"/>
      </w:pPr>
      <w:r>
        <w:rPr>
          <w:rFonts w:ascii="Calibri" w:hAnsi="Calibri"/>
          <w:b/>
          <w:color w:val="639922"/>
          <w:sz w:val="24"/>
        </w:rPr>
        <w:t>7-Day Forecast (10,766 kWh)</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Önümüzdeki 7 gün için tahmin edilen toplam tüketim.</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ML model (07_consumption_forecast.py — XGBoost / Prophet) hourly forecast → 7 gün toplam.</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PY ile karşılaştırma için Goal: 8,012 (+34%) — yani önümüzdeki hafta geçen yıla göre artış bekleniyor. Soğuk hava forecast'ı, yeni kiracı veya operasyon değişimi olabilir.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Short-term forecast, demand response programlarına katılım için kritiktir. Bir gün öncesi (day-ahead) tahmin doğruluğu fatura optimizasyonu sağlar.</w:t>
            </w:r>
          </w:p>
        </w:tc>
      </w:tr>
    </w:tbl>
    <w:p>
      <w:pPr>
        <w:spacing w:before="200" w:after="40"/>
      </w:pPr>
      <w:r>
        <w:rPr>
          <w:rFonts w:ascii="Calibri" w:hAnsi="Calibri"/>
          <w:b/>
          <w:color w:val="639922"/>
          <w:sz w:val="24"/>
        </w:rPr>
        <w:t>30-Day Forecast (44,163 kWh)</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Önümüzdeki 30 gün için tahmin.</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Aynı model, 30 gün horizon. Daha geniş confidence interval.</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Aylık fatura tahmini için kullanılır. +/-%5 doğruluk hedef.</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Aylık budget forecast, finance ekibi için kritik. Cash flow planlaması bu sayıya dayanır.</w:t>
            </w:r>
          </w:p>
        </w:tc>
      </w:tr>
    </w:tbl>
    <w:p>
      <w:pPr>
        <w:spacing w:before="200" w:after="40"/>
      </w:pPr>
      <w:r>
        <w:rPr>
          <w:rFonts w:ascii="Calibri" w:hAnsi="Calibri"/>
          <w:b/>
          <w:color w:val="639922"/>
          <w:sz w:val="24"/>
        </w:rPr>
        <w:t>Savings Potential (€)</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Aksiyon önerilerinin toplam yıllık € tasarruf potansiyeli.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SUM(recommendation_annual_savings_eur) — öneri başına ayrı hesaplanan, toplandığında.</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(Blank) — recommendation engine henüz binaya bağlanmamış olabilir. Hedef Goal: 300K — agresif. Gerçek 100-200K bekleniyor.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Önerilerin parasal değeri, sales pitch'in temelidir: 'platform sana yılda €X kazandırır'. ROI sunumunun belkemiği.</w:t>
            </w:r>
          </w:p>
        </w:tc>
      </w:tr>
    </w:tbl>
    <w:p>
      <w:pPr>
        <w:spacing w:before="200" w:after="40"/>
      </w:pPr>
      <w:r>
        <w:rPr>
          <w:rFonts w:ascii="Calibri" w:hAnsi="Calibri"/>
          <w:b/>
          <w:color w:val="639922"/>
          <w:sz w:val="24"/>
        </w:rPr>
        <w:t>CRITICAL Actions (8)</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Acil müdahale gerektiren öneri sayısı.</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 WHERE recommendation_priority = 'CRITICAL'</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8 critical action = bu hafta yapılması gerekenler. Sayfa 3'teki critical anomalilerle (51) farklı — her anomali öneri üretmiyor; her öneri kümülatif olabilir.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İş listesi. Consultant 'şu hafta şunları yap' diyor — bu kart o listenin kısa hali.</w:t>
            </w:r>
          </w:p>
        </w:tc>
      </w:tr>
    </w:tbl>
    <w:p>
      <w:pPr>
        <w:spacing w:before="200" w:after="40"/>
      </w:pPr>
      <w:r>
        <w:rPr>
          <w:rFonts w:ascii="Calibri" w:hAnsi="Calibri"/>
          <w:b/>
          <w:color w:val="639922"/>
          <w:sz w:val="24"/>
        </w:rPr>
        <w:t>Avg MAPE %</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Mean Absolute Percentage Error — forecast doğruluğunun ortalaması.</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MAPE = AVG(|actual - forecast| / actual × 100). Hold-out test seti üzerinden.</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&lt;10% — mükemmel; 10-20% — kabul edilebilir; &gt;20% — model yetersiz. Goal: 10 (-%22) — hedefin altında.</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Model güveninin ölçüsü. Yüksek MAPE'lı tahmine dayanarak yatırım kararı verme. Bu sayı, modelin 'üretime hazır' olup olmadığını söyler.</w:t>
            </w:r>
          </w:p>
        </w:tc>
      </w:tr>
    </w:tbl>
    <w:p>
      <w:pPr>
        <w:spacing w:before="280" w:after="80"/>
      </w:pPr>
      <w:r>
        <w:rPr>
          <w:rFonts w:ascii="Calibri" w:hAnsi="Calibri"/>
          <w:b/>
          <w:color w:val="1D9E75"/>
          <w:sz w:val="30"/>
        </w:rPr>
        <w:t>V1 — Monthly Consumption — Actual &amp; Forecast (Line)</w:t>
      </w:r>
    </w:p>
    <w:p>
      <w:pPr>
        <w:spacing w:before="200" w:after="40"/>
      </w:pPr>
      <w:r>
        <w:rPr>
          <w:rFonts w:ascii="Calibri" w:hAnsi="Calibri"/>
          <w:b/>
          <w:color w:val="639922"/>
          <w:sz w:val="24"/>
        </w:rPr>
        <w:t>Tipi: Line Chart, 3 seri</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Actual kWh (mavi solid), Forecast kWh (kırmızı dashed), PY kWh (gri).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Actual = SUM(daily) GROUP BY month; Forecast = ML output; PY = SAMEPERIODLASTYEAR.</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Forecast line, actual'ın devam çizgisi — geçmişle uyum olmalı. Forecast PY'den belirgin saparsa anomali bekleniyor demek (büyüme veya azalma).</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Forecast görseli müşteriye 'kontrolün var' hissi verir. Sales demosu için en güçlü görseldir.</w:t>
            </w:r>
          </w:p>
        </w:tc>
      </w:tr>
    </w:tbl>
    <w:p>
      <w:pPr>
        <w:spacing w:before="280" w:after="80"/>
      </w:pPr>
      <w:r>
        <w:rPr>
          <w:rFonts w:ascii="Calibri" w:hAnsi="Calibri"/>
          <w:b/>
          <w:color w:val="1D9E75"/>
          <w:sz w:val="30"/>
        </w:rPr>
        <w:t>V2 — Recommendations Table</w:t>
      </w:r>
    </w:p>
    <w:p>
      <w:pPr>
        <w:spacing w:before="200" w:after="40"/>
      </w:pPr>
      <w:r>
        <w:rPr>
          <w:rFonts w:ascii="Calibri" w:hAnsi="Calibri"/>
          <w:b/>
          <w:color w:val="639922"/>
          <w:sz w:val="24"/>
        </w:rPr>
        <w:t>Tipi: Table</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Sütunlar: Building, Recommendation, Priority, Total Annual Saving EUR, Payback (yıl).</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gold_recommendations tablosu (notebook 06_recommendation_engine.py) — rule-based öneri motoru.</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Örnek: 'Implement HVAC Scheduling' HIGH, €20,880/yıl. 'Optimise Building Management' HIGH, €30,933/yıl — en yüksek değer. 'Upgrade to LED Lighting' LOW, €16K — kolay quick win.</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Öneri listesi consultant'ın 'müşteriye satacağı' işlerin haritasıdır. Priority + Payback ile sıralarsan iş planı çıkar.</w:t>
            </w:r>
          </w:p>
        </w:tc>
      </w:tr>
    </w:tbl>
    <w:p>
      <w:pPr>
        <w:spacing w:before="280" w:after="80"/>
      </w:pPr>
      <w:r>
        <w:rPr>
          <w:rFonts w:ascii="Calibri" w:hAnsi="Calibri"/>
          <w:b/>
          <w:color w:val="1D9E75"/>
          <w:sz w:val="30"/>
        </w:rPr>
        <w:t>V3 — Payback vs Savings (Scatter)</w:t>
      </w:r>
    </w:p>
    <w:p>
      <w:pPr>
        <w:spacing w:before="200" w:after="40"/>
      </w:pPr>
      <w:r>
        <w:rPr>
          <w:rFonts w:ascii="Calibri" w:hAnsi="Calibri"/>
          <w:b/>
          <w:color w:val="639922"/>
          <w:sz w:val="24"/>
        </w:rPr>
        <w:t>Tipi: Scatter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Payback (yıl), Y = Annual Savings (€); her nokta = bir öneri; renk/şekil = Priority.</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Direct join recommendations table.</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Sol-üst köşe (kısa payback + yüksek tasarruf) = quick wins, ilk yapılacaklar. Sağ-alt (uzun payback + düşük tasarruf) = ertelenebilir veya iptal. Sol-alt = düşük etki ama hızlı (cosmetic).</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ROI matrisi olarak da bilinir. Mühendis ve finansçı için ortak dil — 'payback 5 yılın altı = onayla' tipi karar kuralı.</w:t>
            </w:r>
          </w:p>
        </w:tc>
      </w:tr>
    </w:tbl>
    <w:p>
      <w:pPr>
        <w:spacing w:before="280" w:after="80"/>
      </w:pPr>
      <w:r>
        <w:rPr>
          <w:rFonts w:ascii="Calibri" w:hAnsi="Calibri"/>
          <w:b/>
          <w:color w:val="1D9E75"/>
          <w:sz w:val="30"/>
        </w:rPr>
        <w:t>V4 — Actions by Priority (Bar)</w:t>
      </w:r>
    </w:p>
    <w:p>
      <w:pPr>
        <w:spacing w:before="200" w:after="40"/>
      </w:pPr>
      <w:r>
        <w:rPr>
          <w:rFonts w:ascii="Calibri" w:hAnsi="Calibri"/>
          <w:b/>
          <w:color w:val="639922"/>
          <w:sz w:val="24"/>
        </w:rPr>
        <w:t>Tipi: Bar Chart</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sayı; Y = HIGH/MEDIUM/LOW.</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 GROUP BY priority</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Dengeli 2-2-2 dağılım — sağlıklı. Çoğunluk LOW'da olsa quick wins eksik; çoğunluk HIGH'da olsa ekip yetişemez.</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Aksiyon portföyünün dengesi — sustainability programının olgunluk göstergesi.</w:t>
            </w:r>
          </w:p>
        </w:tc>
      </w:tr>
    </w:tbl>
    <w:p>
      <w:pPr>
        <w:spacing w:before="280" w:after="80"/>
      </w:pPr>
      <w:r>
        <w:rPr>
          <w:rFonts w:ascii="Calibri" w:hAnsi="Calibri"/>
          <w:b/>
          <w:color w:val="1D9E75"/>
          <w:sz w:val="30"/>
        </w:rPr>
        <w:t>V5 — MAPE Accuracy by Building</w:t>
      </w:r>
    </w:p>
    <w:p>
      <w:pPr>
        <w:spacing w:before="200" w:after="40"/>
      </w:pPr>
      <w:r>
        <w:rPr>
          <w:rFonts w:ascii="Calibri" w:hAnsi="Calibri"/>
          <w:b/>
          <w:color w:val="639922"/>
          <w:sz w:val="24"/>
        </w:rPr>
        <w:t>Tipi: Bar with threshold</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Y = bina; X = MAPE %; eşik çizgisi: 10% (Excellent/Poor sınırı).</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MAPE her bina için ayrı hesap.</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Berliner Bürogebäude Alpha: 7.8% — Excellent. Bir bina 20%+ ise modelin o bina için yeniden eğitilmesi gerekir (different season pattern, eksik feature).</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Bina başına MAPE, modelin generalize edip etmediğinin testidir. Aynı model 6 binayı 'tek elde' tahmin ediyorsa, building_id one-hot encoded olmalı veya bina-bazında ayrı modeller eğitilmeli.</w:t>
            </w:r>
          </w:p>
        </w:tc>
      </w:tr>
    </w:tbl>
    <w:p>
      <w:pPr>
        <w:spacing w:before="280" w:after="80"/>
      </w:pPr>
      <w:r>
        <w:rPr>
          <w:rFonts w:ascii="Calibri" w:hAnsi="Calibri"/>
          <w:b/>
          <w:color w:val="1D9E75"/>
          <w:sz w:val="30"/>
        </w:rPr>
        <w:t>Bu sayfa nasıl konuşulur</w:t>
      </w:r>
    </w:p>
    <w:p>
      <w:pPr>
        <w:spacing w:after="80"/>
      </w:pPr>
      <w:r>
        <w:rPr>
          <w:rFonts w:ascii="Calibri" w:hAnsi="Calibri"/>
          <w:b w:val="0"/>
          <w:i w:val="0"/>
          <w:color w:val="2C2C2A"/>
          <w:sz w:val="22"/>
        </w:rPr>
        <w:t>'30 günde 44K kWh tüketim bekliyoruz, geçen yıla göre +%X. Müşteriye HVAC Scheduling önerisi €21K/yıl tasarruf, payback 3 yıl. Eğer bunu + Building Management optimizasyonunu birlikte yaparsa €50K+/yıl tasarruf — yatırım yaptığında 18 ay içinde geri alır. Model doğruluğumuz MAPE 8% — production-grade.'</w:t>
      </w:r>
    </w:p>
    <w:p>
      <w:r>
        <w:br w:type="page"/>
      </w:r>
    </w:p>
    <w:p>
      <w:pPr>
        <w:spacing w:before="360" w:after="160"/>
      </w:pPr>
      <w:r>
        <w:rPr>
          <w:rFonts w:ascii="Calibri" w:hAnsi="Calibri"/>
          <w:b/>
          <w:color w:val="0F6E56"/>
          <w:sz w:val="44"/>
        </w:rPr>
        <w:t>Sayfa 5 — Occupancy / Operations Profile</w:t>
      </w:r>
    </w:p>
    <w:p>
      <w:pPr>
        <w:spacing w:before="280" w:after="80"/>
      </w:pPr>
      <w:r>
        <w:rPr>
          <w:rFonts w:ascii="Calibri" w:hAnsi="Calibri"/>
          <w:b/>
          <w:color w:val="1D9E75"/>
          <w:sz w:val="30"/>
        </w:rPr>
        <w:t>Sayfanın amacı</w:t>
      </w:r>
    </w:p>
    <w:p>
      <w:pPr>
        <w:spacing w:after="80"/>
      </w:pPr>
      <w:r>
        <w:rPr>
          <w:rFonts w:ascii="Calibri" w:hAnsi="Calibri"/>
          <w:b w:val="0"/>
          <w:i w:val="0"/>
          <w:color w:val="2C2C2A"/>
          <w:sz w:val="22"/>
        </w:rPr>
        <w:t>Bina ne zaman dolu, ne zaman boş — ve buna göre enerji tüketimi ne durumda? Occupancy verisi olmadan 'after-hours waste' tespiti yapılamaz. Bu sayfa bina ritmini gösterir.</w:t>
      </w:r>
    </w:p>
    <w:p>
      <w:pPr>
        <w:spacing w:after="80"/>
      </w:pPr>
      <w:r>
        <w:rPr>
          <w:rFonts w:ascii="Calibri" w:hAnsi="Calibri"/>
          <w:b w:val="0"/>
          <w:i w:val="0"/>
          <w:color w:val="2C2C2A"/>
          <w:sz w:val="22"/>
        </w:rPr>
        <w:t>Veri kaynağı: badge access, BMS occupancy sensor, manuel takvim. EnergyLens'te şu an profile-based (synthesized from schedule + Wi-Fi).</w:t>
      </w:r>
    </w:p>
    <w:p>
      <w:pPr>
        <w:spacing w:before="280" w:after="80"/>
      </w:pPr>
      <w:r>
        <w:rPr>
          <w:rFonts w:ascii="Calibri" w:hAnsi="Calibri"/>
          <w:b/>
          <w:color w:val="1D9E75"/>
          <w:sz w:val="30"/>
        </w:rPr>
        <w:t>Üst Bant — KPI Kartları</w:t>
      </w:r>
    </w:p>
    <w:p>
      <w:pPr>
        <w:spacing w:before="200" w:after="40"/>
      </w:pPr>
      <w:r>
        <w:rPr>
          <w:rFonts w:ascii="Calibri" w:hAnsi="Calibri"/>
          <w:b/>
          <w:color w:val="639922"/>
          <w:sz w:val="24"/>
        </w:rPr>
        <w:t>Avg Occupancy Rate (%34.7)</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Tüm saatler boyunca ortalama doluluk yüzdesi.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AVG(occupancy_pct) ALL hours/days</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%34.7 — düşük görünür ama 24/7 ortalaması alındığı için doğru. İş saatlerinde %70+ olur, gece ~%5; ortalama mantıklı.</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Düşük rate, bina ölçeklendirmesi kararına etki eder: 'Hot desking, kapalı kat' önerileri buradan çıkar.</w:t>
            </w:r>
          </w:p>
        </w:tc>
      </w:tr>
    </w:tbl>
    <w:p>
      <w:pPr>
        <w:spacing w:before="200" w:after="40"/>
      </w:pPr>
      <w:r>
        <w:rPr>
          <w:rFonts w:ascii="Calibri" w:hAnsi="Calibri"/>
          <w:b/>
          <w:color w:val="639922"/>
          <w:sz w:val="24"/>
        </w:rPr>
        <w:t>Peak Occupancy Hour (14:00)</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Günün en dolu saati.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Hour MAX(occupancy_pct)</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14:00 — öğle sonrası tepe (öğlen yemeği sonrası geri dönüş + yoğun toplantı). Pazartesi-Cuma için tipik.</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Peak occupancy ile peak demand zamanları çakışıyor mu? Karşılaştırma load shifting fırsatlarını gösterir.</w:t>
            </w:r>
          </w:p>
        </w:tc>
      </w:tr>
    </w:tbl>
    <w:p>
      <w:pPr>
        <w:spacing w:before="200" w:after="40"/>
      </w:pPr>
      <w:r>
        <w:rPr>
          <w:rFonts w:ascii="Calibri" w:hAnsi="Calibri"/>
          <w:b/>
          <w:color w:val="639922"/>
          <w:sz w:val="24"/>
        </w:rPr>
        <w:t>After-Hours Occupancy (%) (48)</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İş saatleri dışı (18:00-08:00) ortalama doluluk yüzdesi.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AVG(occupancy_pct) WHERE hour NOT IN (08-18) AND day IN (Mon-Fri)</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%48 — şüpheli yüksek. Ya gece vardiyası var (klinik B005?) ya da sensör yorumu yanlış. Goal: 45 — hafif üzerinde.</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After-hours occupancy yüksekse HVAC schedule'ı yeniden kalibre edilmemiş demek — enerji savurganlığı sinyali (AFTER_HOURS_WASTE anomalileriyle korele).</w:t>
            </w:r>
          </w:p>
        </w:tc>
      </w:tr>
    </w:tbl>
    <w:p>
      <w:pPr>
        <w:spacing w:before="200" w:after="40"/>
      </w:pPr>
      <w:r>
        <w:rPr>
          <w:rFonts w:ascii="Calibri" w:hAnsi="Calibri"/>
          <w:b/>
          <w:color w:val="639922"/>
          <w:sz w:val="24"/>
        </w:rPr>
        <w:t>Energy / Occupant (kWh/mo)</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Aylık kişi başı tüketim.</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Monthly_kwh / avg_monthly_occupants</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(Blank) — occupant sayısı henüz binaya bağlanmamış. Hedef Goal: 650 kWh/kişi/ay — Avrupa ofis için makul.</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Kişi başı tüketim, employee experience'ı maliyete bağlar: HR ve sürdürülebilirlik raporlamasının kesişimi.</w:t>
            </w:r>
          </w:p>
        </w:tc>
      </w:tr>
    </w:tbl>
    <w:p>
      <w:pPr>
        <w:spacing w:before="280" w:after="80"/>
      </w:pPr>
      <w:r>
        <w:rPr>
          <w:rFonts w:ascii="Calibri" w:hAnsi="Calibri"/>
          <w:b/>
          <w:color w:val="1D9E75"/>
          <w:sz w:val="30"/>
        </w:rPr>
        <w:t>V1 — 7×24 Occupancy Heatmap</w:t>
      </w:r>
    </w:p>
    <w:p>
      <w:pPr>
        <w:spacing w:before="200" w:after="40"/>
      </w:pPr>
      <w:r>
        <w:rPr>
          <w:rFonts w:ascii="Calibri" w:hAnsi="Calibri"/>
          <w:b/>
          <w:color w:val="639922"/>
          <w:sz w:val="24"/>
        </w:rPr>
        <w:t>Tipi: Heatmap (gün × saat)</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Satır: Mon-Sun; Sütun: 0:00-23:00; hücre: ortalama occupancy % (yeşil-koyu = yüksek).</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AVG(occupancy_pct) GROUP BY DayName, Hour</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Hafta içi 8-18 arası %55-76 (peak 14:00 %76); hafta sonu %12-32 (azalan ama hala var). Pazartesi %17 → Salı %17 → ... çok düz: takvim simulated, gerçek olsa farklılık olur.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 heatmap, bina 'biorhythm'unu gösterir. HVAC schedule'ı bu pattern'e göre kalibre edilir. Hafta sonu %32 hala yüksek — bina HVAC'ını tamamen kapatamıyor.</w:t>
            </w:r>
          </w:p>
        </w:tc>
      </w:tr>
    </w:tbl>
    <w:p>
      <w:pPr>
        <w:spacing w:before="280" w:after="80"/>
      </w:pPr>
      <w:r>
        <w:rPr>
          <w:rFonts w:ascii="Calibri" w:hAnsi="Calibri"/>
          <w:b/>
          <w:color w:val="1D9E75"/>
          <w:sz w:val="30"/>
        </w:rPr>
        <w:t>V2 — Hourly Occupancy (Weekday vs Weekend)</w:t>
      </w:r>
    </w:p>
    <w:p>
      <w:pPr>
        <w:spacing w:before="200" w:after="40"/>
      </w:pPr>
      <w:r>
        <w:rPr>
          <w:rFonts w:ascii="Calibri" w:hAnsi="Calibri"/>
          <w:b/>
          <w:color w:val="639922"/>
          <w:sz w:val="24"/>
        </w:rPr>
        <w:t>Tipi: Line Chart, 2 seri</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saat (0-23); Y = ortalama doluluk %; iki line: Weekday, Weekend.</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AVG GROUP BY hour, is_weekend flag</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Weekday belirgin trapezoid (8-18); Weekend düz düşük. Aradaki fark = bina 'idle but heated/cooled' süresi. Eğer Weekend line'ı 0'a inmiyorsa, hafta sonu sistemi tamamen kapatılmıyor.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Sistem schedule'larını set ederken bu görsel altın standarttır. HVAC, aydınlatma ve havalandırma 'occupancy modulated' olmalı (DCV — demand controlled ventilation).</w:t>
            </w:r>
          </w:p>
        </w:tc>
      </w:tr>
    </w:tbl>
    <w:p>
      <w:pPr>
        <w:spacing w:before="280" w:after="80"/>
      </w:pPr>
      <w:r>
        <w:rPr>
          <w:rFonts w:ascii="Calibri" w:hAnsi="Calibri"/>
          <w:b/>
          <w:color w:val="1D9E75"/>
          <w:sz w:val="30"/>
        </w:rPr>
        <w:t>V3 — Building Avg Occupancy Comparison</w:t>
      </w:r>
    </w:p>
    <w:p>
      <w:pPr>
        <w:spacing w:before="200" w:after="40"/>
      </w:pPr>
      <w:r>
        <w:rPr>
          <w:rFonts w:ascii="Calibri" w:hAnsi="Calibri"/>
          <w:b/>
          <w:color w:val="639922"/>
          <w:sz w:val="24"/>
        </w:rPr>
        <w:t>Tipi: Horizontal Bar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Y = bina; X = ortalama occupancy %.</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AVG GROUP BY building</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Frankfurt Klinikum 52.5 (klinik 24/7, yüksek doğal); Wien Grand Hotel 49.4 (otel — yüksek dolu); Berliner 25.9; Amsterdam 20.5 (üniversite — yaz boş). Mantıklı dağılım.</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Bina tipi normalize edilmeden 'bu bina dolu/boş' yorumu yapılmaz. Hotel ile ofis kıyaslanmaz.</w:t>
            </w:r>
          </w:p>
        </w:tc>
      </w:tr>
    </w:tbl>
    <w:p>
      <w:pPr>
        <w:spacing w:before="280" w:after="80"/>
      </w:pPr>
      <w:r>
        <w:rPr>
          <w:rFonts w:ascii="Calibri" w:hAnsi="Calibri"/>
          <w:b/>
          <w:color w:val="1D9E75"/>
          <w:sz w:val="30"/>
        </w:rPr>
        <w:t>Bu sayfa nasıl konuşulur</w:t>
      </w:r>
    </w:p>
    <w:p>
      <w:pPr>
        <w:spacing w:after="80"/>
      </w:pPr>
      <w:r>
        <w:rPr>
          <w:rFonts w:ascii="Calibri" w:hAnsi="Calibri"/>
          <w:b w:val="0"/>
          <w:i w:val="0"/>
          <w:color w:val="2C2C2A"/>
          <w:sz w:val="22"/>
        </w:rPr>
        <w:t>'Bina hafta içi 8-18 arası %70+ dolu, ama hafta sonu %30 idle occupancy ile HVAC tam kapanmıyor — burada €X/ay AFTER_HOURS_WASTE var (Sayfa 3 anomali ile uyumlu). Schedule fix önerisi: pazar HVAC'ı %25 düşür, payback 6 ay.'</w:t>
      </w:r>
    </w:p>
    <w:p>
      <w:r>
        <w:br w:type="page"/>
      </w:r>
    </w:p>
    <w:p>
      <w:pPr>
        <w:spacing w:before="360" w:after="160"/>
      </w:pPr>
      <w:r>
        <w:rPr>
          <w:rFonts w:ascii="Calibri" w:hAnsi="Calibri"/>
          <w:b/>
          <w:color w:val="0F6E56"/>
          <w:sz w:val="44"/>
        </w:rPr>
        <w:t>Sayfa 6 — Carbon Compliance / CRREM</w:t>
      </w:r>
    </w:p>
    <w:p>
      <w:pPr>
        <w:spacing w:before="280" w:after="80"/>
      </w:pPr>
      <w:r>
        <w:rPr>
          <w:rFonts w:ascii="Calibri" w:hAnsi="Calibri"/>
          <w:b/>
          <w:color w:val="1D9E75"/>
          <w:sz w:val="30"/>
        </w:rPr>
        <w:t>Sayfanın amacı</w:t>
      </w:r>
    </w:p>
    <w:p>
      <w:pPr>
        <w:spacing w:after="80"/>
      </w:pPr>
      <w:r>
        <w:rPr>
          <w:rFonts w:ascii="Calibri" w:hAnsi="Calibri"/>
          <w:b w:val="0"/>
          <w:i w:val="0"/>
          <w:color w:val="2C2C2A"/>
          <w:sz w:val="22"/>
        </w:rPr>
        <w:t>Karbon ve regülasyon sayfası. CRREM (Carbon Risk Real Estate Monitor), EPC, ETS2 ve EPBD 2030 hedefleri. Bina sahibinin '2030'da yasal olarak strand olur muyum, ETS2 ile ne kadar ödeyeceğim' sorularını cevaplar.</w:t>
      </w:r>
    </w:p>
    <w:p>
      <w:pPr>
        <w:spacing w:after="80"/>
      </w:pPr>
      <w:r>
        <w:rPr>
          <w:rFonts w:ascii="Calibri" w:hAnsi="Calibri"/>
          <w:b w:val="0"/>
          <w:i w:val="0"/>
          <w:color w:val="2C2C2A"/>
          <w:sz w:val="22"/>
        </w:rPr>
        <w:t>CRREM = AB ticari gayrimenkulü için en yaygın karbon-yol-haritası standardı. Bina özelinde yıllık 'pathway' hedef koyar; aşan binalar 'stranded asset' olur (yeniden satılması zor).</w:t>
      </w:r>
    </w:p>
    <w:p>
      <w:pPr>
        <w:spacing w:before="280" w:after="80"/>
      </w:pPr>
      <w:r>
        <w:rPr>
          <w:rFonts w:ascii="Calibri" w:hAnsi="Calibri"/>
          <w:b/>
          <w:color w:val="1D9E75"/>
          <w:sz w:val="30"/>
        </w:rPr>
        <w:t>Üst Bant — KPI Kartları</w:t>
      </w:r>
    </w:p>
    <w:p>
      <w:pPr>
        <w:spacing w:before="200" w:after="40"/>
      </w:pPr>
      <w:r>
        <w:rPr>
          <w:rFonts w:ascii="Calibri" w:hAnsi="Calibri"/>
          <w:b/>
          <w:color w:val="639922"/>
          <w:sz w:val="24"/>
        </w:rPr>
        <w:t>GHG Intensity (23.2 kgCO₂/m²/yr)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Birim alan başına yıllık karbon emisyonu — CRREM ve EPC'nin ana metriği.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(elec_kwh × grid_g_co2 + gas_kwh × 200 g) / area_m2 / 1000</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23.2 — AB ofis ortalamasından (40-60) çok düşük. Solar+düşük gaz kullanımı olmalı. CRREM 2030 hedef ~25 kgCO₂/m²/yıl — şu an altında.</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 tek sayı, AB Taxonomy uyumluluğunun temelidir. &lt;30 = green, 30-60 = transition, &gt;60 = stranded risk.</w:t>
            </w:r>
          </w:p>
        </w:tc>
      </w:tr>
    </w:tbl>
    <w:p>
      <w:pPr>
        <w:spacing w:before="200" w:after="40"/>
      </w:pPr>
      <w:r>
        <w:rPr>
          <w:rFonts w:ascii="Calibri" w:hAnsi="Calibri"/>
          <w:b/>
          <w:color w:val="639922"/>
          <w:sz w:val="24"/>
        </w:rPr>
        <w:t>EPC Portfolio Grade (A+)</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Energy Performance Certificate — bina enerji sınıfı (A++/A+/A/B/C/D/E/F/G).</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EUI yıllık + GHG yoğunluğu + envelope skoru kombinasyonu. Ülke bazlı kalibrasyon var (DE/AT/NL/TR farklı eşikler).</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A+ — portföyün en iyi sınıfta. EU AB Taxonomy 'green building' kriterini karşılar. Yatırım çekme ve premium kira için kritik.</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EPBD 2030: tüm AB binaları minimum E sınıfında olmalı (komite kararı 2024). Düşük EPC olan binalar 2030'da kiraya verilemez veya satılamaz.</w:t>
            </w:r>
          </w:p>
        </w:tc>
      </w:tr>
    </w:tbl>
    <w:p>
      <w:pPr>
        <w:spacing w:before="200" w:after="40"/>
      </w:pPr>
      <w:r>
        <w:rPr>
          <w:rFonts w:ascii="Calibri" w:hAnsi="Calibri"/>
          <w:b/>
          <w:color w:val="639922"/>
          <w:sz w:val="24"/>
        </w:rPr>
        <w:t>Renewable Energy Share (%) (3)</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Toplam tüketimin yüzde kaçı yenilenebilir kaynaktan (PV self-consumed veya yeşil tarife).</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(solar_self_consumed + green_grid_kwh) / total_kwh × 100</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%3 — düşük. Goal: 40 (-%92) — agresif hedef, çok altında. PV self-consumption düşük veya solar küçük. Battery + PV expansion gerekli.</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AB Taxonomy ve CSRD raporlamasında 'green ratio' kritik. Yatırımcı sorgusu: 'how green is your asset'.</w:t>
            </w:r>
          </w:p>
        </w:tc>
      </w:tr>
    </w:tbl>
    <w:p>
      <w:pPr>
        <w:spacing w:before="200" w:after="40"/>
      </w:pPr>
      <w:r>
        <w:rPr>
          <w:rFonts w:ascii="Calibri" w:hAnsi="Calibri"/>
          <w:b/>
          <w:color w:val="639922"/>
          <w:sz w:val="24"/>
        </w:rPr>
        <w:t>CO₂ Carbon Levy (€138,504)</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Beklenen yıllık karbon vergisi — ETS2 (binalar için emisyon ticareti, 2027 başlangıç).</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tCO₂ × ETS2_price_eur_per_tco2 (2027 ~€45, 2030 projection €85-130/tCO₂)</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€138K/yıl — portföy ölçeğinde anlamlı. Goal: 176K — hedefin altında. Karbon azaltıldıkça vergi de azalır.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ETS2, 2027'den itibaren AB binaları için yasal yük. Tahmini tasarruf hesabı yatırım kararının (örn. heat pump retrofit) ana parçası.</w:t>
            </w:r>
          </w:p>
        </w:tc>
      </w:tr>
    </w:tbl>
    <w:p>
      <w:pPr>
        <w:spacing w:before="200" w:after="40"/>
      </w:pPr>
      <w:r>
        <w:rPr>
          <w:rFonts w:ascii="Calibri" w:hAnsi="Calibri"/>
          <w:b/>
          <w:color w:val="639922"/>
          <w:sz w:val="24"/>
        </w:rPr>
        <w:t>CRREM Stranding Year (2026)</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Bu binanın kendi GHG yoğunluğuyla CRREM hedef çizgisini aşacağı yıl.</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İlk yıl WHERE current_intensity &gt; crrem_pathway_target. Pathway 1.5°C senaryosu için 2050'ye lineer azalan eğri.</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2026 — şu an! Aciliyet kırmızı bayrak. Stranding = AB Taxonomy uyumlu olmayan, refinansman zor, kiracı kaybetme riskli aktif.</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CRREM yılı yatırım kararının deadline'ıdır. 'X yılına kadar Y kgCO₂'ye düşmen lazım' demek.</w:t>
            </w:r>
          </w:p>
        </w:tc>
      </w:tr>
    </w:tbl>
    <w:p>
      <w:pPr>
        <w:spacing w:before="280" w:after="80"/>
      </w:pPr>
      <w:r>
        <w:rPr>
          <w:rFonts w:ascii="Calibri" w:hAnsi="Calibri"/>
          <w:b/>
          <w:color w:val="1D9E75"/>
          <w:sz w:val="30"/>
        </w:rPr>
        <w:t>V1 — Carbon Intensity vs CRREM Pathways</w:t>
      </w:r>
    </w:p>
    <w:p>
      <w:pPr>
        <w:spacing w:before="200" w:after="40"/>
      </w:pPr>
      <w:r>
        <w:rPr>
          <w:rFonts w:ascii="Calibri" w:hAnsi="Calibri"/>
          <w:b/>
          <w:color w:val="639922"/>
          <w:sz w:val="24"/>
        </w:rPr>
        <w:t>Tipi: Multi-Line Chart</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yıl; Y = GHG intensity kgCO₂/m²; lines: bina kendisi, CRREM 1.5°C Pathway, CRREM 2.0°C Pathway, CRREM Benchmark.</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Bina değerleri historikten, pathway target'lar CRREM resmi datasetinden (her yıl güncellenir).</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Bina çizgisi pathway altındaysa uyumlu; pathway ile kesiştiği yıl = stranding yılı. Eğim düşürmek için retrofit gerek.</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 görsel yatırım analizi sunumunun belkemiğidir: 'şu an buradayız, 2030'da burada olmalıyız, X retrofit yapmazsak Y yılında strand oluyoruz'.</w:t>
            </w:r>
          </w:p>
        </w:tc>
      </w:tr>
    </w:tbl>
    <w:p>
      <w:pPr>
        <w:spacing w:before="280" w:after="80"/>
      </w:pPr>
      <w:r>
        <w:rPr>
          <w:rFonts w:ascii="Calibri" w:hAnsi="Calibri"/>
          <w:b/>
          <w:color w:val="1D9E75"/>
          <w:sz w:val="30"/>
        </w:rPr>
        <w:t>V2 — CRREM Status by Building (Tablo)</w:t>
      </w:r>
    </w:p>
    <w:p>
      <w:pPr>
        <w:spacing w:before="200" w:after="40"/>
      </w:pPr>
      <w:r>
        <w:rPr>
          <w:rFonts w:ascii="Calibri" w:hAnsi="Calibri"/>
          <w:b/>
          <w:color w:val="639922"/>
          <w:sz w:val="24"/>
        </w:rPr>
        <w:t>Tipi: Table with status icons</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Sütunlar: Building, GHG Intensity, CRREM Carbon Benchmark, CRREM Status.</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Status = compare intensity vs benchmark; icon: 🔴 Stranded / 🟡 Approaching / 🟢 Well Below.</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Istanbul Ticaret Merkezi: GHG 77.5, benchmark 42.4 → 🔴 Stranded Asset. Berliner: 23.7, benchmark 39.5 → 🟢 Well Below. Hamburg: 47.4, benchmark 58.6 → 🟢 Well Below.</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Bina özelinde aksiyon önceliği. Stranded binalar yatırım önceliği — diğerleri mevcut performansı koruyabilir.</w:t>
            </w:r>
          </w:p>
        </w:tc>
      </w:tr>
    </w:tbl>
    <w:p>
      <w:pPr>
        <w:spacing w:before="280" w:after="80"/>
      </w:pPr>
      <w:r>
        <w:rPr>
          <w:rFonts w:ascii="Calibri" w:hAnsi="Calibri"/>
          <w:b/>
          <w:color w:val="1D9E75"/>
          <w:sz w:val="30"/>
        </w:rPr>
        <w:t>V3 — Renewable vs Grid Energy Split (Stacked Area)</w:t>
      </w:r>
    </w:p>
    <w:p>
      <w:pPr>
        <w:spacing w:before="200" w:after="40"/>
      </w:pPr>
      <w:r>
        <w:rPr>
          <w:rFonts w:ascii="Calibri" w:hAnsi="Calibri"/>
          <w:b/>
          <w:color w:val="639922"/>
          <w:sz w:val="24"/>
        </w:rPr>
        <w:t>Tipi: Stacked %</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ay; Y = %; renkler: Solar Generated %, Grid Consumption %.</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Aylık paylar; solar / (solar + grid) × 100</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Yaz aylarında solar payı yükselir (uzun gün, yüksek üretim); kışın grid baskın. Mevsim örüntüsü beklenir.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 görsel 'self-sufficiency' anlatır. Yıllık %30+ solar pay AB Taxonomy 'green' yatırım için kabul edilir.</w:t>
            </w:r>
          </w:p>
        </w:tc>
      </w:tr>
    </w:tbl>
    <w:p>
      <w:pPr>
        <w:spacing w:before="280" w:after="80"/>
      </w:pPr>
      <w:r>
        <w:rPr>
          <w:rFonts w:ascii="Calibri" w:hAnsi="Calibri"/>
          <w:b/>
          <w:color w:val="1D9E75"/>
          <w:sz w:val="30"/>
        </w:rPr>
        <w:t>V4 — Building Carbon Intensity Comparison (Bar)</w:t>
      </w:r>
    </w:p>
    <w:p>
      <w:pPr>
        <w:spacing w:before="200" w:after="40"/>
      </w:pPr>
      <w:r>
        <w:rPr>
          <w:rFonts w:ascii="Calibri" w:hAnsi="Calibri"/>
          <w:b/>
          <w:color w:val="639922"/>
          <w:sz w:val="24"/>
        </w:rPr>
        <w:t>Tipi: Horizontal Bar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Y = bina; X = kgCO₂/m²; renk eşikleri ile.</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Yıllık ortalama GHG intensity per building.</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Frankfurt 0.547 (yüksek — klinik, gaz boiler); Istanbul 0.214; Wien 0.143; Hamburg 0.100; Berlin 0.067; Amsterdam 0.050. Sıralama HVAC sistemiyle korele (gas boiler = yüksek).</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Sıralama 'hangi binayı önce dekarbonize etmeli' sorusunu cevaplar. Frankfurt heat pump retrofit ile %60 düşüş olabilir.</w:t>
            </w:r>
          </w:p>
        </w:tc>
      </w:tr>
    </w:tbl>
    <w:p>
      <w:pPr>
        <w:spacing w:before="280" w:after="80"/>
      </w:pPr>
      <w:r>
        <w:rPr>
          <w:rFonts w:ascii="Calibri" w:hAnsi="Calibri"/>
          <w:b/>
          <w:color w:val="1D9E75"/>
          <w:sz w:val="30"/>
        </w:rPr>
        <w:t>V5 — CO₂ Emission Trend (Annual)</w:t>
      </w:r>
    </w:p>
    <w:p>
      <w:pPr>
        <w:spacing w:before="200" w:after="40"/>
      </w:pPr>
      <w:r>
        <w:rPr>
          <w:rFonts w:ascii="Calibri" w:hAnsi="Calibri"/>
          <w:b/>
          <w:color w:val="639922"/>
          <w:sz w:val="24"/>
        </w:rPr>
        <w:t>Tipi: Combo Bar+Line</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Bars: Total CO₂ Emissions (tCO₂), Net Carbon Footprint; Line: Total CO₂ Savings.</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Annual aggregate; savings = avoided emissions (solar, retrofit).</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2023-2026 trend: emisyon azalırken savings artıyor — pozitif eğri. Hedef 2050 net-sıfır.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Hikaye anlatımı için en güçlü görsel: 'önce buradaydık, şimdi buradayız, gidişat doğru'.</w:t>
            </w:r>
          </w:p>
        </w:tc>
      </w:tr>
    </w:tbl>
    <w:p>
      <w:pPr>
        <w:spacing w:before="280" w:after="80"/>
      </w:pPr>
      <w:r>
        <w:rPr>
          <w:rFonts w:ascii="Calibri" w:hAnsi="Calibri"/>
          <w:b/>
          <w:color w:val="1D9E75"/>
          <w:sz w:val="30"/>
        </w:rPr>
        <w:t>Alt Bant — Priority Actions &amp; Incentives</w:t>
      </w:r>
    </w:p>
    <w:p>
      <w:pPr>
        <w:spacing w:after="80"/>
      </w:pPr>
      <w:r>
        <w:rPr>
          <w:rFonts w:ascii="Calibri" w:hAnsi="Calibri"/>
          <w:b w:val="0"/>
          <w:i w:val="0"/>
          <w:color w:val="2C2C2A"/>
          <w:sz w:val="22"/>
        </w:rPr>
        <w:t>ETS2 maruziyeti, AB hibe (KfW DE, SDE++ NL, gibi) ve uygunluk durumu. Şu an 'Critical — immediate action required' — Sayfa 4'teki action listesine yönlendiriyor.</w:t>
      </w:r>
    </w:p>
    <w:p>
      <w:pPr>
        <w:spacing w:before="280" w:after="80"/>
      </w:pPr>
      <w:r>
        <w:rPr>
          <w:rFonts w:ascii="Calibri" w:hAnsi="Calibri"/>
          <w:b/>
          <w:color w:val="1D9E75"/>
          <w:sz w:val="30"/>
        </w:rPr>
        <w:t>Bu sayfa nasıl konuşulur</w:t>
      </w:r>
    </w:p>
    <w:p>
      <w:pPr>
        <w:spacing w:after="80"/>
      </w:pPr>
      <w:r>
        <w:rPr>
          <w:rFonts w:ascii="Calibri" w:hAnsi="Calibri"/>
          <w:b w:val="0"/>
          <w:i w:val="0"/>
          <w:color w:val="2C2C2A"/>
          <w:sz w:val="22"/>
        </w:rPr>
        <w:t>'Portföy GHG yoğunluğumuz 23.2 kgCO₂/m²/yıl — AB Taxonomy green eşiğinde. Ama Istanbul stranded asset; CRREM hedefini 35 kgCO₂ fazla geçiyor. Frankfurt klinik de gas boiler nedeniyle risk altında — heat pump retrofit önerisi €Y/yıl ETS2 tasarrufu + €Z/yıl enerji tasarrufu sağlar, 7 yıl payback.'</w:t>
      </w:r>
    </w:p>
    <w:p>
      <w:r>
        <w:br w:type="page"/>
      </w:r>
    </w:p>
    <w:p>
      <w:pPr>
        <w:spacing w:before="360" w:after="160"/>
      </w:pPr>
      <w:r>
        <w:rPr>
          <w:rFonts w:ascii="Calibri" w:hAnsi="Calibri"/>
          <w:b/>
          <w:color w:val="0F6E56"/>
          <w:sz w:val="44"/>
        </w:rPr>
        <w:t>Sayfa 7 — HVAC &amp; Building Envelope</w:t>
      </w:r>
    </w:p>
    <w:p>
      <w:pPr>
        <w:spacing w:before="280" w:after="80"/>
      </w:pPr>
      <w:r>
        <w:rPr>
          <w:rFonts w:ascii="Calibri" w:hAnsi="Calibri"/>
          <w:b/>
          <w:color w:val="1D9E75"/>
          <w:sz w:val="30"/>
        </w:rPr>
        <w:t>Sayfanın amacı</w:t>
      </w:r>
    </w:p>
    <w:p>
      <w:pPr>
        <w:spacing w:after="80"/>
      </w:pPr>
      <w:r>
        <w:rPr>
          <w:rFonts w:ascii="Calibri" w:hAnsi="Calibri"/>
          <w:b w:val="0"/>
          <w:i w:val="0"/>
          <w:color w:val="2C2C2A"/>
          <w:sz w:val="22"/>
        </w:rPr>
        <w:t>Bir binanın enerji tüketiminin %30-60'ı HVAC + ısı kayıpları. Bu sayfa, sistemin türü (heat pump, gas boiler, district, VRF), verimi (COP/SCOP), envelope (U-value, insulation score) ve retrofit önceliği üretir.</w:t>
      </w:r>
    </w:p>
    <w:p>
      <w:pPr>
        <w:spacing w:after="80"/>
      </w:pPr>
      <w:r>
        <w:rPr>
          <w:rFonts w:ascii="Calibri" w:hAnsi="Calibri"/>
          <w:b w:val="0"/>
          <w:i w:val="0"/>
          <w:color w:val="2C2C2A"/>
          <w:sz w:val="22"/>
        </w:rPr>
        <w:t>Hedef kullanıcı: Energy Engineer, Mechanical Engineer, Asset Manager. Retrofit yatırım kararı bu sayfadan başlar.</w:t>
      </w:r>
    </w:p>
    <w:p>
      <w:pPr>
        <w:spacing w:before="280" w:after="80"/>
      </w:pPr>
      <w:r>
        <w:rPr>
          <w:rFonts w:ascii="Calibri" w:hAnsi="Calibri"/>
          <w:b/>
          <w:color w:val="1D9E75"/>
          <w:sz w:val="30"/>
        </w:rPr>
        <w:t>Üst Bant — KPI Kartları</w:t>
      </w:r>
    </w:p>
    <w:p>
      <w:pPr>
        <w:spacing w:before="200" w:after="40"/>
      </w:pPr>
      <w:r>
        <w:rPr>
          <w:rFonts w:ascii="Calibri" w:hAnsi="Calibri"/>
          <w:b/>
          <w:color w:val="639922"/>
          <w:sz w:val="24"/>
        </w:rPr>
        <w:t>HVAC Share Pct (19.9%)</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Toplam binanın enerjisinde HVAC payı.</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SUM(hvac_kwh) / SUM(total_kwh) × 100</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%19.9 — düşük (genelde %30-50 olur). Ya bina iyi yalıtım + verimli sistem (heat pump) ya da HVAC ölçümü eksik.</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HVAC pay yüksekse retrofit önceliği. Düşükse plug load veya aydınlatma daha büyük fırsat.</w:t>
            </w:r>
          </w:p>
        </w:tc>
      </w:tr>
    </w:tbl>
    <w:p>
      <w:pPr>
        <w:spacing w:before="200" w:after="40"/>
      </w:pPr>
      <w:r>
        <w:rPr>
          <w:rFonts w:ascii="Calibri" w:hAnsi="Calibri"/>
          <w:b/>
          <w:color w:val="639922"/>
          <w:sz w:val="24"/>
        </w:rPr>
        <w:t>HVAC Efficiency (51 / 100)</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HVAC sistem verimi skoru — COP/SCOP, sistem yaşı, kontrol kalitesi kombinasyonu.</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Weighted: 50% COP_actual_vs_rated, 30% age_factor, 20% control_score</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51 — orta-düşük. 'Low — Retrofit' etiketi. Gas boiler ağırlıklı portföy bu skoru çeker; heat pump'a geçişle 70+ olur.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Verim skoru, retrofit kararının iş kanıtıdır. &lt;60 ise retrofit ROI başlangıç çizgisini geçer.</w:t>
            </w:r>
          </w:p>
        </w:tc>
      </w:tr>
    </w:tbl>
    <w:p>
      <w:pPr>
        <w:spacing w:before="200" w:after="40"/>
      </w:pPr>
      <w:r>
        <w:rPr>
          <w:rFonts w:ascii="Calibri" w:hAnsi="Calibri"/>
          <w:b/>
          <w:color w:val="639922"/>
          <w:sz w:val="24"/>
        </w:rPr>
        <w:t>Avg Insulation Score (72 / 100)</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Envelope (duvar, çatı, pencere) yalıtım skoru.</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Weighted: 40% wall U-value, 30% roof U-value, 30% window U-value (lower U = better insulation).</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72 — 'EPC C / Improvement zone'. Berliner 90+ (modern); Amsterdam &lt;50 (eski). Score yüksek = düşük U-value = az ısı kaybı.</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Envelope retrofit (dış cephe yalıtım, çift cam) genelde 15-25 yıl payback — uzun ama EPC sınıfı yükselişiyle bina değeri artar.</w:t>
            </w:r>
          </w:p>
        </w:tc>
      </w:tr>
    </w:tbl>
    <w:p>
      <w:pPr>
        <w:spacing w:before="200" w:after="40"/>
      </w:pPr>
      <w:r>
        <w:rPr>
          <w:rFonts w:ascii="Calibri" w:hAnsi="Calibri"/>
          <w:b/>
          <w:color w:val="639922"/>
          <w:sz w:val="24"/>
        </w:rPr>
        <w:t>Heat Loss Annual (29 kWh/m²·yr)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Binadan yıllık ısı kaybı yoğunluğu — envelope kalitesinin direct ölçüsü.</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U_avg × ΔT_avg × hours / 1000 → kWh/m²/yıl</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29 — 'Passive House Level' (&lt;30 kWh/m²/yıl). Pasif ev standardı — çok iyi. Düşük heat loss = düşük heating demand.</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Passive house seviyesi karşılığı: PHPP (Passive House Planning Package) sertifikası için ana eşik. EUI ve karbon kazanımları doğal olarak takip eder.</w:t>
            </w:r>
          </w:p>
        </w:tc>
      </w:tr>
    </w:tbl>
    <w:p>
      <w:pPr>
        <w:spacing w:before="200" w:after="40"/>
      </w:pPr>
      <w:r>
        <w:rPr>
          <w:rFonts w:ascii="Calibri" w:hAnsi="Calibri"/>
          <w:b/>
          <w:color w:val="639922"/>
          <w:sz w:val="24"/>
        </w:rPr>
        <w:t>HVAC CO₂ (3100.2 tCO₂/yr)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Yıllık HVAC kaynaklı toplam emisyon (Scope 1 + Scope 2).</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Σ(hvac_gas_kwh × 200 g) + Σ(hvac_elec_kwh × grid_g_co2)</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Scope 1 (gaz, doğrudan) ~%6, Scope 2 (elektrik, dolaylı) ~%94. Frankfurt gas boiler en büyük katkı (1.7M kgCO₂).</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Scope 1 dekarbonizasyon ana hedefi — gas → heat pump geçişiyle Scope 1 → 0 olur, Scope 2 grid karbon yoğunluğu düştükçe azalır.</w:t>
            </w:r>
          </w:p>
        </w:tc>
      </w:tr>
    </w:tbl>
    <w:p>
      <w:pPr>
        <w:spacing w:before="200" w:after="40"/>
      </w:pPr>
      <w:r>
        <w:rPr>
          <w:rFonts w:ascii="Calibri" w:hAnsi="Calibri"/>
          <w:b/>
          <w:color w:val="639922"/>
          <w:sz w:val="24"/>
        </w:rPr>
        <w:t>Buildings For Retrofit (2)</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Retrofit önceliği yüksek bina sayısı.</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 WHERE renovation_priority IN ('Urgent', 'High')</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2 urgent + 1 planned + 3 (other) — toplam 6 binadan 2'si öncelikli.</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Acil müdahale listesi. Sermaye yatırım planlamasının başlangıç noktası.</w:t>
            </w:r>
          </w:p>
        </w:tc>
      </w:tr>
    </w:tbl>
    <w:p>
      <w:pPr>
        <w:spacing w:before="280" w:after="80"/>
      </w:pPr>
      <w:r>
        <w:rPr>
          <w:rFonts w:ascii="Calibri" w:hAnsi="Calibri"/>
          <w:b/>
          <w:color w:val="1D9E75"/>
          <w:sz w:val="30"/>
        </w:rPr>
        <w:t>V1 — HVAC Energy Breakdown by Month</w:t>
      </w:r>
    </w:p>
    <w:p>
      <w:pPr>
        <w:spacing w:before="200" w:after="40"/>
      </w:pPr>
      <w:r>
        <w:rPr>
          <w:rFonts w:ascii="Calibri" w:hAnsi="Calibri"/>
          <w:b/>
          <w:color w:val="639922"/>
          <w:sz w:val="24"/>
        </w:rPr>
        <w:t>Tipi: Stacked Column %</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ay; Y = %; stack: Heating / Cooling / Ventilation.</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hvac_kwh ayrımı (sub-metering veya signature-based decomposition).</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Kış (Aralık-Şubat) Heating %70+; Yaz (Temmuz-Ağustos) Cooling baskın; Ventilation tüm yıl ~%10-15 sabit. Klasik HVAC profil.</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 görsel HVAC sistem seçimi mühendisi için altın. Heating ağırlıklı binada heat pump COP=3+ ile %70 elektrik tasarrufu olur.</w:t>
            </w:r>
          </w:p>
        </w:tc>
      </w:tr>
    </w:tbl>
    <w:p>
      <w:pPr>
        <w:spacing w:before="280" w:after="80"/>
      </w:pPr>
      <w:r>
        <w:rPr>
          <w:rFonts w:ascii="Calibri" w:hAnsi="Calibri"/>
          <w:b/>
          <w:color w:val="1D9E75"/>
          <w:sz w:val="30"/>
        </w:rPr>
        <w:t>V2 — Building HVAC System Summary (Tablo)</w:t>
      </w:r>
    </w:p>
    <w:p>
      <w:pPr>
        <w:spacing w:before="200" w:after="40"/>
      </w:pPr>
      <w:r>
        <w:rPr>
          <w:rFonts w:ascii="Calibri" w:hAnsi="Calibri"/>
          <w:b/>
          <w:color w:val="639922"/>
          <w:sz w:val="24"/>
        </w:rPr>
        <w:t>Tipi: Table</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Sütunlar: Building, System (Heat Pump / Gas Boiler / District / VRF), Priority, COP/SCOP.</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silver_building_master[primary_hvac_system] + COP actual veya rated.</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Amsterdam VRF (cooling-heavy uygun, low priority); Berliner Heat Pump ASHP (modern, low); Frankfurt Gas Boiler — CSRD uyarısı + 🔴 High; Hamburg Gas Boiler + medium.</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 tablo retrofit roadmap'in temelidir. Gas boiler'lı binalar 2030 öncesi heat pump'a dönüşmeli.</w:t>
            </w:r>
          </w:p>
        </w:tc>
      </w:tr>
    </w:tbl>
    <w:p>
      <w:pPr>
        <w:spacing w:before="280" w:after="80"/>
      </w:pPr>
      <w:r>
        <w:rPr>
          <w:rFonts w:ascii="Calibri" w:hAnsi="Calibri"/>
          <w:b/>
          <w:color w:val="1D9E75"/>
          <w:sz w:val="30"/>
        </w:rPr>
        <w:t>V3 — HVAC CO₂ Emissions — Scope 1 vs Scope 2</w:t>
      </w:r>
    </w:p>
    <w:p>
      <w:pPr>
        <w:spacing w:before="200" w:after="40"/>
      </w:pPr>
      <w:r>
        <w:rPr>
          <w:rFonts w:ascii="Calibri" w:hAnsi="Calibri"/>
          <w:b/>
          <w:color w:val="639922"/>
          <w:sz w:val="24"/>
        </w:rPr>
        <w:t>Tipi: Stacked Bar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Y = bina; X = kgCO₂; stack: Scope 1 (Fossil — gaz) / Scope 2 (Electric — grid).</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Aynı bölümleme HVAC altı için.</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Frankfurt Klinikum 1.7M kgCO₂ — neredeyse hepsi Scope 1 (gaz boiler). Berliner çoğunluk Scope 2 (heat pump, grid kararırsa azalır).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Scope 1 = doğrudan kontrolde, dekarbonizasyon önce burada (fuel switch); Scope 2 = grid'e bağımlı, PPA + yeşil tarife ile çözülür.</w:t>
            </w:r>
          </w:p>
        </w:tc>
      </w:tr>
    </w:tbl>
    <w:p>
      <w:pPr>
        <w:spacing w:before="280" w:after="80"/>
      </w:pPr>
      <w:r>
        <w:rPr>
          <w:rFonts w:ascii="Calibri" w:hAnsi="Calibri"/>
          <w:b/>
          <w:color w:val="1D9E75"/>
          <w:sz w:val="30"/>
        </w:rPr>
        <w:t>V4 — Annual Heat Loss Density + Insulation Score by Building</w:t>
      </w:r>
    </w:p>
    <w:p>
      <w:pPr>
        <w:spacing w:before="200" w:after="40"/>
      </w:pPr>
      <w:r>
        <w:rPr>
          <w:rFonts w:ascii="Calibri" w:hAnsi="Calibri"/>
          <w:b/>
          <w:color w:val="639922"/>
          <w:sz w:val="24"/>
        </w:rPr>
        <w:t>Tipi: Dual-Axis Bar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Y = bina; X1 = Heat Loss kWh/m²/yıl; X2 = Insulation Score (0-100).</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Heat loss ve insulation score her bina için ayrı hesap.</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Amsterdam Universiteit: heat loss 46.8, insulation 55.4 — eski bina, klasik retrofit adayı. Berliner: heat loss 25.6, insulation 86.5 — modern, retrofit gerek yok.</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Heat loss × insulation çapraz görüntüsü, hangi bina retrofit ROI'sini hızla geri alır sorusunu cevaplar.</w:t>
            </w:r>
          </w:p>
        </w:tc>
      </w:tr>
    </w:tbl>
    <w:p>
      <w:pPr>
        <w:spacing w:before="280" w:after="80"/>
      </w:pPr>
      <w:r>
        <w:rPr>
          <w:rFonts w:ascii="Calibri" w:hAnsi="Calibri"/>
          <w:b/>
          <w:color w:val="1D9E75"/>
          <w:sz w:val="30"/>
        </w:rPr>
        <w:t>V5 — Renovation Priority Matrix (Scatter)</w:t>
      </w:r>
    </w:p>
    <w:p>
      <w:pPr>
        <w:spacing w:before="200" w:after="40"/>
      </w:pPr>
      <w:r>
        <w:rPr>
          <w:rFonts w:ascii="Calibri" w:hAnsi="Calibri"/>
          <w:b/>
          <w:color w:val="639922"/>
          <w:sz w:val="24"/>
        </w:rPr>
        <w:t>Tipi: Scatter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Insulation Score; Y = HVAC Efficiency Score; renk (color saturation) = Renovation Priority Color (numeric).</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İki ekseni bina başına; priority = (1-insul/100) × (1-hvac_eff/100) — kötü kötü = yüksek priority.</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Sol-alt (düşük insulation + düşük HVAC eff) = derhal retrofit. Sağ-üst = sağlıklı, monitör et. Berliner sağ-üst (efficient); Amsterdam/Frankfurt sol-alt (retrofit now).</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 scatter, mühendislik raporlarının 'priority matrix' standardıdır — capex planlamasının görsel hali.</w:t>
            </w:r>
          </w:p>
        </w:tc>
      </w:tr>
    </w:tbl>
    <w:p>
      <w:pPr>
        <w:spacing w:before="280" w:after="80"/>
      </w:pPr>
      <w:r>
        <w:rPr>
          <w:rFonts w:ascii="Calibri" w:hAnsi="Calibri"/>
          <w:b/>
          <w:color w:val="1D9E75"/>
          <w:sz w:val="30"/>
        </w:rPr>
        <w:t>Bu sayfa nasıl konuşulur</w:t>
      </w:r>
    </w:p>
    <w:p>
      <w:pPr>
        <w:spacing w:after="80"/>
      </w:pPr>
      <w:r>
        <w:rPr>
          <w:rFonts w:ascii="Calibri" w:hAnsi="Calibri"/>
          <w:b w:val="0"/>
          <w:i w:val="0"/>
          <w:color w:val="2C2C2A"/>
          <w:sz w:val="22"/>
        </w:rPr>
        <w:t>'Portföyün HVAC payı %20 — bu düşük; ama Frankfurt klinik gas boiler ile portföyün HVAC karbonunun %55'ini üretiyor. Heat pump retrofit önerisi: capex €Z, Scope 1 sıfırlanır, ETS2 €Y/yıl tasarruf + enerji €X/yıl tasarruf. Toplam payback 8-10 yıl. EPBD 2030 öncesi yapmazsak stranded asset riski.'</w:t>
      </w:r>
    </w:p>
    <w:p>
      <w:r>
        <w:br w:type="page"/>
      </w:r>
    </w:p>
    <w:p>
      <w:pPr>
        <w:spacing w:before="360" w:after="160"/>
      </w:pPr>
      <w:r>
        <w:rPr>
          <w:rFonts w:ascii="Calibri" w:hAnsi="Calibri"/>
          <w:b/>
          <w:color w:val="0F6E56"/>
          <w:sz w:val="44"/>
        </w:rPr>
        <w:t>Sayfa 8 — IoT Monitoring (Real-Time)</w:t>
      </w:r>
    </w:p>
    <w:p>
      <w:pPr>
        <w:spacing w:before="280" w:after="80"/>
      </w:pPr>
      <w:r>
        <w:rPr>
          <w:rFonts w:ascii="Calibri" w:hAnsi="Calibri"/>
          <w:b/>
          <w:color w:val="1D9E75"/>
          <w:sz w:val="30"/>
        </w:rPr>
        <w:t>Sayfanın amacı</w:t>
      </w:r>
    </w:p>
    <w:p>
      <w:pPr>
        <w:spacing w:after="80"/>
      </w:pPr>
      <w:r>
        <w:rPr>
          <w:rFonts w:ascii="Calibri" w:hAnsi="Calibri"/>
          <w:b w:val="0"/>
          <w:i w:val="0"/>
          <w:color w:val="2C2C2A"/>
          <w:sz w:val="22"/>
        </w:rPr>
        <w:t>Real-time operational monitoring. BMS/IoT sensörlerden gelen anlık veriyi gösterir: kW, zone konfor, CO₂, sensör sağlığı, alert. Facility Manager'ın 'ekrana bakıp anında müdahale ettiği' sayfa.</w:t>
      </w:r>
    </w:p>
    <w:p>
      <w:pPr>
        <w:spacing w:after="80"/>
      </w:pPr>
      <w:r>
        <w:rPr>
          <w:rFonts w:ascii="Calibri" w:hAnsi="Calibri"/>
          <w:b w:val="0"/>
          <w:i w:val="0"/>
          <w:color w:val="2C2C2A"/>
          <w:sz w:val="22"/>
        </w:rPr>
        <w:t>Pipeline: Event Hub → Fabric EventStream → KQL Eventhouse (hot path) + Lakehouse (cold path). DAX v44.</w:t>
      </w:r>
    </w:p>
    <w:p>
      <w:pPr>
        <w:spacing w:after="80"/>
      </w:pPr>
      <w:r>
        <w:rPr>
          <w:rFonts w:ascii="Calibri" w:hAnsi="Calibri"/>
          <w:b w:val="0"/>
          <w:i w:val="0"/>
          <w:color w:val="2C2C2A"/>
          <w:sz w:val="22"/>
        </w:rPr>
        <w:t>Önemli mimari karar: sensor_type DİMENSİYONDUR — hardcoded değil. Her bina kendi sensör seti ile görünür (BACnet/Modbus/MQTT adapter mantığı, Phase 2 production).</w:t>
      </w:r>
    </w:p>
    <w:p>
      <w:pPr>
        <w:spacing w:before="280" w:after="80"/>
      </w:pPr>
      <w:r>
        <w:rPr>
          <w:rFonts w:ascii="Calibri" w:hAnsi="Calibri"/>
          <w:b/>
          <w:color w:val="1D9E75"/>
          <w:sz w:val="30"/>
        </w:rPr>
        <w:t>Üst Bant — KPI Kartları</w:t>
      </w:r>
    </w:p>
    <w:p>
      <w:pPr>
        <w:spacing w:before="200" w:after="40"/>
      </w:pPr>
      <w:r>
        <w:rPr>
          <w:rFonts w:ascii="Calibri" w:hAnsi="Calibri"/>
          <w:b/>
          <w:color w:val="639922"/>
          <w:sz w:val="24"/>
        </w:rPr>
        <w:t>Real-Time Building Power (96.5 kW ~ Above normal)</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Son 15 dakikalık anlık güç çekişi.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MAX(timestamp_bldg_kw) WHERE bldg_id = selected.</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96.5 kW — baseline ile karşılaştır: 'Above normal' demek baseline'ın %120+ üstünde. Spike sebebi: HVAC trip, başlatma, ekipman anormalliği.</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Real-time görünürlük, demand response programları için kritik (peak shaving kararı 5 dakika içinde alınmalı).</w:t>
            </w:r>
          </w:p>
        </w:tc>
      </w:tr>
    </w:tbl>
    <w:p>
      <w:pPr>
        <w:spacing w:before="200" w:after="40"/>
      </w:pPr>
      <w:r>
        <w:rPr>
          <w:rFonts w:ascii="Calibri" w:hAnsi="Calibri"/>
          <w:b/>
          <w:color w:val="639922"/>
          <w:sz w:val="24"/>
        </w:rPr>
        <w:t>Zone Comfort Compliance (90% zones OK)</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Anlık olarak setpoint aralığında olan zone yüzdesi.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COUNT(zones WHERE temp BETWEEN setpoint±2°C AND CO2 &lt; 1000) / total_zones × 100</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%90 — iyi (&gt;%85 hedef). %10 zone setpoint dışı — ya HVAC trip ya da sensör arızası ya da gerçek konfor sorunu.</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Konfor uyumsuzluğu = şikayet + kiracı kaybı. Energy savings + comfort balance'ın anlık metriği.</w:t>
            </w:r>
          </w:p>
        </w:tc>
      </w:tr>
    </w:tbl>
    <w:p>
      <w:pPr>
        <w:spacing w:before="200" w:after="40"/>
      </w:pPr>
      <w:r>
        <w:rPr>
          <w:rFonts w:ascii="Calibri" w:hAnsi="Calibri"/>
          <w:b/>
          <w:color w:val="639922"/>
          <w:sz w:val="24"/>
        </w:rPr>
        <w:t>CO₂ Level (1873 ppm — IDA 4 Poor)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Anlık ortalama indoor CO₂ konsantrasyonu.</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AVG(co2_ppm) across all CO₂ sensors WHERE timestamp = latest.</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1873 ppm — IDA 4 (EN 13779 standardı: IDA 1 &lt;800 / IDA 2 800-1000 / IDA 3 1000-1400 / IDA 4 &gt;1400). Çok kötü — havalandırma yetersiz.</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CO₂ yüksekliği bilişsel performans düşürür (&gt;1000 ppm), öğrenme/iş verimi düşer. Standartlara uyumsuzluk hukuki risk de taşır.</w:t>
            </w:r>
          </w:p>
        </w:tc>
      </w:tr>
    </w:tbl>
    <w:p>
      <w:pPr>
        <w:spacing w:before="200" w:after="40"/>
      </w:pPr>
      <w:r>
        <w:rPr>
          <w:rFonts w:ascii="Calibri" w:hAnsi="Calibri"/>
          <w:b/>
          <w:color w:val="639922"/>
          <w:sz w:val="24"/>
        </w:rPr>
        <w:t>Active Alerts + Estimated Cost (237 Active — Est. €...)</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Aktif yüksek seviyeli alert sayısı + bunların tahmini günlük € maliyeti.</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COUNT(active_alerts) + SUM(estimated_eur_cost_per_anomaly)</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237 alert çok yüksek — sistem aşırı hassas veya gerçek arıza var. €cost integration faturadan önce takip etmeyi sağlar.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Anomali bağlı maliyet hesabı (formul aşağıda): mühendise '€X kayıp şu an' der, finansçı kararını hızlandırır.</w:t>
            </w:r>
          </w:p>
        </w:tc>
      </w:tr>
    </w:tbl>
    <w:p>
      <w:pPr>
        <w:spacing w:after="80"/>
      </w:pPr>
      <w:r>
        <w:rPr>
          <w:rFonts w:ascii="Calibri" w:hAnsi="Calibri"/>
          <w:b/>
          <w:i w:val="0"/>
          <w:color w:val="2C2C2A"/>
          <w:sz w:val="22"/>
        </w:rPr>
        <w:t>Anomaly Cost Logic (always shown as Est.):</w:t>
      </w:r>
    </w:p>
    <w:p>
      <w:pPr>
        <w:spacing w:after="80"/>
      </w:pPr>
      <w:r>
        <w:rPr>
          <w:rFonts w:ascii="Calibri" w:hAnsi="Calibri"/>
          <w:b w:val="0"/>
          <w:i/>
          <w:color w:val="2C2C2A"/>
          <w:sz w:val="22"/>
        </w:rPr>
        <w:t>cost_eur = duration_hours × power_waste_kw × grid_price_eur_per_kwh — HVAC_temp violation: 2-5 kW extra per °C deviation; CO₂ spike &gt;1500ppm: 1-3 kW extra ventilation; Power spike &gt;120% baseline: actual excess kW. Grid price ülke bazlı: DE €0.20/kWh, TR €0.14/kWh.</w:t>
      </w:r>
    </w:p>
    <w:p>
      <w:pPr>
        <w:spacing w:before="280" w:after="80"/>
      </w:pPr>
      <w:r>
        <w:rPr>
          <w:rFonts w:ascii="Calibri" w:hAnsi="Calibri"/>
          <w:b/>
          <w:color w:val="1D9E75"/>
          <w:sz w:val="30"/>
        </w:rPr>
        <w:t>V1 — Sensor Uptime by Zone Matrix</w:t>
      </w:r>
    </w:p>
    <w:p>
      <w:pPr>
        <w:spacing w:before="200" w:after="40"/>
      </w:pPr>
      <w:r>
        <w:rPr>
          <w:rFonts w:ascii="Calibri" w:hAnsi="Calibri"/>
          <w:b/>
          <w:color w:val="639922"/>
          <w:sz w:val="24"/>
        </w:rPr>
        <w:t>Tipi: Matrix (zone × sensor_type)</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Satır = zone (Floor 1 Zone 1 vb.); Sütun = sensor_type (Bldg kW, Boiler %, CO₂, Fan RPM, Humid, HVAC kW, HVAC T°, Light kW, Plug).</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uptime = SUM(minutes_online) / SUM(minutes_in_period) × 100</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Hücreler %93-94 — sağlıklı. &lt;%90 olsa sensor sorunu. Boş hücre = o sensör o zone'da yok (sensor_type dimension dynamic). Bu mimari MQTT vs BACnet farklı bina için kritik.</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Sensör sağlığı = veri kalitesi = analitik güveni. Veri uptime &lt;%80 olduğunda analitik kararları unrealiable.</w:t>
            </w:r>
          </w:p>
        </w:tc>
      </w:tr>
    </w:tbl>
    <w:p>
      <w:pPr>
        <w:spacing w:before="280" w:after="80"/>
      </w:pPr>
      <w:r>
        <w:rPr>
          <w:rFonts w:ascii="Calibri" w:hAnsi="Calibri"/>
          <w:b/>
          <w:color w:val="1D9E75"/>
          <w:sz w:val="30"/>
        </w:rPr>
        <w:t>V2 — Zone Anomaly Count — by Severity</w:t>
      </w:r>
    </w:p>
    <w:p>
      <w:pPr>
        <w:spacing w:before="200" w:after="40"/>
      </w:pPr>
      <w:r>
        <w:rPr>
          <w:rFonts w:ascii="Calibri" w:hAnsi="Calibri"/>
          <w:b/>
          <w:color w:val="639922"/>
          <w:sz w:val="24"/>
        </w:rPr>
        <w:t>Tipi: Stacked Horizontal Bar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Y = zone; X = alert sayısı; stack: High/Medium/Low.</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COUNT(alerts) GROUP BY zone, severity</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Floor 1 Zone 1: 206 alert (toplam) — en sorunlu. Floor 2 Zone 3: 60 anlamlı. Zone bazında sorun yoğunluğunu gösterir.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Floor plan üzerinde 'hot spot' tespitidir. Bir zone sürekli alert üretiyorsa sensör kalibrasyonu veya gerçek HVAC sorunu var.</w:t>
            </w:r>
          </w:p>
        </w:tc>
      </w:tr>
    </w:tbl>
    <w:p>
      <w:pPr>
        <w:spacing w:before="280" w:after="80"/>
      </w:pPr>
      <w:r>
        <w:rPr>
          <w:rFonts w:ascii="Calibri" w:hAnsi="Calibri"/>
          <w:b/>
          <w:color w:val="1D9E75"/>
          <w:sz w:val="30"/>
        </w:rPr>
        <w:t>V3 — Building &amp; HVAC Power — Last 24h</w:t>
      </w:r>
    </w:p>
    <w:p>
      <w:pPr>
        <w:spacing w:before="200" w:after="40"/>
      </w:pPr>
      <w:r>
        <w:rPr>
          <w:rFonts w:ascii="Calibri" w:hAnsi="Calibri"/>
          <w:b/>
          <w:color w:val="639922"/>
          <w:sz w:val="24"/>
        </w:rPr>
        <w:t>Tipi: Line Chart, 3 seri</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saat (son 24h); Y = kW; lines: Building Total (mavi), HVAC (turuncu), Baseline (gri kesik).</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Building total = SUM(zone_kw); HVAC = sub-metered; Baseline = 30-gün ortalama aynı saat.</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Mavi line baseline'ın %120+ üstündeyse spike. HVAC line'ın aniden yükselişi (örn 08:00 başlangıç) normal; gece (00-05) düşük kalmaması anomali.</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24 saatlik kW profili 'bina ritmi'ni gösterir. Anomali tespiti için en hızlı görseldir.</w:t>
            </w:r>
          </w:p>
        </w:tc>
      </w:tr>
    </w:tbl>
    <w:p>
      <w:pPr>
        <w:spacing w:before="280" w:after="80"/>
      </w:pPr>
      <w:r>
        <w:rPr>
          <w:rFonts w:ascii="Calibri" w:hAnsi="Calibri"/>
          <w:b/>
          <w:color w:val="1D9E75"/>
          <w:sz w:val="30"/>
        </w:rPr>
        <w:t>V4 — Alert Table</w:t>
      </w:r>
    </w:p>
    <w:p>
      <w:pPr>
        <w:spacing w:before="200" w:after="40"/>
      </w:pPr>
      <w:r>
        <w:rPr>
          <w:rFonts w:ascii="Calibri" w:hAnsi="Calibri"/>
          <w:b/>
          <w:color w:val="639922"/>
          <w:sz w:val="24"/>
        </w:rPr>
        <w:t>Tipi: Table</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Sütunlar: Building, Zone, Sensor, Reading, Value, Unit, Severity, Recommended Action, Est. cost.</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iot_anomaly_alerts (rule-based + signature-based detection).</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Örnek: B002 Plant Room boiler_eff 60.6% High → 'Boiler efficiency critical (&lt;70%)'. B003 boiler_eff 95% Medium → 'Boiler efficiency declining'.</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 tablo FM'in 'iş emri' kuyruğudur. Recommended Action ile direkt müdahale (ekip atama, parça siparişi vb.) yapılır.</w:t>
            </w:r>
          </w:p>
        </w:tc>
      </w:tr>
    </w:tbl>
    <w:p>
      <w:pPr>
        <w:spacing w:before="280" w:after="80"/>
      </w:pPr>
      <w:r>
        <w:rPr>
          <w:rFonts w:ascii="Calibri" w:hAnsi="Calibri"/>
          <w:b/>
          <w:color w:val="1D9E75"/>
          <w:sz w:val="30"/>
        </w:rPr>
        <w:t>Bu sayfa nasıl konuşulur</w:t>
      </w:r>
    </w:p>
    <w:p>
      <w:pPr>
        <w:spacing w:after="80"/>
      </w:pPr>
      <w:r>
        <w:rPr>
          <w:rFonts w:ascii="Calibri" w:hAnsi="Calibri"/>
          <w:b w:val="0"/>
          <w:i w:val="0"/>
          <w:color w:val="2C2C2A"/>
          <w:sz w:val="22"/>
        </w:rPr>
        <w:t>'Şu an bina 96.5 kW çekiyor, baseline'ın %120 üstünde — spike var. CO₂ 1873 ppm — IDA 4 Poor, havalandırma yetersiz; Floor 1 Zone 1'de 206 alert birikmiş. Boiler eff %60 düşmüş — bakım siparişi gerekli. Tahmini günlük kayıp €47.'</w:t>
      </w:r>
    </w:p>
    <w:p>
      <w:r>
        <w:br w:type="page"/>
      </w:r>
    </w:p>
    <w:p>
      <w:pPr>
        <w:spacing w:before="360" w:after="160"/>
      </w:pPr>
      <w:r>
        <w:rPr>
          <w:rFonts w:ascii="Calibri" w:hAnsi="Calibri"/>
          <w:b/>
          <w:color w:val="0F6E56"/>
          <w:sz w:val="44"/>
        </w:rPr>
        <w:t>Sayfa 9 — Battery Strategy &amp; ROI Simulation</w:t>
      </w:r>
    </w:p>
    <w:p>
      <w:pPr>
        <w:spacing w:before="280" w:after="80"/>
      </w:pPr>
      <w:r>
        <w:rPr>
          <w:rFonts w:ascii="Calibri" w:hAnsi="Calibri"/>
          <w:b/>
          <w:color w:val="1D9E75"/>
          <w:sz w:val="30"/>
        </w:rPr>
        <w:t>Sayfanın amacı</w:t>
      </w:r>
    </w:p>
    <w:p>
      <w:pPr>
        <w:spacing w:after="80"/>
      </w:pPr>
      <w:r>
        <w:rPr>
          <w:rFonts w:ascii="Calibri" w:hAnsi="Calibri"/>
          <w:b w:val="0"/>
          <w:i w:val="0"/>
          <w:color w:val="2C2C2A"/>
          <w:sz w:val="22"/>
        </w:rPr>
        <w:t>Solar + batarya yatırım kararının iş kanıtı. 4 dispatch stratejisi (Self-Consumption, Peak-Shaving, Backup, Time-of-Use) için ROI, payback, CAPEX, CO₂ avoided karşılaştırması. EU Battery Regulation 2023/1670 uyumluluğu da burada.</w:t>
      </w:r>
    </w:p>
    <w:p>
      <w:pPr>
        <w:spacing w:after="80"/>
      </w:pPr>
      <w:r>
        <w:rPr>
          <w:rFonts w:ascii="Calibri" w:hAnsi="Calibri"/>
          <w:b w:val="0"/>
          <w:i w:val="0"/>
          <w:color w:val="2C2C2A"/>
          <w:sz w:val="22"/>
        </w:rPr>
        <w:t>Bina başına 13 senaryo (LFP vs NMC × 4 strateji + actual). Pricing: DE off-peak €0.062 / peak €0.285 / demand charge €13.50/kW/ay; AT/NL benzer.</w:t>
      </w:r>
    </w:p>
    <w:p>
      <w:pPr>
        <w:spacing w:before="280" w:after="80"/>
      </w:pPr>
      <w:r>
        <w:rPr>
          <w:rFonts w:ascii="Calibri" w:hAnsi="Calibri"/>
          <w:b/>
          <w:color w:val="1D9E75"/>
          <w:sz w:val="30"/>
        </w:rPr>
        <w:t>Üst Bant — KPI Kartları</w:t>
      </w:r>
    </w:p>
    <w:p>
      <w:pPr>
        <w:spacing w:before="200" w:after="40"/>
      </w:pPr>
      <w:r>
        <w:rPr>
          <w:rFonts w:ascii="Calibri" w:hAnsi="Calibri"/>
          <w:b/>
          <w:color w:val="639922"/>
          <w:sz w:val="24"/>
        </w:rPr>
        <w:t>Annual Savings (€55,078.3)</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Seçili bina + strateji kombinasyonunun yıllık € tasarrufu.</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Σ(arbitrage_savings + demand_charge_avoided + self_consumption_increased)</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€55K/yıl Hamburg Logistics için Peak-Shaving stratejisi. Stratejiye göre değişir: Self-Consumption B001'de €X, Peak-Shaving B003'te €Y.</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Yıllık tasarruf, payback ve IRR'in birinci girişidir. Sales pitch'in en yüksek sesli kartıdır.</w:t>
            </w:r>
          </w:p>
        </w:tc>
      </w:tr>
    </w:tbl>
    <w:p>
      <w:pPr>
        <w:spacing w:before="200" w:after="40"/>
      </w:pPr>
      <w:r>
        <w:rPr>
          <w:rFonts w:ascii="Calibri" w:hAnsi="Calibri"/>
          <w:b/>
          <w:color w:val="639922"/>
          <w:sz w:val="24"/>
        </w:rPr>
        <w:t>Payback Period (7.9 yr)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Net yatırımın ne kadar sürede geri döneceği (yıl).</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CAPEX / annual_savings (simple); discounted version IRR/NPV ile.</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7.9 yıl — kabul edilebilir (10 yıl threshold). Goal: 8.1 ⚠ — sınırda. &lt;5 yıl 'mükemmel', 5-10 'kabul', &gt;10 'reddet'.</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Payback eşiği, batarya yatırımının onay-red kararıdır. Banka finansmanı için &lt;10 yıl genelde gerekli.</w:t>
            </w:r>
          </w:p>
        </w:tc>
      </w:tr>
    </w:tbl>
    <w:p>
      <w:pPr>
        <w:spacing w:before="200" w:after="40"/>
      </w:pPr>
      <w:r>
        <w:rPr>
          <w:rFonts w:ascii="Calibri" w:hAnsi="Calibri"/>
          <w:b/>
          <w:color w:val="639922"/>
          <w:sz w:val="24"/>
        </w:rPr>
        <w:t>CO₂ Avoided (61.0 tCO₂/yr)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Bataryanın yıllık önlediği karbon emisyonu.</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Σ(self_consumed_solar_kwh × grid_g_co2) — daha fazla solar kullanırsan, daha az grid karbonu</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61 tCO₂/yıl × €100 ETS2 = €6,100/yıl 'shadow value' tasarruf. Cash + green premium birlikte.</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Karbon avoided, AB Taxonomy green investment kriterini karşılamak için kritik (~50%+ avoided olmalı).</w:t>
            </w:r>
          </w:p>
        </w:tc>
      </w:tr>
    </w:tbl>
    <w:p>
      <w:pPr>
        <w:spacing w:before="200" w:after="40"/>
      </w:pPr>
      <w:r>
        <w:rPr>
          <w:rFonts w:ascii="Calibri" w:hAnsi="Calibri"/>
          <w:b/>
          <w:color w:val="639922"/>
          <w:sz w:val="24"/>
        </w:rPr>
        <w:t>Efficiency + EU (94.5%)</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Batarya round-trip verimi + EU 2023/1670 uyum durumu.</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round_trip_efficiency_percent × eu_compliant_boolean. LFP ~94%, NMC ~95%, NCA ~92%.</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%94.5 — LFP profili (CATL/BYD/Fluence). EU compliant ✅. NMC sistemlerde EU compliance her zaman yok.</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Roud-trip efficiency düşükse ısı kaybı yüksek = daha az tasarruf. EU uyumu yoksa AB pazarında satılamaz/kurulamaz (2024 sonrası).</w:t>
            </w:r>
          </w:p>
        </w:tc>
      </w:tr>
    </w:tbl>
    <w:p>
      <w:pPr>
        <w:spacing w:before="280" w:after="80"/>
      </w:pPr>
      <w:r>
        <w:rPr>
          <w:rFonts w:ascii="Calibri" w:hAnsi="Calibri"/>
          <w:b/>
          <w:color w:val="1D9E75"/>
          <w:sz w:val="30"/>
        </w:rPr>
        <w:t>V1 — Monthly Charge / Discharge</w:t>
      </w:r>
    </w:p>
    <w:p>
      <w:pPr>
        <w:spacing w:before="200" w:after="40"/>
      </w:pPr>
      <w:r>
        <w:rPr>
          <w:rFonts w:ascii="Calibri" w:hAnsi="Calibri"/>
          <w:b/>
          <w:color w:val="639922"/>
          <w:sz w:val="24"/>
        </w:rPr>
        <w:t>Tipi: Combo Bar+Line</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ay; bars: Charge kWh, Discharge kWh; line: PV Generation kWh.</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Aylık aggregate; charge ~ PV generation paralel.</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PV generation pikinde charge yüksek (yaz aylar), discharge gece + sabah peak. Mevsim örüntüsü beklenir.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 görsel stratejinin 'çalışıp çalışmadığının' görsel testi. Düz line discharge = stratejisi dispatch etmiyor (idle batarya).</w:t>
            </w:r>
          </w:p>
        </w:tc>
      </w:tr>
    </w:tbl>
    <w:p>
      <w:pPr>
        <w:spacing w:before="280" w:after="80"/>
      </w:pPr>
      <w:r>
        <w:rPr>
          <w:rFonts w:ascii="Calibri" w:hAnsi="Calibri"/>
          <w:b/>
          <w:color w:val="1D9E75"/>
          <w:sz w:val="30"/>
        </w:rPr>
        <w:t>V2 — Scenario Comparison Table</w:t>
      </w:r>
    </w:p>
    <w:p>
      <w:pPr>
        <w:spacing w:before="200" w:after="40"/>
      </w:pPr>
      <w:r>
        <w:rPr>
          <w:rFonts w:ascii="Calibri" w:hAnsi="Calibri"/>
          <w:b/>
          <w:color w:val="639922"/>
          <w:sz w:val="24"/>
        </w:rPr>
        <w:t>Tipi: Table</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Sütunlar: Building, Strategy, Battery kWh, CAPEX, Annual Savings, Payback, IRR, NPV, EU Compliant, Score.</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gold_battery_simulation 13 senaryo bina başına.</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Hamburg Peak-Shaving LFP 6,800 kWh CAPEX €960K — büyük batarya, payback 1.7 yıl IRR 63% (mükemmel). Hamburg Self-Consumption NMC sadece 400 kWh €54K — küçük, payback 25 yıl (zayıf).</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Senaryo karşılaştırma 'doğru strateji + doğru boyut' kararının matrisi. Müşteri sunumunda en güçlü tablo.</w:t>
            </w:r>
          </w:p>
        </w:tc>
      </w:tr>
    </w:tbl>
    <w:p>
      <w:pPr>
        <w:spacing w:before="280" w:after="80"/>
      </w:pPr>
      <w:r>
        <w:rPr>
          <w:rFonts w:ascii="Calibri" w:hAnsi="Calibri"/>
          <w:b/>
          <w:color w:val="1D9E75"/>
          <w:sz w:val="30"/>
        </w:rPr>
        <w:t>V3 — ROI Gauge</w:t>
      </w:r>
    </w:p>
    <w:p>
      <w:pPr>
        <w:spacing w:before="200" w:after="40"/>
      </w:pPr>
      <w:r>
        <w:rPr>
          <w:rFonts w:ascii="Calibri" w:hAnsi="Calibri"/>
          <w:b/>
          <w:color w:val="639922"/>
          <w:sz w:val="24"/>
        </w:rPr>
        <w:t>Tipi: Radial Gauge</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Min 0, Max 100; mevcut 42 — 'Acceptable — review strategy'.</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Composite score: payback (50%) + IRR (30%) + EU compliance (20%).</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42 — 0-50 reddet, 50-75 kabul, 75-100 mükemmel. Bu seçim için strateji değiştirilebilir; sayfa başka senaryo seçilirse gauge oynar.</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ROI gauge müşteri/yöneticiye 'yatırım iyi mi kötü mü' tek bakışta cevap. Pazarlama gücü yüksek.</w:t>
            </w:r>
          </w:p>
        </w:tc>
      </w:tr>
    </w:tbl>
    <w:p>
      <w:pPr>
        <w:spacing w:before="280" w:after="80"/>
      </w:pPr>
      <w:r>
        <w:rPr>
          <w:rFonts w:ascii="Calibri" w:hAnsi="Calibri"/>
          <w:b/>
          <w:color w:val="1D9E75"/>
          <w:sz w:val="30"/>
        </w:rPr>
        <w:t>V4 — CAPEX vs PAYBACK (Scatter)</w:t>
      </w:r>
    </w:p>
    <w:p>
      <w:pPr>
        <w:spacing w:before="200" w:after="40"/>
      </w:pPr>
      <w:r>
        <w:rPr>
          <w:rFonts w:ascii="Calibri" w:hAnsi="Calibri"/>
          <w:b/>
          <w:color w:val="639922"/>
          <w:sz w:val="24"/>
        </w:rPr>
        <w:t>Tipi: Scatter (her nokta = bir senaryo)</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CAPEX (€), Y = Payback (yıl), renk = strateji, boyut = annual savings.</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Threshold lines: Max acceptable payback = 12, Good payback = 7.</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Berliner Self-Consumption 200 kWh LFP (referans nokta). Sol-alt (düşük CAPEX + kısa payback) = bestseller. Sağ-üst (yüksek CAPEX + uzun payback) = reddet.</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Yatırım kararının uçuş haritası. Bir senaryoyu seç ve diğerleriyle karşılaştır.</w:t>
            </w:r>
          </w:p>
        </w:tc>
      </w:tr>
    </w:tbl>
    <w:p>
      <w:pPr>
        <w:spacing w:before="280" w:after="80"/>
      </w:pPr>
      <w:r>
        <w:rPr>
          <w:rFonts w:ascii="Calibri" w:hAnsi="Calibri"/>
          <w:b/>
          <w:color w:val="1D9E75"/>
          <w:sz w:val="30"/>
        </w:rPr>
        <w:t>V5 — 24h Battery Behavior by Strategy</w:t>
      </w:r>
    </w:p>
    <w:p>
      <w:pPr>
        <w:spacing w:before="200" w:after="40"/>
      </w:pPr>
      <w:r>
        <w:rPr>
          <w:rFonts w:ascii="Calibri" w:hAnsi="Calibri"/>
          <w:b/>
          <w:color w:val="639922"/>
          <w:sz w:val="24"/>
        </w:rPr>
        <w:t>Tipi: Multi-line + bars</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Ne gösteriyor</w:t>
            </w:r>
          </w:p>
        </w:tc>
        <w:tc>
          <w:tcPr>
            <w:tcW w:type="dxa" w:w="6803"/>
          </w:tcPr>
          <w:p>
            <w:r>
              <w:rPr>
                <w:rFonts w:ascii="Calibri" w:hAnsi="Calibri"/>
                <w:color w:val="2C2C2A"/>
                <w:sz w:val="20"/>
              </w:rPr>
              <w:t>X = saat (0-23); bars: Charge ↑ / Discharge ↓; lines: State of Charge (%), Price Index (100=avg).</w:t>
            </w:r>
          </w:p>
        </w:tc>
      </w:tr>
      <w:tr>
        <w:tc>
          <w:tcPr>
            <w:tcW w:type="dxa" w:w="2268"/>
          </w:tcPr>
          <w:p>
            <w:r>
              <w:rPr>
                <w:rFonts w:ascii="Calibri" w:hAnsi="Calibri"/>
                <w:b/>
                <w:color w:val="0F6E56"/>
                <w:sz w:val="20"/>
              </w:rPr>
              <w:t>Hesaplama</w:t>
            </w:r>
          </w:p>
        </w:tc>
        <w:tc>
          <w:tcPr>
            <w:tcW w:type="dxa" w:w="6803"/>
          </w:tcPr>
          <w:p>
            <w:r>
              <w:rPr>
                <w:rFonts w:ascii="Calibri" w:hAnsi="Calibri"/>
                <w:color w:val="2C2C2A"/>
                <w:sz w:val="20"/>
              </w:rPr>
              <w:t>Hourly simulation per strategy.</w:t>
            </w:r>
          </w:p>
        </w:tc>
      </w:tr>
      <w:tr>
        <w:tc>
          <w:tcPr>
            <w:tcW w:type="dxa" w:w="2268"/>
          </w:tcPr>
          <w:p>
            <w:r>
              <w:rPr>
                <w:rFonts w:ascii="Calibri" w:hAnsi="Calibri"/>
                <w:b/>
                <w:color w:val="0F6E56"/>
                <w:sz w:val="20"/>
              </w:rPr>
              <w:t>Nasıl yorumlanır</w:t>
            </w:r>
          </w:p>
        </w:tc>
        <w:tc>
          <w:tcPr>
            <w:tcW w:type="dxa" w:w="6803"/>
          </w:tcPr>
          <w:p>
            <w:r>
              <w:rPr>
                <w:rFonts w:ascii="Calibri" w:hAnsi="Calibri"/>
                <w:color w:val="2C2C2A"/>
                <w:sz w:val="20"/>
              </w:rPr>
              <w:t>Self-Consumption: gündüz charge (PV peak), akşam discharge. Peak-Shaving: 17-21 demand peak öncesi charge, peak boyunca discharge. ToU: gece off-peak charge (€0.062), gündüz peak satış (€0.285).</w:t>
            </w:r>
          </w:p>
        </w:tc>
      </w:tr>
      <w:tr>
        <w:tc>
          <w:tcPr>
            <w:tcW w:type="dxa" w:w="2268"/>
          </w:tcPr>
          <w:p>
            <w:r>
              <w:rPr>
                <w:rFonts w:ascii="Calibri" w:hAnsi="Calibri"/>
                <w:b/>
                <w:color w:val="0F6E56"/>
                <w:sz w:val="20"/>
              </w:rPr>
              <w:t>Niye önemli</w:t>
            </w:r>
          </w:p>
        </w:tc>
        <w:tc>
          <w:tcPr>
            <w:tcW w:type="dxa" w:w="6803"/>
          </w:tcPr>
          <w:p>
            <w:r>
              <w:rPr>
                <w:rFonts w:ascii="Calibri" w:hAnsi="Calibri"/>
                <w:color w:val="2C2C2A"/>
                <w:sz w:val="20"/>
              </w:rPr>
              <w:t>Bu görsel stratejinin 'nasıl çalıştığını' anlatır. Müşteriye '4 stratejiyi göstereyim' deyip 4 farklı pattern göstererek hangi profile uygun olduğunu seçtirirsin.</w:t>
            </w:r>
          </w:p>
        </w:tc>
      </w:tr>
    </w:tbl>
    <w:p>
      <w:pPr>
        <w:spacing w:before="280" w:after="80"/>
      </w:pPr>
      <w:r>
        <w:rPr>
          <w:rFonts w:ascii="Calibri" w:hAnsi="Calibri"/>
          <w:b/>
          <w:color w:val="1D9E75"/>
          <w:sz w:val="30"/>
        </w:rPr>
        <w:t>EU Battery Regulation 2023/1670 — Kritik Not</w:t>
      </w:r>
    </w:p>
    <w:p>
      <w:pPr>
        <w:spacing w:after="80"/>
      </w:pPr>
      <w:r>
        <w:rPr>
          <w:rFonts w:ascii="Calibri" w:hAnsi="Calibri"/>
          <w:b w:val="0"/>
          <w:i w:val="0"/>
          <w:color w:val="2C2C2A"/>
          <w:sz w:val="22"/>
        </w:rPr>
        <w:t>Ocak 2024 sonrası AB'de satılan tüm bataryalar uyumlu olmalı:</w:t>
      </w:r>
    </w:p>
    <w:p>
      <w:pPr>
        <w:pStyle w:val="ListBullet"/>
        <w:spacing w:after="40"/>
        <w:ind w:left="340"/>
      </w:pPr>
      <w:r>
        <w:rPr>
          <w:rFonts w:ascii="Calibri" w:hAnsi="Calibri"/>
          <w:color w:val="2C2C2A"/>
          <w:sz w:val="22"/>
        </w:rPr>
        <w:t>Carbon footprint label (Product Environmental Footprint, PEF)</w:t>
      </w:r>
    </w:p>
    <w:p>
      <w:pPr>
        <w:pStyle w:val="ListBullet"/>
        <w:spacing w:after="40"/>
        <w:ind w:left="340"/>
      </w:pPr>
      <w:r>
        <w:rPr>
          <w:rFonts w:ascii="Calibri" w:hAnsi="Calibri"/>
          <w:color w:val="2C2C2A"/>
          <w:sz w:val="22"/>
        </w:rPr>
        <w:t>State of Health (SoH) %</w:t>
      </w:r>
    </w:p>
    <w:p>
      <w:pPr>
        <w:pStyle w:val="ListBullet"/>
        <w:spacing w:after="40"/>
        <w:ind w:left="340"/>
      </w:pPr>
      <w:r>
        <w:rPr>
          <w:rFonts w:ascii="Calibri" w:hAnsi="Calibri"/>
          <w:color w:val="2C2C2A"/>
          <w:sz w:val="22"/>
        </w:rPr>
        <w:t>Cycle durability warranty</w:t>
      </w:r>
    </w:p>
    <w:p>
      <w:pPr>
        <w:pStyle w:val="ListBullet"/>
        <w:spacing w:after="40"/>
        <w:ind w:left="340"/>
      </w:pPr>
      <w:r>
        <w:rPr>
          <w:rFonts w:ascii="Calibri" w:hAnsi="Calibri"/>
          <w:color w:val="2C2C2A"/>
          <w:sz w:val="22"/>
        </w:rPr>
        <w:t>Recycled content % disclosure</w:t>
      </w:r>
    </w:p>
    <w:p>
      <w:pPr>
        <w:spacing w:after="80"/>
      </w:pPr>
      <w:r>
        <w:rPr>
          <w:rFonts w:ascii="Calibri" w:hAnsi="Calibri"/>
          <w:b w:val="0"/>
          <w:i w:val="0"/>
          <w:color w:val="2C2C2A"/>
          <w:sz w:val="22"/>
        </w:rPr>
        <w:t>B005 Frankfurt 400 kWh NMC Samsung — EU compliance yok (carbon label eksik). Tablo'da kırmızı; öneri: LFP CATL/BYD'a değiştir, EU label var.</w:t>
      </w:r>
    </w:p>
    <w:p>
      <w:pPr>
        <w:spacing w:before="280" w:after="80"/>
      </w:pPr>
      <w:r>
        <w:rPr>
          <w:rFonts w:ascii="Calibri" w:hAnsi="Calibri"/>
          <w:b/>
          <w:color w:val="1D9E75"/>
          <w:sz w:val="30"/>
        </w:rPr>
        <w:t>Bu sayfa nasıl konuşulur</w:t>
      </w:r>
    </w:p>
    <w:p>
      <w:pPr>
        <w:spacing w:after="80"/>
      </w:pPr>
      <w:r>
        <w:rPr>
          <w:rFonts w:ascii="Calibri" w:hAnsi="Calibri"/>
          <w:b w:val="0"/>
          <w:i w:val="0"/>
          <w:color w:val="2C2C2A"/>
          <w:sz w:val="22"/>
        </w:rPr>
        <w:t>'Hamburg Logistics için Peak-Shaving LFP 6,800 kWh sistem — CAPEX €960K, yıllık tasarruf €55K, payback 1.7 yıl, IRR 63%, CO₂ avoided 61 t/yıl. Bu Avrupa pazarında %94 verim, EU 2023/1670 compliant. Müşteriye paketlenmiş yatırım önerisi.'</w:t>
      </w:r>
    </w:p>
    <w:p>
      <w:r>
        <w:br w:type="page"/>
      </w:r>
    </w:p>
    <w:p>
      <w:pPr>
        <w:spacing w:before="360" w:after="160"/>
      </w:pPr>
      <w:r>
        <w:rPr>
          <w:rFonts w:ascii="Calibri" w:hAnsi="Calibri"/>
          <w:b/>
          <w:color w:val="0F6E56"/>
          <w:sz w:val="44"/>
        </w:rPr>
        <w:t>Ek A — Hızlı Referanslar</w:t>
      </w:r>
    </w:p>
    <w:p>
      <w:pPr>
        <w:spacing w:before="280" w:after="80"/>
      </w:pPr>
      <w:r>
        <w:rPr>
          <w:rFonts w:ascii="Calibri" w:hAnsi="Calibri"/>
          <w:b/>
          <w:color w:val="1D9E75"/>
          <w:sz w:val="30"/>
        </w:rPr>
        <w:t>Birim ve dönüşümler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kWh/m²/gün × 365</w:t>
            </w:r>
          </w:p>
        </w:tc>
        <w:tc>
          <w:tcPr>
            <w:tcW w:type="dxa" w:w="6803"/>
          </w:tcPr>
          <w:p>
            <w:r>
              <w:rPr>
                <w:rFonts w:ascii="Calibri" w:hAnsi="Calibri"/>
                <w:color w:val="2C2C2A"/>
                <w:sz w:val="20"/>
              </w:rPr>
              <w:t>= kWh/m²/yıl (EUI yıllık)</w:t>
            </w:r>
          </w:p>
        </w:tc>
      </w:tr>
      <w:tr>
        <w:tc>
          <w:tcPr>
            <w:tcW w:type="dxa" w:w="2268"/>
          </w:tcPr>
          <w:p>
            <w:r>
              <w:rPr>
                <w:rFonts w:ascii="Calibri" w:hAnsi="Calibri"/>
                <w:b/>
                <w:color w:val="0F6E56"/>
                <w:sz w:val="20"/>
              </w:rPr>
              <w:t>kWh elec × 0.40</w:t>
            </w:r>
          </w:p>
        </w:tc>
        <w:tc>
          <w:tcPr>
            <w:tcW w:type="dxa" w:w="6803"/>
          </w:tcPr>
          <w:p>
            <w:r>
              <w:rPr>
                <w:rFonts w:ascii="Calibri" w:hAnsi="Calibri"/>
                <w:color w:val="2C2C2A"/>
                <w:sz w:val="20"/>
              </w:rPr>
              <w:t>≈ kgCO₂ (DE grid 2024, düşüyor)</w:t>
            </w:r>
          </w:p>
        </w:tc>
      </w:tr>
      <w:tr>
        <w:tc>
          <w:tcPr>
            <w:tcW w:type="dxa" w:w="2268"/>
          </w:tcPr>
          <w:p>
            <w:r>
              <w:rPr>
                <w:rFonts w:ascii="Calibri" w:hAnsi="Calibri"/>
                <w:b/>
                <w:color w:val="0F6E56"/>
                <w:sz w:val="20"/>
              </w:rPr>
              <w:t>kWh gas × 0.20</w:t>
            </w:r>
          </w:p>
        </w:tc>
        <w:tc>
          <w:tcPr>
            <w:tcW w:type="dxa" w:w="6803"/>
          </w:tcPr>
          <w:p>
            <w:r>
              <w:rPr>
                <w:rFonts w:ascii="Calibri" w:hAnsi="Calibri"/>
                <w:color w:val="2C2C2A"/>
                <w:sz w:val="20"/>
              </w:rPr>
              <w:t>= kgCO₂ (doğal gaz sabit)</w:t>
            </w:r>
          </w:p>
        </w:tc>
      </w:tr>
      <w:tr>
        <w:tc>
          <w:tcPr>
            <w:tcW w:type="dxa" w:w="2268"/>
          </w:tcPr>
          <w:p>
            <w:r>
              <w:rPr>
                <w:rFonts w:ascii="Calibri" w:hAnsi="Calibri"/>
                <w:b/>
                <w:color w:val="0F6E56"/>
                <w:sz w:val="20"/>
              </w:rPr>
              <w:t>HDD/CDD baz sıcaklık</w:t>
            </w:r>
          </w:p>
        </w:tc>
        <w:tc>
          <w:tcPr>
            <w:tcW w:type="dxa" w:w="6803"/>
          </w:tcPr>
          <w:p>
            <w:r>
              <w:rPr>
                <w:rFonts w:ascii="Calibri" w:hAnsi="Calibri"/>
                <w:color w:val="2C2C2A"/>
                <w:sz w:val="20"/>
              </w:rPr>
              <w:t>Heating 18°C, Cooling 22°C (ASHRAE)</w:t>
            </w:r>
          </w:p>
        </w:tc>
      </w:tr>
      <w:tr>
        <w:tc>
          <w:tcPr>
            <w:tcW w:type="dxa" w:w="2268"/>
          </w:tcPr>
          <w:p>
            <w:r>
              <w:rPr>
                <w:rFonts w:ascii="Calibri" w:hAnsi="Calibri"/>
                <w:b/>
                <w:color w:val="0F6E56"/>
                <w:sz w:val="20"/>
              </w:rPr>
              <w:t>Peak demand kW</w:t>
            </w:r>
          </w:p>
        </w:tc>
        <w:tc>
          <w:tcPr>
            <w:tcW w:type="dxa" w:w="6803"/>
          </w:tcPr>
          <w:p>
            <w:r>
              <w:rPr>
                <w:rFonts w:ascii="Calibri" w:hAnsi="Calibri"/>
                <w:color w:val="2C2C2A"/>
                <w:sz w:val="20"/>
              </w:rPr>
              <w:t>× ülke demand charge €/kW/ay × 12 = yıllık demand fee</w:t>
            </w:r>
          </w:p>
        </w:tc>
      </w:tr>
      <w:tr>
        <w:tc>
          <w:tcPr>
            <w:tcW w:type="dxa" w:w="2268"/>
          </w:tcPr>
          <w:p>
            <w:r>
              <w:rPr>
                <w:rFonts w:ascii="Calibri" w:hAnsi="Calibri"/>
                <w:b/>
                <w:color w:val="0F6E56"/>
                <w:sz w:val="20"/>
              </w:rPr>
              <w:t>Round-trip efficiency</w:t>
            </w:r>
          </w:p>
        </w:tc>
        <w:tc>
          <w:tcPr>
            <w:tcW w:type="dxa" w:w="6803"/>
          </w:tcPr>
          <w:p>
            <w:r>
              <w:rPr>
                <w:rFonts w:ascii="Calibri" w:hAnsi="Calibri"/>
                <w:color w:val="2C2C2A"/>
                <w:sz w:val="20"/>
              </w:rPr>
              <w:t>discharge_kwh / charge_kwh — LFP %94, NMC %95, NCA %92</w:t>
            </w:r>
          </w:p>
        </w:tc>
      </w:tr>
    </w:tbl>
    <w:p>
      <w:pPr>
        <w:spacing w:before="280" w:after="80"/>
      </w:pPr>
      <w:r>
        <w:rPr>
          <w:rFonts w:ascii="Calibri" w:hAnsi="Calibri"/>
          <w:b/>
          <w:color w:val="1D9E75"/>
          <w:sz w:val="30"/>
        </w:rPr>
        <w:t>Standartlar / Regülasyonlar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EPBD 2030</w:t>
            </w:r>
          </w:p>
        </w:tc>
        <w:tc>
          <w:tcPr>
            <w:tcW w:type="dxa" w:w="6803"/>
          </w:tcPr>
          <w:p>
            <w:r>
              <w:rPr>
                <w:rFonts w:ascii="Calibri" w:hAnsi="Calibri"/>
                <w:color w:val="2C2C2A"/>
                <w:sz w:val="20"/>
              </w:rPr>
              <w:t>EU Energy Performance of Buildings Directive — tüm binalar min. E</w:t>
            </w:r>
          </w:p>
        </w:tc>
      </w:tr>
      <w:tr>
        <w:tc>
          <w:tcPr>
            <w:tcW w:type="dxa" w:w="2268"/>
          </w:tcPr>
          <w:p>
            <w:r>
              <w:rPr>
                <w:rFonts w:ascii="Calibri" w:hAnsi="Calibri"/>
                <w:b/>
                <w:color w:val="0F6E56"/>
                <w:sz w:val="20"/>
              </w:rPr>
              <w:t>CSRD</w:t>
            </w:r>
          </w:p>
        </w:tc>
        <w:tc>
          <w:tcPr>
            <w:tcW w:type="dxa" w:w="6803"/>
          </w:tcPr>
          <w:p>
            <w:r>
              <w:rPr>
                <w:rFonts w:ascii="Calibri" w:hAnsi="Calibri"/>
                <w:color w:val="2C2C2A"/>
                <w:sz w:val="20"/>
              </w:rPr>
              <w:t>Corporate Sustainability Reporting Directive — yıllık karbon raporu</w:t>
            </w:r>
          </w:p>
        </w:tc>
      </w:tr>
      <w:tr>
        <w:tc>
          <w:tcPr>
            <w:tcW w:type="dxa" w:w="2268"/>
          </w:tcPr>
          <w:p>
            <w:r>
              <w:rPr>
                <w:rFonts w:ascii="Calibri" w:hAnsi="Calibri"/>
                <w:b/>
                <w:color w:val="0F6E56"/>
                <w:sz w:val="20"/>
              </w:rPr>
              <w:t>ETS2</w:t>
            </w:r>
          </w:p>
        </w:tc>
        <w:tc>
          <w:tcPr>
            <w:tcW w:type="dxa" w:w="6803"/>
          </w:tcPr>
          <w:p>
            <w:r>
              <w:rPr>
                <w:rFonts w:ascii="Calibri" w:hAnsi="Calibri"/>
                <w:color w:val="2C2C2A"/>
                <w:sz w:val="20"/>
              </w:rPr>
              <w:t>Emissions Trading System 2 — 2027 başlangıç, binalar dahil, tCO₂ × €85-130</w:t>
            </w:r>
          </w:p>
        </w:tc>
      </w:tr>
      <w:tr>
        <w:tc>
          <w:tcPr>
            <w:tcW w:type="dxa" w:w="2268"/>
          </w:tcPr>
          <w:p>
            <w:r>
              <w:rPr>
                <w:rFonts w:ascii="Calibri" w:hAnsi="Calibri"/>
                <w:b/>
                <w:color w:val="0F6E56"/>
                <w:sz w:val="20"/>
              </w:rPr>
              <w:t>CRREM</w:t>
            </w:r>
          </w:p>
        </w:tc>
        <w:tc>
          <w:tcPr>
            <w:tcW w:type="dxa" w:w="6803"/>
          </w:tcPr>
          <w:p>
            <w:r>
              <w:rPr>
                <w:rFonts w:ascii="Calibri" w:hAnsi="Calibri"/>
                <w:color w:val="2C2C2A"/>
                <w:sz w:val="20"/>
              </w:rPr>
              <w:t>Carbon Risk Real Estate Monitor — pathway-bazlı stranding yılı tahmini</w:t>
            </w:r>
          </w:p>
        </w:tc>
      </w:tr>
      <w:tr>
        <w:tc>
          <w:tcPr>
            <w:tcW w:type="dxa" w:w="2268"/>
          </w:tcPr>
          <w:p>
            <w:r>
              <w:rPr>
                <w:rFonts w:ascii="Calibri" w:hAnsi="Calibri"/>
                <w:b/>
                <w:color w:val="0F6E56"/>
                <w:sz w:val="20"/>
              </w:rPr>
              <w:t>EU Battery Reg 2023/1670</w:t>
            </w:r>
          </w:p>
        </w:tc>
        <w:tc>
          <w:tcPr>
            <w:tcW w:type="dxa" w:w="6803"/>
          </w:tcPr>
          <w:p>
            <w:r>
              <w:rPr>
                <w:rFonts w:ascii="Calibri" w:hAnsi="Calibri"/>
                <w:color w:val="2C2C2A"/>
                <w:sz w:val="20"/>
              </w:rPr>
              <w:t>Carbon footprint label + SoH + cycle warranty + recycled content</w:t>
            </w:r>
          </w:p>
        </w:tc>
      </w:tr>
      <w:tr>
        <w:tc>
          <w:tcPr>
            <w:tcW w:type="dxa" w:w="2268"/>
          </w:tcPr>
          <w:p>
            <w:r>
              <w:rPr>
                <w:rFonts w:ascii="Calibri" w:hAnsi="Calibri"/>
                <w:b/>
                <w:color w:val="0F6E56"/>
                <w:sz w:val="20"/>
              </w:rPr>
              <w:t>EN 13779 IDA</w:t>
            </w:r>
          </w:p>
        </w:tc>
        <w:tc>
          <w:tcPr>
            <w:tcW w:type="dxa" w:w="6803"/>
          </w:tcPr>
          <w:p>
            <w:r>
              <w:rPr>
                <w:rFonts w:ascii="Calibri" w:hAnsi="Calibri"/>
                <w:color w:val="2C2C2A"/>
                <w:sz w:val="20"/>
              </w:rPr>
              <w:t>İç hava kalitesi: IDA 1 &lt;800 ppm, IDA 4 &gt;1400 ppm CO₂</w:t>
            </w:r>
          </w:p>
        </w:tc>
      </w:tr>
      <w:tr>
        <w:tc>
          <w:tcPr>
            <w:tcW w:type="dxa" w:w="2268"/>
          </w:tcPr>
          <w:p>
            <w:r>
              <w:rPr>
                <w:rFonts w:ascii="Calibri" w:hAnsi="Calibri"/>
                <w:b/>
                <w:color w:val="0F6E56"/>
                <w:sz w:val="20"/>
              </w:rPr>
              <w:t>ASHRAE 135</w:t>
            </w:r>
          </w:p>
        </w:tc>
        <w:tc>
          <w:tcPr>
            <w:tcW w:type="dxa" w:w="6803"/>
          </w:tcPr>
          <w:p>
            <w:r>
              <w:rPr>
                <w:rFonts w:ascii="Calibri" w:hAnsi="Calibri"/>
                <w:color w:val="2C2C2A"/>
                <w:sz w:val="20"/>
              </w:rPr>
              <w:t>BACnet/IP — bina otomasyon iletişim standardı</w:t>
            </w:r>
          </w:p>
        </w:tc>
      </w:tr>
      <w:tr>
        <w:tc>
          <w:tcPr>
            <w:tcW w:type="dxa" w:w="2268"/>
          </w:tcPr>
          <w:p>
            <w:r>
              <w:rPr>
                <w:rFonts w:ascii="Calibri" w:hAnsi="Calibri"/>
                <w:b/>
                <w:color w:val="0F6E56"/>
                <w:sz w:val="20"/>
              </w:rPr>
              <w:t>IEC 61158</w:t>
            </w:r>
          </w:p>
        </w:tc>
        <w:tc>
          <w:tcPr>
            <w:tcW w:type="dxa" w:w="6803"/>
          </w:tcPr>
          <w:p>
            <w:r>
              <w:rPr>
                <w:rFonts w:ascii="Calibri" w:hAnsi="Calibri"/>
                <w:color w:val="2C2C2A"/>
                <w:sz w:val="20"/>
              </w:rPr>
              <w:t>Modbus TCP — endüstriyel haberleşme standardı</w:t>
            </w:r>
          </w:p>
        </w:tc>
      </w:tr>
      <w:tr>
        <w:tc>
          <w:tcPr>
            <w:tcW w:type="dxa" w:w="2268"/>
          </w:tcPr>
          <w:p>
            <w:r>
              <w:rPr>
                <w:rFonts w:ascii="Calibri" w:hAnsi="Calibri"/>
                <w:b/>
                <w:color w:val="0F6E56"/>
                <w:sz w:val="20"/>
              </w:rPr>
              <w:t>ISO/IEC 20922</w:t>
            </w:r>
          </w:p>
        </w:tc>
        <w:tc>
          <w:tcPr>
            <w:tcW w:type="dxa" w:w="6803"/>
          </w:tcPr>
          <w:p>
            <w:r>
              <w:rPr>
                <w:rFonts w:ascii="Calibri" w:hAnsi="Calibri"/>
                <w:color w:val="2C2C2A"/>
                <w:sz w:val="20"/>
              </w:rPr>
              <w:t>MQTT 5.0 — IoT mesajlaşma protokolü</w:t>
            </w:r>
          </w:p>
        </w:tc>
      </w:tr>
      <w:tr>
        <w:tc>
          <w:tcPr>
            <w:tcW w:type="dxa" w:w="2268"/>
          </w:tcPr>
          <w:p>
            <w:r>
              <w:rPr>
                <w:rFonts w:ascii="Calibri" w:hAnsi="Calibri"/>
                <w:b/>
                <w:color w:val="0F6E56"/>
                <w:sz w:val="20"/>
              </w:rPr>
              <w:t>IPMVP Option C</w:t>
            </w:r>
          </w:p>
        </w:tc>
        <w:tc>
          <w:tcPr>
            <w:tcW w:type="dxa" w:w="6803"/>
          </w:tcPr>
          <w:p>
            <w:r>
              <w:rPr>
                <w:rFonts w:ascii="Calibri" w:hAnsi="Calibri"/>
                <w:color w:val="2C2C2A"/>
                <w:sz w:val="20"/>
              </w:rPr>
              <w:t>M&amp;V baseline regression — retrofit verification standardı</w:t>
            </w:r>
          </w:p>
        </w:tc>
      </w:tr>
    </w:tbl>
    <w:p>
      <w:pPr>
        <w:spacing w:before="280" w:after="80"/>
      </w:pPr>
      <w:r>
        <w:rPr>
          <w:rFonts w:ascii="Calibri" w:hAnsi="Calibri"/>
          <w:b/>
          <w:color w:val="1D9E75"/>
          <w:sz w:val="30"/>
        </w:rPr>
        <w:t>DAX ölçü versiyon haritası (özet)</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Sayfa 1-6</w:t>
            </w:r>
          </w:p>
        </w:tc>
        <w:tc>
          <w:tcPr>
            <w:tcW w:type="dxa" w:w="6803"/>
          </w:tcPr>
          <w:p>
            <w:r>
              <w:rPr>
                <w:rFonts w:ascii="Calibri" w:hAnsi="Calibri"/>
                <w:color w:val="2C2C2A"/>
                <w:sz w:val="20"/>
              </w:rPr>
              <w:t>DAX v10-v32 — base ölçüler, slicer'lar, KPI kartları</w:t>
            </w:r>
          </w:p>
        </w:tc>
      </w:tr>
      <w:tr>
        <w:tc>
          <w:tcPr>
            <w:tcW w:type="dxa" w:w="2268"/>
          </w:tcPr>
          <w:p>
            <w:r>
              <w:rPr>
                <w:rFonts w:ascii="Calibri" w:hAnsi="Calibri"/>
                <w:b/>
                <w:color w:val="0F6E56"/>
                <w:sz w:val="20"/>
              </w:rPr>
              <w:t>Sayfa 7</w:t>
            </w:r>
          </w:p>
        </w:tc>
        <w:tc>
          <w:tcPr>
            <w:tcW w:type="dxa" w:w="6803"/>
          </w:tcPr>
          <w:p>
            <w:r>
              <w:rPr>
                <w:rFonts w:ascii="Calibri" w:hAnsi="Calibri"/>
                <w:color w:val="2C2C2A"/>
                <w:sz w:val="20"/>
              </w:rPr>
              <w:t>v42 — EN labels + YoY/MoM trends (AKTİF)</w:t>
            </w:r>
          </w:p>
        </w:tc>
      </w:tr>
      <w:tr>
        <w:tc>
          <w:tcPr>
            <w:tcW w:type="dxa" w:w="2268"/>
          </w:tcPr>
          <w:p>
            <w:r>
              <w:rPr>
                <w:rFonts w:ascii="Calibri" w:hAnsi="Calibri"/>
                <w:b/>
                <w:color w:val="0F6E56"/>
                <w:sz w:val="20"/>
              </w:rPr>
              <w:t>Sayfa 8</w:t>
            </w:r>
          </w:p>
        </w:tc>
        <w:tc>
          <w:tcPr>
            <w:tcW w:type="dxa" w:w="6803"/>
          </w:tcPr>
          <w:p>
            <w:r>
              <w:rPr>
                <w:rFonts w:ascii="Calibri" w:hAnsi="Calibri"/>
                <w:color w:val="2C2C2A"/>
                <w:sz w:val="20"/>
              </w:rPr>
              <w:t>v44 — IoT real-time ölçüleri (zone, alert, cost)</w:t>
            </w:r>
          </w:p>
        </w:tc>
      </w:tr>
      <w:tr>
        <w:tc>
          <w:tcPr>
            <w:tcW w:type="dxa" w:w="2268"/>
          </w:tcPr>
          <w:p>
            <w:r>
              <w:rPr>
                <w:rFonts w:ascii="Calibri" w:hAnsi="Calibri"/>
                <w:b/>
                <w:color w:val="0F6E56"/>
                <w:sz w:val="20"/>
              </w:rPr>
              <w:t>Sayfa 9</w:t>
            </w:r>
          </w:p>
        </w:tc>
        <w:tc>
          <w:tcPr>
            <w:tcW w:type="dxa" w:w="6803"/>
          </w:tcPr>
          <w:p>
            <w:r>
              <w:rPr>
                <w:rFonts w:ascii="Calibri" w:hAnsi="Calibri"/>
                <w:color w:val="2C2C2A"/>
                <w:sz w:val="20"/>
              </w:rPr>
              <w:t>v47 + v48 patch — 32 base ölçü + 4 fix (locale, label, MonthYear)</w:t>
            </w:r>
          </w:p>
        </w:tc>
      </w:tr>
    </w:tbl>
    <w:p>
      <w:pPr>
        <w:spacing w:before="280" w:after="80"/>
      </w:pPr>
      <w:r>
        <w:rPr>
          <w:rFonts w:ascii="Calibri" w:hAnsi="Calibri"/>
          <w:b/>
          <w:color w:val="1D9E75"/>
          <w:sz w:val="30"/>
        </w:rPr>
        <w:t>Mimari katmanlar</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Bronze</w:t>
            </w:r>
          </w:p>
        </w:tc>
        <w:tc>
          <w:tcPr>
            <w:tcW w:type="dxa" w:w="6803"/>
          </w:tcPr>
          <w:p>
            <w:r>
              <w:rPr>
                <w:rFonts w:ascii="Calibri" w:hAnsi="Calibri"/>
                <w:color w:val="2C2C2A"/>
                <w:sz w:val="20"/>
              </w:rPr>
              <w:t>Ham CSV / API / IoT EventStream — protokol-native veri</w:t>
            </w:r>
          </w:p>
        </w:tc>
      </w:tr>
      <w:tr>
        <w:tc>
          <w:tcPr>
            <w:tcW w:type="dxa" w:w="2268"/>
          </w:tcPr>
          <w:p>
            <w:r>
              <w:rPr>
                <w:rFonts w:ascii="Calibri" w:hAnsi="Calibri"/>
                <w:b/>
                <w:color w:val="0F6E56"/>
                <w:sz w:val="20"/>
              </w:rPr>
              <w:t>Silver</w:t>
            </w:r>
          </w:p>
        </w:tc>
        <w:tc>
          <w:tcPr>
            <w:tcW w:type="dxa" w:w="6803"/>
          </w:tcPr>
          <w:p>
            <w:r>
              <w:rPr>
                <w:rFonts w:ascii="Calibri" w:hAnsi="Calibri"/>
                <w:color w:val="2C2C2A"/>
                <w:sz w:val="20"/>
              </w:rPr>
              <w:t>Normalize edilmiş + standart birim — analiz-hazır</w:t>
            </w:r>
          </w:p>
        </w:tc>
      </w:tr>
      <w:tr>
        <w:tc>
          <w:tcPr>
            <w:tcW w:type="dxa" w:w="2268"/>
          </w:tcPr>
          <w:p>
            <w:r>
              <w:rPr>
                <w:rFonts w:ascii="Calibri" w:hAnsi="Calibri"/>
                <w:b/>
                <w:color w:val="0F6E56"/>
                <w:sz w:val="20"/>
              </w:rPr>
              <w:t>Gold</w:t>
            </w:r>
          </w:p>
        </w:tc>
        <w:tc>
          <w:tcPr>
            <w:tcW w:type="dxa" w:w="6803"/>
          </w:tcPr>
          <w:p>
            <w:r>
              <w:rPr>
                <w:rFonts w:ascii="Calibri" w:hAnsi="Calibri"/>
                <w:color w:val="2C2C2A"/>
                <w:sz w:val="20"/>
              </w:rPr>
              <w:t>İş mantığı tabloları — gold_kpi_daily, gold_hvac_analytics, gold_battery_dispatch, gold_iot_realtime, gold_compliance_results</w:t>
            </w:r>
          </w:p>
        </w:tc>
      </w:tr>
      <w:tr>
        <w:tc>
          <w:tcPr>
            <w:tcW w:type="dxa" w:w="2268"/>
          </w:tcPr>
          <w:p>
            <w:r>
              <w:rPr>
                <w:rFonts w:ascii="Calibri" w:hAnsi="Calibri"/>
                <w:b/>
                <w:color w:val="0F6E56"/>
                <w:sz w:val="20"/>
              </w:rPr>
              <w:t>Power BI</w:t>
            </w:r>
          </w:p>
        </w:tc>
        <w:tc>
          <w:tcPr>
            <w:tcW w:type="dxa" w:w="6803"/>
          </w:tcPr>
          <w:p>
            <w:r>
              <w:rPr>
                <w:rFonts w:ascii="Calibri" w:hAnsi="Calibri"/>
                <w:color w:val="2C2C2A"/>
                <w:sz w:val="20"/>
              </w:rPr>
              <w:t>DirectLake mode, semantic model, DAX ölçüleri sayfa bazlı v34→v48</w:t>
            </w:r>
          </w:p>
        </w:tc>
      </w:tr>
    </w:tbl>
    <w:p>
      <w:pPr>
        <w:spacing w:before="280" w:after="80"/>
      </w:pPr>
      <w:r>
        <w:rPr>
          <w:rFonts w:ascii="Calibri" w:hAnsi="Calibri"/>
          <w:b/>
          <w:color w:val="1D9E75"/>
          <w:sz w:val="30"/>
        </w:rPr>
        <w:t>Persona — sayfa kullanımı</w:t>
      </w:r>
    </w:p>
    <w:tbl>
      <w:tblPr>
        <w:tblW w:type="auto" w:w="0"/>
        <w:tblLayout w:type="fixed"/>
        <w:tblLook w:firstColumn="1" w:firstRow="1" w:lastColumn="0" w:lastRow="0" w:noHBand="0" w:noVBand="1" w:val="04A0"/>
      </w:tblPr>
      <w:tblGrid>
        <w:gridCol w:w="4986"/>
        <w:gridCol w:w="4986"/>
      </w:tblGrid>
      <w:tr>
        <w:tc>
          <w:tcPr>
            <w:tcW w:type="dxa" w:w="2268"/>
          </w:tcPr>
          <w:p>
            <w:r>
              <w:rPr>
                <w:rFonts w:ascii="Calibri" w:hAnsi="Calibri"/>
                <w:b/>
                <w:color w:val="0F6E56"/>
                <w:sz w:val="20"/>
              </w:rPr>
              <w:t>Facility Manager</w:t>
            </w:r>
          </w:p>
        </w:tc>
        <w:tc>
          <w:tcPr>
            <w:tcW w:type="dxa" w:w="6803"/>
          </w:tcPr>
          <w:p>
            <w:r>
              <w:rPr>
                <w:rFonts w:ascii="Calibri" w:hAnsi="Calibri"/>
                <w:color w:val="2C2C2A"/>
                <w:sz w:val="20"/>
              </w:rPr>
              <w:t>Günlük: Sayfa 2 (profil), 3 (anomali), 5 (occupancy), 8 (real-time IoT)</w:t>
            </w:r>
          </w:p>
        </w:tc>
      </w:tr>
      <w:tr>
        <w:tc>
          <w:tcPr>
            <w:tcW w:type="dxa" w:w="2268"/>
          </w:tcPr>
          <w:p>
            <w:r>
              <w:rPr>
                <w:rFonts w:ascii="Calibri" w:hAnsi="Calibri"/>
                <w:b/>
                <w:color w:val="0F6E56"/>
                <w:sz w:val="20"/>
              </w:rPr>
              <w:t>Energy Manager</w:t>
            </w:r>
          </w:p>
        </w:tc>
        <w:tc>
          <w:tcPr>
            <w:tcW w:type="dxa" w:w="6803"/>
          </w:tcPr>
          <w:p>
            <w:r>
              <w:rPr>
                <w:rFonts w:ascii="Calibri" w:hAnsi="Calibri"/>
                <w:color w:val="2C2C2A"/>
                <w:sz w:val="20"/>
              </w:rPr>
              <w:t>Haftalık: Sayfa 1 (overview), 3, 4 (forecast/recommendations), 6 (carbon), 7 (HVAC)</w:t>
            </w:r>
          </w:p>
        </w:tc>
      </w:tr>
      <w:tr>
        <w:tc>
          <w:tcPr>
            <w:tcW w:type="dxa" w:w="2268"/>
          </w:tcPr>
          <w:p>
            <w:r>
              <w:rPr>
                <w:rFonts w:ascii="Calibri" w:hAnsi="Calibri"/>
                <w:b/>
                <w:color w:val="0F6E56"/>
                <w:sz w:val="20"/>
              </w:rPr>
              <w:t>Consultant</w:t>
            </w:r>
          </w:p>
        </w:tc>
        <w:tc>
          <w:tcPr>
            <w:tcW w:type="dxa" w:w="6803"/>
          </w:tcPr>
          <w:p>
            <w:r>
              <w:rPr>
                <w:rFonts w:ascii="Calibri" w:hAnsi="Calibri"/>
                <w:color w:val="2C2C2A"/>
                <w:sz w:val="20"/>
              </w:rPr>
              <w:t>Stratejik: Sayfa 1, 4, 6, 7, 9 — yatırım önerisi üretir</w:t>
            </w:r>
          </w:p>
        </w:tc>
      </w:tr>
      <w:tr>
        <w:tc>
          <w:tcPr>
            <w:tcW w:type="dxa" w:w="2268"/>
          </w:tcPr>
          <w:p>
            <w:r>
              <w:rPr>
                <w:rFonts w:ascii="Calibri" w:hAnsi="Calibri"/>
                <w:b/>
                <w:color w:val="0F6E56"/>
                <w:sz w:val="20"/>
              </w:rPr>
              <w:t>CFO / Sahip</w:t>
            </w:r>
          </w:p>
        </w:tc>
        <w:tc>
          <w:tcPr>
            <w:tcW w:type="dxa" w:w="6803"/>
          </w:tcPr>
          <w:p>
            <w:r>
              <w:rPr>
                <w:rFonts w:ascii="Calibri" w:hAnsi="Calibri"/>
                <w:color w:val="2C2C2A"/>
                <w:sz w:val="20"/>
              </w:rPr>
              <w:t>Aylık: Sayfa 1 (özet), 6 (karbon riski), 9 (yatırım ROI)</w:t>
            </w:r>
          </w:p>
        </w:tc>
      </w:tr>
    </w:tbl>
    <w:p>
      <w:pPr>
        <w:spacing w:after="80"/>
      </w:pPr>
      <w:r>
        <w:rPr>
          <w:rFonts w:ascii="Calibri" w:hAnsi="Calibri"/>
          <w:b w:val="0"/>
          <w:i w:val="0"/>
          <w:color w:val="2C2C2A"/>
          <w:sz w:val="22"/>
        </w:rPr>
        <w:t xml:space="preserve"> </w:t>
      </w:r>
    </w:p>
    <w:p>
      <w:pPr>
        <w:spacing w:after="80"/>
      </w:pPr>
      <w:r>
        <w:rPr>
          <w:rFonts w:ascii="Calibri" w:hAnsi="Calibri"/>
          <w:b w:val="0"/>
          <w:i/>
          <w:color w:val="606060"/>
          <w:sz w:val="20"/>
        </w:rPr>
        <w:t>— Son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