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9E75"/>
          <w:sz w:val="72"/>
        </w:rPr>
        <w:t>EnergyLens</w:t>
      </w:r>
    </w:p>
    <w:p>
      <w:pPr>
        <w:jc w:val="center"/>
      </w:pPr>
      <w:r>
        <w:rPr>
          <w:b/>
          <w:color w:val="2C2C2A"/>
          <w:sz w:val="44"/>
        </w:rPr>
        <w:t>Dashboard Master Guide</w:t>
      </w:r>
    </w:p>
    <w:p>
      <w:pPr>
        <w:jc w:val="center"/>
      </w:pPr>
      <w:r>
        <w:rPr>
          <w:i/>
          <w:color w:val="606060"/>
          <w:sz w:val="26"/>
        </w:rPr>
        <w:t>9-Page Power BI Report — Page-by-Page Technical &amp; Energy Engineering Walkthrough</w:t>
      </w:r>
    </w:p>
    <w:p/>
    <w:p/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This document walks through every KPI card and visual on each of the 9 pages of the EnergyLens Power BI report: what it shows, how it's computed, how to read it, and why it matters for the building. Intended audience: the product owner / energy domain reviewer, consultants who will eventually use the platform, and facility managers as end-users.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Platform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EnergyLens — Energy Copilot Platform for Commercial Buildings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Architecture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Microsoft Fabric (Medallion: Bronze → Silver → Gold) + Power BI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Modeling approach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BMAD — Business → Architecture → Data → Logic → Implementation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Report version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DAX v42 (Page 7), v44 (Page 8), v47/v48 (Page 9) — 9 pages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Portfolio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6 buildings — Berlin (DE), Hamburg (DE), Frankfurt (DE), Vienna (AT), Amsterdam (NL), Istanbul (TR)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Data coverage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2023-01 → 2026-05, 15-min / hourly energy + solar + battery + occupancy + weather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Date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2026-05-13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6E56"/>
          <w:sz w:val="44"/>
        </w:rPr>
        <w:t>0. Project at a Glance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Why does it exist?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Commercial buildings are under pressure on three fronts: (1) rising and volatile energy costs, (2) EU and national regulation (EPBD 2030, CSRD, ETS2, CRREM stranding), and (3) net-zero commitments. Existing BMS / SCADA systems are operational but lack the 'financial + compliance + carbon strategy' layer. EnergyLens fills that gap as a decision-support platform — the productisation of the 'energy copilot' concept.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Three user personas</w:t>
      </w:r>
    </w:p>
    <w:p>
      <w:pPr>
        <w:pStyle w:val="ListBullet"/>
        <w:spacing w:after="40"/>
        <w:ind w:left="340"/>
      </w:pPr>
      <w:r>
        <w:rPr>
          <w:rFonts w:ascii="Calibri" w:hAnsi="Calibri"/>
          <w:color w:val="2C2C2A"/>
          <w:sz w:val="22"/>
        </w:rPr>
        <w:t>Facility Manager — daily operations, anomaly handling, comfort/IoT (Pages 2, 3, 5, 8)</w:t>
      </w:r>
    </w:p>
    <w:p>
      <w:pPr>
        <w:pStyle w:val="ListBullet"/>
        <w:spacing w:after="40"/>
        <w:ind w:left="340"/>
      </w:pPr>
      <w:r>
        <w:rPr>
          <w:rFonts w:ascii="Calibri" w:hAnsi="Calibri"/>
          <w:color w:val="2C2C2A"/>
          <w:sz w:val="22"/>
        </w:rPr>
        <w:t>Energy Manager / Consultant — portfolio KPIs, forecast, retrofit, carbon (Pages 1, 4, 6, 7, 9)</w:t>
      </w:r>
    </w:p>
    <w:p>
      <w:pPr>
        <w:pStyle w:val="ListBullet"/>
        <w:spacing w:after="40"/>
        <w:ind w:left="340"/>
      </w:pPr>
      <w:r>
        <w:rPr>
          <w:rFonts w:ascii="Calibri" w:hAnsi="Calibri"/>
          <w:color w:val="2C2C2A"/>
          <w:sz w:val="22"/>
        </w:rPr>
        <w:t>Platform Admin — building onboarding, subscriptions, demos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Architecture summary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Microsoft Fabric Lakehouse with medallion architecture:</w:t>
      </w:r>
    </w:p>
    <w:p>
      <w:pPr>
        <w:pStyle w:val="ListBullet"/>
        <w:spacing w:after="40"/>
        <w:ind w:left="340"/>
      </w:pPr>
      <w:r>
        <w:rPr>
          <w:rFonts w:ascii="Calibri" w:hAnsi="Calibri"/>
          <w:color w:val="2C2C2A"/>
          <w:sz w:val="22"/>
        </w:rPr>
        <w:t>Bronze — raw data (CSV, API, IoT sensor, EPEX price, weather)</w:t>
      </w:r>
    </w:p>
    <w:p>
      <w:pPr>
        <w:pStyle w:val="ListBullet"/>
        <w:spacing w:after="40"/>
        <w:ind w:left="340"/>
      </w:pPr>
      <w:r>
        <w:rPr>
          <w:rFonts w:ascii="Calibri" w:hAnsi="Calibri"/>
          <w:color w:val="2C2C2A"/>
          <w:sz w:val="22"/>
        </w:rPr>
        <w:t>Silver — cleaned, normalised, standard units (kWh, kW, °C, ppm, tCO₂)</w:t>
      </w:r>
    </w:p>
    <w:p>
      <w:pPr>
        <w:pStyle w:val="ListBullet"/>
        <w:spacing w:after="40"/>
        <w:ind w:left="340"/>
      </w:pPr>
      <w:r>
        <w:rPr>
          <w:rFonts w:ascii="Calibri" w:hAnsi="Calibri"/>
          <w:color w:val="2C2C2A"/>
          <w:sz w:val="22"/>
        </w:rPr>
        <w:t>Gold — business logic (gold_kpi_daily, gold_hvac_analytics, gold_battery_dispatch, gold_iot_realtime, gold_compliance_results)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Power BI semantic model is bound to Gold via DirectLake. DAX measures are versioned per page from v34 → v48.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Page map — what does each page answer?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Page 1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Portfolio Overview — executive summary (kWh, EUI, anomalies, cost, carbon)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Page 2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Energy Profile — daily profile, peak demand, solar, battery, weather signature (HDD/CDD)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Page 3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Anomaly &amp; Risk Monitor — fault detection, severity distribution, resolution speed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Page 4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Forecast &amp; Recommendations — ML forecast + action recommendations + payback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Page 5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Occupancy — usage profile, 7×24 heatmap, after-hours waste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Page 6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Carbon &amp; CRREM — GHG intensity, EPC, ETS2 exposure, stranding year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Page 7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HVAC &amp; Envelope — system types, COP/SCOP, heat loss, retrofit priority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Page 8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IoT Monitoring — real-time kW, zone comfort, sensor health, live alerts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Page 9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Battery Strategy — solar+battery strategies, payback, ROI, 24h dispatch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6E56"/>
          <w:sz w:val="44"/>
        </w:rPr>
        <w:t>Page 1 — Portfolio Overview / Executive Summary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Purpose of the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When an energy manager or building owner asks 'where do we stand?' in the morning, this is the first screen. The whole portfolio is summarised in 30 seconds. It drives a single decision: which building or issue should I focus on today?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Target users: Energy Manager, Consultant, C-level. No operational detail — this page is the strategic filtering layer.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Top band — KPI cards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C1 — Total Energy Consumed (113,148 kWh)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Total electricity + gas (kWh equivalent) consumption for all buildings in the selected period.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SUM(gold_kpi_daily[total_consumption_kwh]) — responds to slicer filters. 'Goal' shown below: prior year (PY) or target.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Absolute magnitude → describes portfolio scale. -5.26% means below target (good). Green arrow.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Total consumption is the base figure for the bill. Carbon, cost and EUI depend on it as a denominator — this card is meaningless alone; read it alongside the others.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C2 — Avg EUI (0.25 kWh/m²/day)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Energy Use Intensity — daily consumption per unit area (kWh / m² · day). The gold-standard metric for comparing buildings.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AVG(daily_kwh / building_area_m2) — simple mean, not area-weighted. Annualise with ×365.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0.25 kWh/m²/day = 91 kWh/m²/year. European office average ~150-250 kWh/m²/year. Portfolio looks efficient overall — but distribution across buildings matters (see EUI Benchmark below).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EUI is the size-independent 'efficiency' metric. It is the foundation of EPBD 2030, CRREM and EPC systems. An energy manager speaks in kWh per m².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C3 — Active Anomalies (12)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Number of currently active (is_resolved = FALSE) anomalies. Total across all severities.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COUNT(gold_anomaly_alerts WHERE is_resolved = FALSE) — slicer-aware.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12 anomalies = low-to-moderate workload. 50+ would be a red flag. Click into Page 3 for severity breakdown.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 anomaly is a signal of energy waste or equipment fault. Each one accumulates extra cost while open. Read it together with resolution rate and avg days open (Page 3).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C4 — Total Energy Cost (€28,958)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Electricity + gas cost for the selected period.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SUM(daily_kwh × price_per_kwh) — country-based tariffs: DE €0.20/kWh electricity, €0.07/kWh gas; TR €0.14/kWh; etc. Same pricing logic as Page 9.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Sensitive to both tariff changes and consumption reductions. Never read alone — pair with kWh: did consumption fall, or did the tariff drop?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'monetary face' for decision-makers (CFO, owner). Engineers speak in kWh, finance speaks in €. EnergyLens makes that translation explicit.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C5 — Net Carbon Footprint (28 tCO₂)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Net carbon footprint: direct emissions (Scope 1 — gas, boilers) + indirect emissions (Scope 2 — grid electricity) − emissions avoided through solar / green energy.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Σ(kWh × grid_carbon_intensity g/kWh) + Σ(gas_kwh × 0.20 kgCO₂/kWh) − Σ(solar_kwh × grid_carbon_intensity)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28 tCO₂ — beats the goal (79) by -64.42% (good). The target may be aggressive, or consumption has dropped significantly.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foundational number for CSRD and ETS2 reporting. From 2027, EU commercial buildings will fall under ETS2: roughly €85-100 tax per tCO₂. 28 tCO₂ × €100 = €2,800 of additional annual cost.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Secondary cards (lower band)</w:t>
      </w:r>
    </w:p>
    <w:p>
      <w:pPr>
        <w:pStyle w:val="ListBullet"/>
        <w:spacing w:after="40"/>
        <w:ind w:left="340"/>
      </w:pPr>
      <w:r>
        <w:rPr>
          <w:rFonts w:ascii="Calibri" w:hAnsi="Calibri"/>
          <w:color w:val="2C2C2A"/>
          <w:sz w:val="22"/>
        </w:rPr>
        <w:t>Last Week Consumption (8,005 kWh, ▼2.2% WoW) — short-term trend. A weekly drop within normal variance.</w:t>
      </w:r>
    </w:p>
    <w:p>
      <w:pPr>
        <w:pStyle w:val="ListBullet"/>
        <w:spacing w:after="40"/>
        <w:ind w:left="340"/>
      </w:pPr>
      <w:r>
        <w:rPr>
          <w:rFonts w:ascii="Calibri" w:hAnsi="Calibri"/>
          <w:color w:val="2C2C2A"/>
          <w:sz w:val="22"/>
        </w:rPr>
        <w:t>Last Month Consumption (▼▼43.5% MoM) — massive monthly drop. Likely seasonal (end of heating season) or building closure — should not be read as 'improvement' on its own; needs HDD/CDD normalisation (Page 2).</w:t>
      </w:r>
    </w:p>
    <w:p>
      <w:pPr>
        <w:pStyle w:val="ListBullet"/>
        <w:spacing w:after="40"/>
        <w:ind w:left="340"/>
      </w:pPr>
      <w:r>
        <w:rPr>
          <w:rFonts w:ascii="Calibri" w:hAnsi="Calibri"/>
          <w:color w:val="2C2C2A"/>
          <w:sz w:val="22"/>
        </w:rPr>
        <w:t>Last 7 Days Cost (€1,585.63) and Last 30 Days CO₂ (8.9 tCO₂) — quick sanity checks.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V1 — Building-Based Consumption (Current vs PY)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Visual type: Clustered Column Chart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X-axis = building name; Y = total kWh; two bars per building: Current period vs Prior Year (PY).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SUM(total_consumption_kwh) by building; PY uses LASTYEAR / DATEADD DAX patterns for the same period.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Year-on-year comparison per building. Berliner Bürogebäude Alpha 1,381K → 1,251K = -9.4% (good — retrofit or operational improvement). Any building with PY-higher bar is the place to focus.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YoY comparison is the only normalised view that accounts for seasonal and operational change. It is insensitive to tariff shifts (in kWh), and carbon/cost move in parallel.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V2 — Anomaly Severity × Building Heatmap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Visual type: Matrix / Heatmap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Rows = building, columns = Critical / High / Medium / Low; cell = anomaly count; colour saturation by count.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COUNT(anomaly_alerts) GROUP BY building_id, severity. Default: 1 year or whatever the slicer specifies.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Berliner = 46 (relatively high but the building is large — not normalised). The severity distribution matters: 0 Critical for Berliner is manageable; 10+ would be urgent.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Anomaly count alone is not informative — the profile is. 10 Critical in one building = immediate action; 100 Low = sensitive thresholds, noise. Severity profile reads like a 'health X-ray'.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V3 — Monthly Energy Trend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Visual type: Line Chart (3 series)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month; 3 lines: Total Consumption (current), Total Energy PY (prior year), Energy Reduction Target.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Monthly aggregation; PY = same month last year (SAMEPERIODLASTYEAR); Target = annual target ÷ 12 or manual slope.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Seasonal pattern surfaces: winter (Dec-Feb) peak (heating), midsummer (Jul-Aug) secondary peak (cooling). Current below PY = portfolio improving. Current below Target = goal on track.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Without weather normalisation, 'consumption up/down' interpretations are misleading. This visual gives the year-long continuity feel, especially read with PY and Target.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V4 — EUI Benchmark by Building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Visual type: Horizontal Bar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Y = building name; X = EUI (kWh/m²/day); reference line: portfolio average or climate-zone benchmark.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AVG(daily_kwh / area_m2) by building_id. Annualise with ×365.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Berliner ~0.24 (modern building, good envelope); Frankfurt Klinikum is higher (24/7 hospital with fan + sterilisation load). High EUI ≠ bad; know the building type.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only apples-to-apples metric for building comparison. Use it within building type (office vs office). It is the basis of EPC and CRREM benchmarks.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Map (TomTom)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Geographic distribution of buildings. The geographic cluster (DE 4, NL 1, TR 1, AT 1) tells the market-density and operational geography story. In a client pitch it conveys a 'pan-European portfolio' feel.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How to talk about this page (consultant pitch)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In one sentence: 'Our portfolio is 6 buildings, 113K kWh monthly consumption, EUI 91 kWh/m²/year — below the European office average. 28 tCO₂ monthly net carbon and 12 active anomalies. Berliner Bürogebäude Alpha makes up ~30% of the portfolio and is down -9% YoY — operational improvement or a retrofit effect.' That sentence sells in 30 seconds to a CFO/owner.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6E56"/>
          <w:sz w:val="44"/>
        </w:rPr>
        <w:t>Page 2 — Daily Consumption / Energy Profile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Purpose of the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Where Page 1 is strategic, Page 2 is operational — the page a facility manager checks daily. How is the building living: when does it peak, is there a weather effect, what is solar/battery contributing?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Target users: Facility Manager + Energy Engineer. This page is the 'observation' layer that comes before any ML forecasting.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Top band — KPI cards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Daily Consumption (kWh)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Total consumption for the latest or selected day.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SUM(total_consumption_kwh) WHERE date = MAX(date) — depends on the slicer date.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If you see '(Blank)' either there's no data for that date or the slicer is on All and the latest data hasn't been pushed through bronze→silver yet. Goal: 5,928 — actual is 0 → ETL gap.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Daily consumption is part of the bill alongside peak demand (especially in demand-charge tariffs).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Peak Demand (kW)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highest 15-minute average power draw in the selected period.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MAX(15min_avg_kw) — sliding window MAX on the Power BI side; needs 15-minute aggregation from raw data.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Peak demand drives the 'demand charge' portion of the bill (DE €13.50/kW/month, NL €14.80/kW/month — see Page 9). A single hourly peak pushes the month's bill up.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It is the foundational metric for peak shaving (battery) and load shifting (HVAC scheduling) strategies. A -50 kW peak shave in DE = ~€8K annual saving.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EUI (kWh/m²) — 0.68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Daily energy use per unit area — the daily version of Page 1's EUI.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daily_kwh / building_area_m2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0.68/day → 248 kWh/m²/year — high. Either a one-off spike or the selected building is high-load (hospital, hotel).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Daily EUI volatility shows how stable building operations are. If the same building has EUI 0.68 on Monday and 0.30 on Sunday — that's occupancy-driven and normal.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Solar Generation (kWh)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Total energy generated by the PV system (selected period).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SUM(solar_generation_kwh) FROM gold_solar_generation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'(Blank)' means no PV or a pipeline error. B005 Frankfurt 200 kWp, B003 Hamburg 500 kWp — the large producers.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Discount line in net carbon and cost calculations. The self-consumption ratio matters: solar generated but exported back to grid is at a different tariff.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Battery SoC (60.4%)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Battery state of charge.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AVG(soc_percent) WHERE timestamp = MAX(timestamp). Range 0-100%.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60% — healthy mid-range; staying between 20-80% is ideal for battery longevity (low deep-cycle damage). If it never reaches 95%+ or drops below 5%, the strategy is working efficiently.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SoC is the real-time state of the dispatch strategy (Page 9). In a peak-shaving strategy, SoC should be 80%+ before the evening peak.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Carbon Intensity (kgCO₂/m²)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Carbon emissions per unit area — the carbon version of EUI.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(total_kwh × grid_g_co2_per_kwh + gas_kwh × 200 g/kWh) / area_m2 / 1000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Critical metric for CRREM stranding and EPC. EU 2030 office target: 20-30 kgCO₂/m²/year. Buildings above that risk being 'stranded assets'.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Carbon intensity is the foundational number for EU Taxonomy and green certification. EUI may be high while carbon intensity is low (PPA + solar) — the real measure of a 'green building'.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V1 — Consumption + Temperature + 7-Day Avg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Combo Chart (line + secondary axis)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Blue line: Total Consumption kWh (left Y); orange line: 7-Day Rolling Avg; grey line: Avg Temperature °C (right Y).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7-day rolling avg = AVERAGEX over -3 to +3 days. Temperature from gold_weather_daily via DirectLake.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Consumption and temperature show inverse/direct correlation: winter T ↓ → consumption ↑ (heating); summer T ↑ → consumption ↑ (cooling). The 7-day avg removes noise to reveal the true trend.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Without weather normalisation (HDD/CDD), the consumption trend can show 'false positive' improvements. Seasonality normalised, the real operational change becomes visible.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V2 — EUI Gauge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Radial Gauge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Min: 0, Target: 0.27, Max: 1.00. Current 0.27 → red 'Poor' (target exceeded).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Single value: AVG(daily_eui). Threshold colours defined in DAX (green &lt;0.20, amber 0.20-0.27, red &gt;0.27).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gauge tells you whether the target is met but loses context — the true picture is in the annual trend. This visual answers 'where are we right now'.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Gauges have strong marketing appeal but are misleading alone — always read alongside a trend visual.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V3 — Solar Self-Consumed vs Exported vs Grid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Stacked Area Chart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Three areas: Solar Self-Consumed, Solar Exported (sold back to grid), Total Grid Consumption (bought from grid).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self_consumed = MIN(solar_gen, consumption); exported = solar_gen - self_consumed; grid = consumption - self_consumed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High self-consumption — PV sized correctly, fast amortisation. High exported — you're selling cheap (DE feed-in ~€0.08/kWh, retail ~€0.30/kWh) — add a battery to self-consume more.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accuracy of PV sizing decisions shows here. 'Solar-to-self-consumption %' = self_consumed / (self_consumed + exported) — target ≥70% as a KPI.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V4 — Battery SoC Trend %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Line Chart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month/day; Y = average SoC %.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AVG(soc_percent) GROUP BY date or month.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 very flat line (e.g. constant 60%) = battery idle, not being used. A volatile line (cycling between 20-80%) = active dispatch. Constantly 95%+ = strategy isn't engaging (as in Backup-only strategies).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Battery investment amortises only with active usage. An idle battery = frozen capital. This visual is the test of whether the strategy is working.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Live Building Power + Live HVAC Load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Live Building Power: 111 kW, Live HVAC Load: 50 kW. The last 15-minute average draw. HVAC share = 50/111 = 45% — high, a sign of winter or hot weather (cooling). This pair aligns with Page 7's HVAC Share Pct as a 'right-now' snapshot.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V5/V6 — HDD vs Consumption &amp; CDD vs Consumption (Scatter)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Scatter (each point = a month)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Heating Degree Days (HDD) or Cooling Degree Days (CDD); Y = monthly kWh.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HDD = Σmax(0, 18°C − T_avg_daily); CDD = Σmax(0, T_avg_daily − 22°C). Monthly totals.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Slope of the correlation line = building's heating/cooling sensitivity. Steep slope = weak envelope (each extra HDD costs many extra kWh). Shallow slope = good insulation or efficient HVAC.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visual form of the 'baseline regression' technique in energy engineering. It is the foundation of pre/post retrofit comparison in M&amp;V (Measurement &amp; Verification, IPMVP Option C) projects.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How to talk about this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'The building peaks at about 111 kW, with HVAC taking ~45%. After weather normalisation (HDD/CDD scatter), the true YoY trend is -9%. Our solar self-consumption ratio is X% — a battery investment could push it to 90%+, with payback Y years (cross-ref to Page 9).'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6E56"/>
          <w:sz w:val="44"/>
        </w:rPr>
        <w:t>Page 3 — Anomaly Detection &amp; Risk Monitor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Purpose of the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The Fault Detection &amp; Diagnostics (FDD) page. Which building has what type of anomaly, how many are critical, how long have they been open? An energy manager uses it as an 'operational health dashboard'.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Anomaly types: CONSUMPTION_SPIKE, SOLAR_UNDERPERFORM, AFTER_HOURS_WASTE, HIGH_CARBON_INTENSITY. Rule-based today, not ML — adaptive ML will be added in Phase 2.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Top band — KPI cards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Total Anomalies (582)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Total anomalies detected in the selected period (resolved + unresolved).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COUNT(gold_anomaly_alerts) — responds to slicers.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582 alone is not meaningful — over 1 year it's low, over 1 month it's high. If most are Low/Medium, threshold sensitivity is tight (lots of noise); if mostly Critical, real issues exist.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Anomaly count ≠ energy waste. What matters is how many are resolved and how many carry a € cost.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Critical Anomalies (51 / Open)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Critical-severity anomalies that are open (is_resolved = FALSE).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 WHERE severity = 'CRITICAL' AND is_resolved = FALSE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51 open critical = immediate action required. Critical = energy waste + likely equipment fault + potential EU compliance risk (e.g. EPC drift).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Pairs with 'CRITICAL Actions' on Page 4. Each critical anomaly produces a recommended action; that list lives on Page 4.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High Anomalies (158)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All High-severity anomalies (resolved + unresolved).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 WHERE severity = 'HIGH'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High &gt; Critical ratio (158 vs 51 ≈ 3:1) is healthy — a pyramid shape: few critical, more high, even more low.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Severity distribution is a 'sensitivity calibration' problem. Too many critical = thresholds are too tight, false positives are high. The severity profile is a calibration job.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Unresolved (582) &amp; Active Anomaly Rate 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Open (resolved = FALSE) count + the share they represent.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Rate = unresolved / total × 100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Currently 100% unresolved — that's an ETL bug (is_resolved always FALSE). Pending fix in Notebook 29b. Real-world rates are typically 20-40%.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Resolution rate reflects an operational team's maturity. 80%+ = active team; 30% or less = anomalies pile up, the system loses signal.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V1 — Operational Fault Detection &amp; Risk Monitor (Table)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Columns: Building, Severity, Anomaly Type, Detected (timestamp), Deviation %, is_resolved.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gold_anomaly_alerts joined with silver_building_master[building_name].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Deviation % = how far the anomaly drifted from baseline. CONSUMPTION_SPIKE 10% = 10% above expected (meaningful drift). &gt;15% is usually Critical.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This is the FM's work list. Sort by severity, prioritise oldest open items (high avg days open = no clear owner).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V2 — Monthly Anomalies by Severity (Stacked Column)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Stacked Column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month; Y = count; stack: CRITICAL / HIGH / MEDIUM / LOW.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 GROUP BY YearMonth, severity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Look for seasonality. Rising critical in winter = heating systems faulty. Summer peaks = HVAC chiller anomalies. March-April lull = season transition.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Anomaly timing is a clue to which system has the issue. Monthly series are for 'seasonal pattern detection'.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V3 — Anomaly Type Breakdown (Horizontal Bar)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Horizontal Bar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Four types shown: SOLAR_UNDERPERFORM (319), AFTER_HOURS_WASTE (172), HIGH_CARBON_INTENSITY (81), CONSUMPTION_SPIKE (10).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 GROUP BY anomaly_type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SOLAR_UNDERPERFORM dominates — PV soiling / inverter fault / shading. AFTER_HOURS_WASTE second — HVAC or lighting on overnight / weekends. CONSUMPTION_SPIKE only 10 — few large swings.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anomaly-type distribution tells you what work to do: a lot of SOLAR_UNDERPERFORM → O&amp;M contract or panel cleaning; a lot of AFTER_HOURS_WASTE → BMS scheduling fault or occupancy mis-set (cross-ref Page 5).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V4 — Building Anomaly Share (% of portfolio)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Horizontal Bar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Y = building; X = building anomaly count / portfolio total × 100.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(COUNT per building / SUM all) × 100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Istanbul 36.4%, Frankfurt 18.7%, Amsterdam 17.4%, Berlin 11%. Istanbul's share is high — either the building has issues, or thresholds aren't calibrated for the climate.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Anomaly share doesn't equal 'problem building' — unless area-normalised, larger buildings produce more anomalies. Still, a single building at &gt;30% is a red flag.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Lower band — Resolution / Risk Score cards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Resolution Rate %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Resolved / total × 100. Currently --- (ETL bug). Target ≥70%.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Avg Days Open (732)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Average age of open anomalies. 732 days ≈ 2 years — artificially high because the fix never reaches the data.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High Priority Open Count (209)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Open High + Critical count. The team's workload.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Top Risk Building Score (Istanbul: 212)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Risk score = critical_count × 4 + high × 2 + medium × 1; Istanbul tops the list.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How to talk about this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'The portfolio has 582 anomalies, ~35% in Istanbul. The biggest issue area is SOLAR_UNDERPERFORM — that costs us about €X/month. AFTER_HOURS_WASTE is also significant — BMS scheduling and occupancy mismatch (provable from Page 5). Resolution rate is low; recommendation: assign anomalies to the FM team under an SLA.'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6E56"/>
          <w:sz w:val="44"/>
        </w:rPr>
        <w:t>Page 4 — Forecast &amp; Recommendations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Purpose of the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Forecast (ML) + Action recommendations (rule-based + ML hybrid). It answers 'what will happen in the next N days, and what should we do about it?'. This is the 'work generation' page for energy managers and consultants.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Top band — KPI cards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7-Day Forecast (10,766 kWh)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Forecast total consumption for the next 7 days.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ML model (07_consumption_forecast.py — XGBoost / Prophet) hourly forecast → 7-day total.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vs PY: Goal 8,012 (+34%) — so we expect higher consumption next week. Could be a cold-weather forecast, a new tenant, or operational change.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Short-term forecast is critical for demand-response participation. Day-ahead forecast accuracy enables bill optimisation.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30-Day Forecast (44,163 kWh)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Forecast for the next 30 days.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Same model, 30-day horizon. Wider confidence interval.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Used for monthly bill forecasting. Target accuracy ±5%.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Monthly budget forecast is critical for the finance team. Cash flow planning depends on this number.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Savings Potential (€)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Total annual € savings from action recommendations.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SUM(recommendation_annual_savings_eur) — per-recommendation savings summed.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(Blank) — the recommendation engine isn't bound to buildings yet. Goal: 300K — aggressive. Expected real range: 100-200K.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monetary value of recommendations is the basis of the sales pitch: 'the platform earns you €X annually'. The backbone of ROI presentations.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CRITICAL Actions (8)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 of recommendations that require immediate attention.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 WHERE recommendation_priority = 'CRITICAL'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8 critical actions = this week's must-do list. Different from Page 3's 51 critical anomalies — not every anomaly creates a recommendation; each recommendation may roll up several anomalies.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work list. Consultants say 'do these this week' — this card is the short version of that list.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Avg MAPE 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Mean Absolute Percentage Error — average forecast accuracy.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MAPE = AVG(|actual - forecast| / actual × 100). On a hold-out test set.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&lt;10% — excellent; 10-20% — acceptable; &gt;20% — model unfit. Goal: 10 (-22%) — below target.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measure of model trust. Don't make investment decisions on a high-MAPE forecast. This number tells you whether the model is 'production ready'.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V1 — Monthly Consumption — Actual &amp; Forecast (Line)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Line Chart, 3 series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Actual kWh (solid blue), Forecast kWh (dashed red), PY kWh (grey).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Actual = SUM(daily) GROUP BY month; Forecast = ML output; PY = SAMEPERIODLASTYEAR.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forecast line should be a smooth continuation of actual — historical consistency. If forecast diverges significantly from PY, an anomaly is expected (growth or contraction).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forecast visual gives clients a 'you're in control' feeling. It's the strongest visual in a sales demo.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V2 — Recommendations Table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Columns: Building, Recommendation, Priority, Total Annual Saving EUR, Payback (years).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gold_recommendations table (notebook 06_recommendation_engine.py) — rule-based recommendation engine.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Examples: 'Implement HVAC Scheduling' HIGH, €20,880/yr. 'Optimise Building Management' HIGH, €30,933/yr — highest value. 'Upgrade to LED Lighting' LOW, €16K — easy quick win.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recommendation list is the consultant's 'sell to client' work map. Sorted by Priority + Payback, it becomes a project plan.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V3 — Payback vs Savings (Scatter)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Scatter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Payback (years), Y = Annual Savings (€); each point = a recommendation; colour/shape = Priority.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Direct join to the recommendations table.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Top-left (short payback + high savings) = quick wins, do first. Bottom-right (long payback + low savings) = defer or skip. Bottom-left = low impact but fast (cosmetic).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Also known as an ROI matrix. A common language between engineers and finance — 'payback under 5 years = approve'.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V4 — Actions by Priority (Bar)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Bar Chart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count; Y = HIGH/MEDIUM/LOW.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 GROUP BY priority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Balanced 2-2-2 distribution — healthy. Mostly LOW = missing quick wins; mostly HIGH = team overload.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Balance of the action portfolio — a maturity indicator for the sustainability programme.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V5 — MAPE Accuracy by Building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Bar with threshold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Y = building; X = MAPE %; threshold line: 10% (Excellent/Poor boundary).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MAPE calculated per building.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Berliner Bürogebäude Alpha: 7.8% — Excellent. Any building above 20% needs the model retrained (different season pattern, missing feature).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Per-building MAPE tests whether the model generalises. If one model predicts 6 buildings 'in one hand', building_id should be one-hot encoded or per-building models trained.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How to talk about this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'We expect 44K kWh consumption in 30 days, +X% vs last year. The HVAC Scheduling recommendation for the client saves €21K/year with a 3-year payback. Combine it with Building Management optimisation and we're at €50K+/year saved — they'd recover the investment in 18 months. Our model accuracy is MAPE 8% — production-grade.'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6E56"/>
          <w:sz w:val="44"/>
        </w:rPr>
        <w:t>Page 5 — Occupancy / Operations Profile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Purpose of the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When is the building occupied, when is it empty — and how does energy consumption track that? Without occupancy data, after-hours waste can't be detected. This page shows the building's rhythm.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Data source: badge access, BMS occupancy sensors, manual calendar. In EnergyLens, currently profile-based (synthesised from schedule + Wi-Fi).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Top band — KPI cards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Avg Occupancy Rate (34.7%)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Average occupancy across all hours.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AVG(occupancy_pct) over ALL hours/days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34.7% — looks low, but it's a 24/7 mean so that's right. During business hours it's 70%+; at night ~5%; the mean checks out.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Low occupancy affects sizing decisions: 'hot desking, floor consolidation' recommendations come from here.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Peak Occupancy Hour (14:00)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Busiest hour of the day.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Hour MAX(occupancy_pct)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14:00 — early afternoon peak (post-lunch return + heavy meeting block). Typical Mon-Fri pattern.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Does peak occupancy align with peak demand? The comparison reveals load shifting opportunities.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After-Hours Occupancy (%) — 48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Average occupancy outside working hours (18:00-08:00).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AVG(occupancy_pct) WHERE hour NOT IN (08-18) AND day IN (Mon-Fri)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48% — suspiciously high. Either a night shift (hospital B005?) or sensor misinterpretation. Goal: 45 — slightly above.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High after-hours occupancy means HVAC schedules aren't recalibrated — a sign of energy waste (correlates with AFTER_HOURS_WASTE anomalies).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Energy / Occupant (kWh/mo)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Monthly consumption per occupant.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Monthly_kwh / avg_monthly_occupants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(Blank) — occupant count not yet bound to the building. Goal: 650 kWh/person/month — reasonable for European offices.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Per-occupant consumption ties employee experience to cost: an intersection point for HR and sustainability reporting.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V1 — 7×24 Occupancy Heatmap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Heatmap (day × hour)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Rows: Mon-Sun; Columns: 0:00-23:00; cells: mean occupancy % (dark green = high).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AVG(occupancy_pct) GROUP BY DayName, Hour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Weekday 8-18 at 55-76% (peak 14:00 76%); weekend 12-32% (decreasing but present). Mon 17% → Tue 17% → ... too flat: calendar is simulated; in reality there'd be more variation.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This heatmap shows the building's biorhythm. HVAC schedules should be calibrated against this pattern. Weekend 32% is still elevated — the HVAC isn't fully shutting down.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V2 — Hourly Occupancy (Weekday vs Weekend)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Line Chart, 2 series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hour (0-23); Y = avg occupancy %; two lines: Weekday, Weekend.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AVG GROUP BY hour, is_weekend flag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Weekday shows a clear trapezoid (8-18); Weekend stays low and flat. The gap between them = the 'idle but heated/cooled' duration. If the weekend line doesn't reach 0, the system isn't shutting down at weekends.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gold standard visual for setting system schedules. HVAC, lighting, and ventilation should be 'occupancy modulated' (DCV — demand controlled ventilation).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V3 — Building Avg Occupancy Comparison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Horizontal Bar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Y = building; X = mean occupancy %.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AVG GROUP BY building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Frankfurt Klinikum 52.5 (hospital, 24/7, naturally high); Wien Grand Hotel 49.4 (hotel — busy); Berliner 25.9; Amsterdam 20.5 (university — summer empty). Sensible distribution.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Without normalising for building type, a 'this building is full/empty' interpretation is invalid. Don't compare a hotel against an office.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How to talk about this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'During weekdays the building is 70%+ occupied 8-18, but at weekends 30% 'idle occupancy' means HVAC isn't fully shutting down — this is €X/month of AFTER_HOURS_WASTE (consistent with Page 3 anomalies). Schedule fix recommendation: drop weekend HVAC by 25%, 6-month payback.'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6E56"/>
          <w:sz w:val="44"/>
        </w:rPr>
        <w:t>Page 6 — Carbon Compliance / CRREM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Purpose of the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The carbon and regulation page. CRREM (Carbon Risk Real Estate Monitor), EPC, ETS2, and EPBD 2030 targets. It answers a building owner's questions: 'Will I be legally stranded by 2030? How much will I pay under ETS2?'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CRREM is the most widely adopted carbon-pathway standard for EU commercial real estate. It sets a per-asset annual pathway target; buildings that exceed it become 'stranded assets' (hard to resell).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Top band — KPI cards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GHG Intensity (23.2 kgCO₂/m²/yr)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Annual carbon emissions per unit area — the central CRREM and EPC metric.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(elec_kwh × grid_g_co2 + gas_kwh × 200 g) / area_m2 / 1000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23.2 — well below the EU office average (40-60). Solar + low gas use must be at play. CRREM 2030 target ~25 kgCO₂/m²/year — currently below it.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This single number is the basis of EU Taxonomy alignment. &lt;30 = green, 30-60 = transition, &gt;60 = stranded risk.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EPC Portfolio Grade (A+)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Energy Performance Certificate — building energy class (A++/A+/A/B/C/D/E/F/G).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Combination of annual EUI + GHG intensity + envelope score. Country-calibrated thresholds (DE/AT/NL/TR differ).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A+ — portfolio in the top class. Meets the EU Taxonomy 'green building' criterion. Critical for attracting investment and commanding premium rent.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EPBD 2030: all EU buildings must reach at least class E (committee decision 2024). Lower-EPC buildings cannot be rented or sold from 2030 onward.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Renewable Energy Share (3%)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Share of total consumption from renewable sources (PV self-consumed + green tariff).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(solar_self_consumed + green_grid_kwh) / total_kwh × 100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3% — low. Goal: 40 (-92%) — aggressive target, far off. PV self-consumption is low or PV is undersized. Battery + PV expansion needed.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'green ratio' is critical in EU Taxonomy and CSRD reporting. Investor question: 'how green is your asset'.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CO₂ Carbon Levy (€138,504)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Expected annual carbon tax — ETS2 (emissions trading for buildings, starting 2027).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tCO₂ × ETS2_price_eur_per_tco2 (2027 ~€45, 2030 projection €85-130/tCO₂)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€138K/year — material at portfolio scale. Goal: 176K — below target. As carbon falls, the levy falls too.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ETS2 is a legal cost from 2027 on EU buildings. Projected savings here are a core element of an investment decision (e.g. heat pump retrofit).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CRREM Stranding Year (2026)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year this building's GHG intensity will exceed the CRREM pathway target.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First year WHERE current_intensity &gt; crrem_pathway_target. Pathway uses the 1.5°C trajectory linear-falling to 2050.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2026 — now! Red-flag urgency. Stranding = non-Taxonomy-aligned asset, harder to refinance, at risk of losing tenants.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CRREM year is the deadline for an investment decision. It means: 'you have until year X to get to Y kgCO₂'.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V1 — Carbon Intensity vs CRREM Pathways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Multi-Line Chart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year; Y = GHG intensity kgCO₂/m²; lines: the building itself, CRREM 1.5°C Pathway, CRREM 2.0°C Pathway, CRREM Benchmark.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Building values from historical data; pathway targets from the official CRREM dataset (updated annually).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Building line below the pathway = compliant; the year they cross = stranding year. Reducing slope requires retrofit.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This visual is the spine of an investment-analysis pitch: 'we're here today, we need to be here by 2030, without X retrofit we'll be stranded in year Y'.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V2 — CRREM Status by Building (Table)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Table with status icons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Columns: Building, GHG Intensity, CRREM Carbon Benchmark, CRREM Status.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Status = compare intensity vs benchmark; icon: 🔴 Stranded / 🟡 Approaching / 🟢 Well Below.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Istanbul Ticaret Merkezi: GHG 77.5, benchmark 42.4 → 🔴 Stranded Asset. Berliner: 23.7, benchmark 39.5 → 🟢 Well Below. Hamburg: 47.4, benchmark 58.6 → 🟢 Well Below.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Action prioritisation per building. Stranded buildings are investment priorities — the rest can hold current performance.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V3 — Renewable vs Grid Energy Split (Stacked %)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Stacked 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month; Y = %; colours: Solar Generated %, Grid Consumption %.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Monthly shares; solar / (solar + grid) × 100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Solar share rises in summer (long days, high yield); grid dominates in winter. Seasonal pattern expected.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This visual tells the 'self-sufficiency' story. 30%+ annual solar share is acceptable for an EU Taxonomy 'green' investment.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V4 — Building Carbon Intensity Comparison (Bar)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Horizontal Bar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Y = building; X = kgCO₂/m²; colour thresholds applied.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Annual mean GHG intensity per building.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Frankfurt 0.547 (high — hospital, gas boiler); Istanbul 0.214; Wien 0.143; Hamburg 0.100; Berlin 0.067; Amsterdam 0.050. Ordering correlates with HVAC type (gas boiler = high).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ordering answers 'which building to decarbonise first'. Frankfurt with a heat pump retrofit could see 60% reduction.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V5 — CO₂ Emission Trend (Annual)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Combo Bar+Line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Bars: Total CO₂ Emissions (tCO₂), Net Carbon Footprint; Line: Total CO₂ Savings.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Annual aggregate; savings = avoided emissions (solar, retrofit).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2023-2026 trend: emissions falling while savings rise — a positive curve. Goal: net-zero by 2050.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strongest visual for narrative: 'we were here, we are here now, we're on the right path.'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Lower band — Priority Actions &amp; Incentives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ETS2 exposure, EU grants (KfW DE, SDE++ NL, etc.) and compliance status. Currently 'Critical — immediate action required' — drives to the Page 4 action list.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How to talk about this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'Our portfolio GHG intensity is 23.2 kgCO₂/m²/year — at the EU Taxonomy green threshold. But Istanbul is a stranded asset; CRREM target exceeded by 35 kgCO₂. Frankfurt hospital is also at risk because of gas boilers — the heat pump retrofit recommendation saves €Y/year on ETS2 + €Z/year on energy with a 7-year payback.'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6E56"/>
          <w:sz w:val="44"/>
        </w:rPr>
        <w:t>Page 7 — HVAC &amp; Building Envelope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Purpose of the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A building's energy consumption is 30-60% HVAC + heat losses. This page surfaces system type (heat pump, gas boiler, district, VRF), efficiency (COP/SCOP), envelope (U-value, insulation score) and retrofit prioritisation.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Target users: Energy Engineer, Mechanical Engineer, Asset Manager. Retrofit investment decisions start here.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Top band — KPI cards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HVAC Share Pct (19.9%)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Share of total building energy consumed by HVAC.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SUM(hvac_kwh) / SUM(total_kwh) × 100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19.9% — low (usually 30-50%). Either good envelope + efficient system (heat pump) or HVAC sub-metering is incomplete.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High HVAC share → retrofit priority. Low share → plug load or lighting are the bigger opportunity.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HVAC Efficiency (51/100)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HVAC system efficiency score — a combination of COP/SCOP, system age, and control quality.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Weighted: 50% COP_actual_vs_rated, 30% age_factor, 20% control_score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51 — moderate-to-low. 'Low — Retrofit' label. Gas-boiler-heavy portfolio pulls this score down; converting to heat pumps would lift it past 70.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efficiency score is the business case for retrofit. Below 60, retrofit ROI typically clears the threshold.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Avg Insulation Score (72/100)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Envelope (wall, roof, window) insulation score.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Weighted: 40% wall U-value, 30% roof U-value, 30% window U-value (lower U = better insulation).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72 — 'EPC C / Improvement zone'. Berliner 90+ (modern); Amsterdam &lt;50 (old). Higher score = lower U-value = less heat loss.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Envelope retrofit (external insulation, double/triple glazing) usually pays back in 15-25 years — long, but EPC class rises and building value increases.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Heat Loss Annual (29 kWh/m²·yr)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Annual heat loss density — the direct measure of envelope quality.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U_avg × ΔT_avg × hours / 1000 → kWh/m²/year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29 — 'Passive House Level' (&lt;30 kWh/m²/year). Passive house standard — excellent. Low heat loss = low heating demand.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Passive house level: the key threshold for PHPP (Passive House Planning Package) certification. EUI and carbon gains follow naturally.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HVAC CO₂ (3100.2 tCO₂/yr)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Annual HVAC-related emissions (Scope 1 + Scope 2).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Σ(hvac_gas_kwh × 200 g) + Σ(hvac_elec_kwh × grid_g_co2)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Scope 1 (gas, direct) ~6%, Scope 2 (electricity, indirect) ~94%. Frankfurt gas boiler is the biggest contributor (1.7M kgCO₂).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Scope 1 decarbonisation is the prime target — gas → heat pump means Scope 1 → 0; Scope 2 declines as the grid greens up.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Buildings For Retrofit (2)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 of buildings with high retrofit priority.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 WHERE renovation_priority IN ('Urgent', 'High')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2 urgent + 1 planned + 3 (other) — 2 of 6 buildings are priority.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immediate-action list. The starting point for capital planning.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V1 — HVAC Energy Breakdown by Month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Stacked Column 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month; Y = %; stack: Heating / Cooling / Ventilation.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hvac_kwh decomposition (sub-metering or signature-based).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Winter (Dec-Feb) Heating 70%+; Summer (Jul-Aug) Cooling dominant; Ventilation ~10-15% steady year-round. Classic HVAC profile.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This visual is gold for the HVAC system-selection engineer. In a heating-heavy building, a heat pump at COP=3+ delivers ~70% electricity savings.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V2 — Building HVAC System Summary (Table)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Columns: Building, System (Heat Pump / Gas Boiler / District / VRF), Priority, COP/SCOP.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silver_building_master[primary_hvac_system] + COP actual or rated.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Amsterdam VRF (good for cooling-heavy, low priority); Berliner Heat Pump ASHP (modern, low); Frankfurt Gas Boiler — CSRD warning + 🔴 High; Hamburg Gas Boiler + medium.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This table is the spine of a retrofit roadmap. Gas-boiler buildings should convert to heat pumps before 2030.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V3 — HVAC CO₂ Emissions — Scope 1 vs Scope 2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Stacked Bar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Y = building; X = kgCO₂; stack: Scope 1 (Fossil — gas) / Scope 2 (Electric — grid).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Same split applied to HVAC.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Frankfurt Klinikum 1.7M kgCO₂ — almost entirely Scope 1 (gas boiler). Berliner mostly Scope 2 (heat pump, which falls as the grid greens up).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Scope 1 = directly controllable; decarbonise here first (fuel switch); Scope 2 = grid-dependent, addressed via PPA + green tariff.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V4 — Annual Heat Loss Density + Insulation Score by Building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Dual-Axis Bar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Y = building; X1 = Heat Loss kWh/m²/year; X2 = Insulation Score (0-100).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Heat loss and insulation score computed per building.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Amsterdam Universiteit: heat loss 46.8, insulation 55.4 — old building, classic retrofit candidate. Berliner: heat loss 25.6, insulation 86.5 — modern, no retrofit needed.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cross-view of heat loss × insulation answers 'which building's retrofit ROI returns fastest'.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V5 — Renovation Priority Matrix (Scatter)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Scatter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Insulation Score; Y = HVAC Efficiency Score; colour saturation = Renovation Priority Color (numeric).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Per-building axes; priority = (1-insul/100) × (1-hvac_eff/100) — bad-bad = high priority.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Bottom-left (low insulation + low HVAC eff) = immediate retrofit. Top-right = healthy, monitor. Berliner top-right (efficient); Amsterdam/Frankfurt bottom-left (retrofit now).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This scatter is the 'priority matrix' standard in engineering reports — the visual form of capex planning.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How to talk about this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'The portfolio HVAC share is 20% — low; but the Frankfurt hospital with its gas boiler produces 55% of the portfolio's HVAC carbon. Heat pump retrofit: capex €Z, Scope 1 → 0, ETS2 €Y/year saved + energy €X/year saved. Total payback 8-10 years. Failing to retrofit before EPBD 2030 risks the asset being stranded.'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6E56"/>
          <w:sz w:val="44"/>
        </w:rPr>
        <w:t>Page 8 — IoT Monitoring (Real-Time)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Purpose of the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Real-time operational monitoring. Live data from the BMS/IoT sensors: kW, zone comfort, CO₂, sensor health, alerts. The page a facility manager uses to 'see and respond instantly'.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Pipeline: Event Hub → Fabric EventStream → KQL Eventhouse (hot path) + Lakehouse (cold path). DAX v44.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Important architectural decision: sensor_type is a DIMENSION — not hardcoded. Each building shows only its connected sensors (BACnet/Modbus/MQTT adapter pattern, Phase 2 production-grade design).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Top band — KPI cards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Real-Time Building Power (96.5 kW ~ Above normal)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Last 15-minute average power draw.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MAX(timestamp_bldg_kw) WHERE bldg_id = selected.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96.5 kW — compare to baseline: 'Above normal' means 120%+ over baseline. Spike causes: HVAC trip, startup, equipment abnormality.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Real-time visibility is critical for demand-response programmes (peak shaving decisions must happen within 5 minutes).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Zone Comfort Compliance (90% zones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Real-time share of zones inside their setpoint range.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COUNT(zones WHERE temp BETWEEN setpoint±2°C AND CO2 &lt; 1000) / total_zones × 100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90% — good (target &gt;85%). 10% out of range — could be HVAC trip, sensor fault, or genuine comfort issue.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Comfort non-compliance = complaints + tenant loss. The live metric for the energy-savings vs comfort balance.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CO₂ Level (1873 ppm — IDA 4 Poor)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Real-time mean indoor CO₂ concentration.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AVG(co2_ppm) across all CO₂ sensors WHERE timestamp = latest.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1873 ppm — IDA 4 (EN 13779 standard: IDA 1 &lt;800 / IDA 2 800-1000 / IDA 3 1000-1400 / IDA 4 &gt;1400). Very poor — ventilation insufficient.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Elevated CO₂ harms cognitive performance (&gt;1000 ppm), reducing learning/work productivity. Non-compliance with standards is also a legal risk.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Active Alerts + Estimated Cost (237 Active — Est. €...)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Active high-severity alert count + their estimated daily € cost.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COUNT(active_alerts) + SUM(estimated_eur_cost_per_anomaly)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237 alerts is very high — either oversensitive system or a genuine fault. The € cost integration lets you see waste before the bill.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Anomaly-bound cost estimate (formula below): tells the engineer 'we're losing €X right now' and accelerates a finance decision.</w:t>
            </w:r>
          </w:p>
        </w:tc>
      </w:tr>
    </w:tbl>
    <w:p>
      <w:pPr>
        <w:spacing w:after="80"/>
      </w:pPr>
      <w:r>
        <w:rPr>
          <w:rFonts w:ascii="Calibri" w:hAnsi="Calibri"/>
          <w:b/>
          <w:i w:val="0"/>
          <w:color w:val="2C2C2A"/>
          <w:sz w:val="22"/>
        </w:rPr>
        <w:t>Anomaly Cost Logic (always shown as Est.):</w:t>
      </w:r>
    </w:p>
    <w:p>
      <w:pPr>
        <w:spacing w:after="80"/>
      </w:pPr>
      <w:r>
        <w:rPr>
          <w:rFonts w:ascii="Calibri" w:hAnsi="Calibri"/>
          <w:b w:val="0"/>
          <w:i/>
          <w:color w:val="2C2C2A"/>
          <w:sz w:val="22"/>
        </w:rPr>
        <w:t>cost_eur = duration_hours × power_waste_kw × grid_price_eur_per_kwh — HVAC_temp violation: 2-5 kW extra per °C deviation; CO₂ spike &gt;1500 ppm: 1-3 kW extra ventilation; Power spike &gt;120% baseline: actual excess kW. Grid price by country: DE €0.20/kWh, TR €0.14/kWh.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V1 — Sensor Uptime by Zone Matrix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Matrix (zone × sensor_type)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Rows = zone (Floor 1 Zone 1 etc.); Columns = sensor_type (Bldg kW, Boiler %, CO₂, Fan RPM, Humidity, HVAC kW, HVAC T°, Light kW, Plug).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uptime = SUM(minutes_online) / SUM(minutes_in_period) × 100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Cells 93-94% — healthy. Below 90% indicates a sensor issue. An empty cell = sensor doesn't exist in that zone (sensor_type dimension is dynamic). Critical for MQTT vs BACnet-different buildings.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Sensor health = data quality = analytics trust. Below 80% uptime, analytics decisions become unreliable.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V2 — Zone Anomaly Count — by Severity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Stacked Horizontal Bar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Y = zone; X = alert count; stack: High/Medium/Low.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COUNT(alerts) GROUP BY zone, severity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Floor 1 Zone 1: 206 alerts (total) — the hottest. Floor 2 Zone 3: 60 noticeable. Per-zone issue density.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This is 'hot spot' detection on the floor plan. A zone constantly producing alerts means either sensor calibration drift or a real HVAC issue.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V3 — Building &amp; HVAC Power — Last 24h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Line Chart, 3 series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hour (last 24h); Y = kW; lines: Building Total (blue), HVAC (orange), Baseline (dashed grey).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Building total = SUM(zone_kw); HVAC = sub-metered; Baseline = 30-day average for the same hour.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Blue line 120%+ above baseline = spike. HVAC line sudden rise (e.g. 08:00 startup) is normal; not declining at night (00-05) is an anomaly.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24-hour kW profile shows 'building rhythm'. It's the fastest visual for anomaly detection.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V4 — Alert Table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Columns: Building, Zone, Sensor, Reading, Value, Unit, Severity, Recommended Action, Est. cost.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iot_anomaly_alerts (rule-based + signature-based detection).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Example: B002 Plant Room boiler_eff 60.6% High → 'Boiler efficiency critical (&lt;70%)'. B003 boiler_eff 95% Medium → 'Boiler efficiency declining'.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This table is the FM's 'work order' queue. With the Recommended Action you trigger direct response (team assignment, parts order, etc.).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How to talk about this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'The building is drawing 96.5 kW right now, 120% over baseline — a spike. CO₂ is 1873 ppm — IDA 4 Poor, ventilation insufficient; Floor 1 Zone 1 has 206 accumulated alerts. Boiler efficiency dropped to 60% — maintenance order needed. Estimated daily loss €47.'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6E56"/>
          <w:sz w:val="44"/>
        </w:rPr>
        <w:t>Page 9 — Battery Strategy &amp; ROI Simulation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Purpose of the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The business case for a solar + battery investment. ROI, payback, CAPEX, and CO₂ avoided across 4 dispatch strategies (Self-Consumption, Peak-Shaving, Backup, Time-of-Use). EU Battery Regulation 2023/1670 compliance is also addressed here.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13 scenarios per building (LFP vs NMC × 4 strategies + actual). Pricing: DE off-peak €0.062 / peak €0.285 / demand charge €13.50/kW/month; AT/NL similar.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Top band — KPI cards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Annual Savings (€55,078.3)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Annual € savings for the selected building + strategy combination.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Σ(arbitrage_savings + demand_charge_avoided + self_consumption_increased)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€55K/year for Hamburg Logistics on a Peak-Shaving strategy. Varies by strategy: Self-Consumption €X for B001, Peak-Shaving €Y for B003.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Annual savings is the primary input to payback and IRR. The loudest card in a sales pitch.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Payback Period (7.9 yr)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How long it takes to recover the net investment (years).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CAPEX / annual_savings (simple); discounted version via IRR/NPV.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7.9 years — acceptable (10-year threshold). Goal: 8.1 ⚠ — at the edge. &lt;5 years 'excellent', 5-10 'acceptable', &gt;10 'reject'.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payback threshold is the approve/reject decision for a battery investment. Bank financing usually requires &lt;10 years.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CO₂ Avoided (61.0 tCO₂/yr)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Annual carbon emissions avoided by the battery.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Σ(self_consumed_solar_kwh × grid_g_co2) — more solar used = less grid carbon.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61 tCO₂/year × €100 ETS2 = €6,100/year 'shadow value' savings. Cash + green premium together.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CO₂ avoided is critical to qualify under EU Taxonomy green investment criteria (~50%+ avoided required).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Efficiency + EU (94.5%)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Battery round-trip efficiency + EU 2023/1670 compliance status.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round_trip_efficiency_percent × eu_compliant_boolean. LFP ~94%, NMC ~95%, NCA ~92%.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94.5% — LFP profile (CATL/BYD/Fluence). EU compliant ✅. NMC systems aren't always EU compliant.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Low round-trip efficiency = high heat loss = less saving. No EU compliance = cannot be sold/installed in the EU market (post-2024).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V1 — Monthly Charge / Discharge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Combo Bar+Line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month; bars: Charge kWh, Discharge kWh; line: PV Generation kWh.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Monthly aggregates; charge ~ PV generation in parallel.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Charge peaks at PV generation peak (summer); discharge spikes in the evening + morning peaks. Seasonal pattern expected.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visual test of whether the strategy 'works'. A flat discharge line = the strategy isn't dispatching (idle battery).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V2 — Scenario Comparison Table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Columns: Building, Strategy, Battery kWh, CAPEX, Annual Savings, Payback, IRR, NPV, EU Compliant, Score.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gold_battery_simulation, 13 scenarios per building.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Hamburg Peak-Shaving LFP 6,800 kWh CAPEX €960K — large battery, payback 1.7 years, IRR 63% (excellent). Hamburg Self-Consumption NMC just 400 kWh €54K — small, 25-year payback (poor).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scenario comparison is the matrix for 'right strategy + right size'. The strongest table in a client pitch.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V3 — ROI Gauge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Radial Gauge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Min 0, Max 100; current 42 — 'Acceptable — review strategy'.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Composite score: payback (50%) + IRR (30%) + EU compliance (20%).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42 — 0-50 reject, 50-75 accept, 75-100 excellent. The strategy can be changed for the selection; selecting another scenario moves the gauge.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ROI gauge gives a client or executive a one-glance answer on whether the investment is good or bad. Strong marketing pull.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V4 — CAPEX vs PAYBACK (Scatter)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Scatter (each point = a scenario)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CAPEX (€), Y = Payback (years), colour = strategy, size = annual savings.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Threshold lines: Max acceptable payback = 12, Good payback = 7.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Berliner Self-Consumption 200 kWh LFP (reference point). Bottom-left (low CAPEX + short payback) = best-sellers. Top-right (high CAPEX + long payback) = reject.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The flight map of the investment decision. Pick a scenario and compare to others.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V5 — 24h Battery Behavior by Strategy</w:t>
      </w:r>
    </w:p>
    <w:p>
      <w:pPr>
        <w:spacing w:before="200" w:after="40"/>
      </w:pPr>
      <w:r>
        <w:rPr>
          <w:rFonts w:ascii="Calibri" w:hAnsi="Calibri"/>
          <w:b/>
          <w:color w:val="639922"/>
          <w:sz w:val="24"/>
        </w:rPr>
        <w:t>Type: Multi-line + bars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What it shows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X = hour (0-23); bars: Charge ↑ / Discharge ↓; lines: State of Charge (%), Price Index (100=avg).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it's computed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Hourly simulation per strategy.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How to read it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Self-Consumption: charge during the day (PV peak), discharge in the evening. Peak-Shaving: charge before the 17-21 demand peak, discharge through it. ToU: charge at night off-peak (€0.062), sell during the day peak (€0.285).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Why it matters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This visual explains 'how the strategy works'. You can take a client through 4 different patterns to choose the right profile for them.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EU Battery Regulation 2023/1670 — Critical Note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Post-January 2024, all batteries sold in the EU must include:</w:t>
      </w:r>
    </w:p>
    <w:p>
      <w:pPr>
        <w:pStyle w:val="ListBullet"/>
        <w:spacing w:after="40"/>
        <w:ind w:left="340"/>
      </w:pPr>
      <w:r>
        <w:rPr>
          <w:rFonts w:ascii="Calibri" w:hAnsi="Calibri"/>
          <w:color w:val="2C2C2A"/>
          <w:sz w:val="22"/>
        </w:rPr>
        <w:t>Carbon footprint label (Product Environmental Footprint, PEF)</w:t>
      </w:r>
    </w:p>
    <w:p>
      <w:pPr>
        <w:pStyle w:val="ListBullet"/>
        <w:spacing w:after="40"/>
        <w:ind w:left="340"/>
      </w:pPr>
      <w:r>
        <w:rPr>
          <w:rFonts w:ascii="Calibri" w:hAnsi="Calibri"/>
          <w:color w:val="2C2C2A"/>
          <w:sz w:val="22"/>
        </w:rPr>
        <w:t>State of Health (SoH) %</w:t>
      </w:r>
    </w:p>
    <w:p>
      <w:pPr>
        <w:pStyle w:val="ListBullet"/>
        <w:spacing w:after="40"/>
        <w:ind w:left="340"/>
      </w:pPr>
      <w:r>
        <w:rPr>
          <w:rFonts w:ascii="Calibri" w:hAnsi="Calibri"/>
          <w:color w:val="2C2C2A"/>
          <w:sz w:val="22"/>
        </w:rPr>
        <w:t>Cycle durability warranty</w:t>
      </w:r>
    </w:p>
    <w:p>
      <w:pPr>
        <w:pStyle w:val="ListBullet"/>
        <w:spacing w:after="40"/>
        <w:ind w:left="340"/>
      </w:pPr>
      <w:r>
        <w:rPr>
          <w:rFonts w:ascii="Calibri" w:hAnsi="Calibri"/>
          <w:color w:val="2C2C2A"/>
          <w:sz w:val="22"/>
        </w:rPr>
        <w:t>Recycled content % disclosure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B005 Frankfurt 400 kWh NMC Samsung — no EU compliance (missing carbon label). Marked red in the table; recommendation: replace with LFP CATL/BYD, which has the EU label.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How to talk about this page</w:t>
      </w:r>
    </w:p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>'For Hamburg Logistics a Peak-Shaving LFP 6,800 kWh system — CAPEX €960K, annual saving €55K, payback 1.7 years, IRR 63%, CO₂ avoided 61 t/year. 94% round-trip in the European market, EU 2023/1670 compliant. A packaged investment recommendation for the client.'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6E56"/>
          <w:sz w:val="44"/>
        </w:rPr>
        <w:t>Appendix A — Quick References</w:t>
      </w:r>
    </w:p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Units &amp; conversions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kWh/m²/day × 365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= kWh/m²/year (annual EUI)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kWh elec × 0.40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≈ kgCO₂ (DE grid 2024, falling)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kWh gas × 0.20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= kgCO₂ (natural gas, constant)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HDD/CDD base temperature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Heating 18°C, Cooling 22°C (ASHRAE)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Peak demand kW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× country demand charge €/kW/month × 12 = annual demand fee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Round-trip efficiency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discharge_kwh / charge_kwh — LFP 94%, NMC 95%, NCA 92%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Standards / Regulations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EPBD 2030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EU Energy Performance of Buildings Directive — minimum class E for all buildings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CSRD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Corporate Sustainability Reporting Directive — annual carbon report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ETS2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Emissions Trading System 2 — starts 2027, covers buildings, tCO₂ × €85-130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CRREM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Carbon Risk Real Estate Monitor — pathway-based stranding year per asset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EU Battery Reg 2023/1670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Carbon footprint label + SoH + cycle warranty + recycled content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EN 13779 IDA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Indoor air quality: IDA 1 &lt;800 ppm, IDA 4 &gt;1400 ppm CO₂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ASHRAE 135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BACnet/IP — building automation communication standard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IEC 61158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Modbus TCP — industrial communication standard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ISO/IEC 20922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MQTT 5.0 — IoT messaging protocol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IPMVP Option 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M&amp;V baseline regression — retrofit verification standard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DAX measure version map (summary)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Pages 1-6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DAX v10-v32 — base measures, slicers, KPI cards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Page 7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v42 — EN labels + YoY/MoM trends (ACTIVE)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Page 8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v44 — IoT real-time measures (zone, alert, cost)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Page 9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v47 + v48 patch — 32 base measures + 4 fixes (locale, label, MonthYear)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Architecture layers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Bronze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Raw CSV / API / IoT EventStream — protocol-native data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Silver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Normalised + standard units — analytics-ready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Gold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Business logic tables — gold_kpi_daily, gold_hvac_analytics, gold_battery_dispatch, gold_iot_realtime, gold_compliance_results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Power BI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DirectLake mode, semantic model, DAX measures per page v34→v48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D9E75"/>
          <w:sz w:val="30"/>
        </w:rPr>
        <w:t>Persona — page usage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Facility Manager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Daily: Pages 2 (profile), 3 (anomalies), 5 (occupancy), 8 (real-time IoT)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Energy Manager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Weekly: Pages 1 (overview), 3, 4 (forecast/recommendations), 6 (carbon), 7 (HVAC)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Consultant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Strategic: Pages 1, 4, 6, 7, 9 — generates investment proposals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0F6E56"/>
                <w:sz w:val="20"/>
              </w:rPr>
              <w:t>CFO / Owner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C2C2A"/>
                <w:sz w:val="20"/>
              </w:rPr>
              <w:t>Monthly: Page 1 (summary), 6 (carbon risk), 9 (investment ROI)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color w:val="2C2C2A"/>
          <w:sz w:val="22"/>
        </w:rPr>
        <w:t xml:space="preserve"> </w:t>
      </w:r>
    </w:p>
    <w:p>
      <w:pPr>
        <w:spacing w:after="80"/>
      </w:pPr>
      <w:r>
        <w:rPr>
          <w:rFonts w:ascii="Calibri" w:hAnsi="Calibri"/>
          <w:b w:val="0"/>
          <w:i/>
          <w:color w:val="606060"/>
          <w:sz w:val="20"/>
        </w:rPr>
        <w:t>— End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