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B53"/>
          <w:sz w:val="40"/>
        </w:rPr>
        <w:t>EnergyLens — Founder Study &amp; Decision Guide</w:t>
      </w:r>
    </w:p>
    <w:p>
      <w:r>
        <w:rPr>
          <w:i/>
          <w:sz w:val="22"/>
        </w:rPr>
        <w:t>What to learn to turn the platform into a real business — synthesis of our strategy sessions, with current researched figures.</w:t>
      </w:r>
    </w:p>
    <w:p>
      <w:r>
        <w:rPr>
          <w:color w:val="555555"/>
          <w:sz w:val="18"/>
        </w:rPr>
        <w:t>Prepared for Ali Mert Özdemir · 16 June 2026 · Confidence tags: [Certain] verified · [Likely] strong inference · [Estimate] assumption.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Bu doküman tüm konuştuklarımızın özeti + güncel araştırma sayıları. Ana metin İngilizce; her bölümün altında kısa Türkçe özet var. Güven etiketleri: [Certain]=doğrulanmış, [Likely]=güçlü çıkarım, [Estimate]=varsayım.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1. The core truth</w:t>
      </w:r>
    </w:p>
    <w:p>
      <w:pPr>
        <w:spacing w:after="100"/>
        <w:jc w:val="both"/>
      </w:pPr>
      <w:r>
        <w:rPr>
          <w:sz w:val="21"/>
        </w:rPr>
        <w:t>The platform is essentially code-complete. The binding constraint to revenue is not more features; it is proof (one real building, one named reference, one real-data case study) and distribution (a repeatable way to reach buyers). [Likely]</w:t>
      </w:r>
    </w:p>
    <w:p>
      <w:pPr>
        <w:spacing w:after="100"/>
        <w:jc w:val="both"/>
      </w:pPr>
      <w:r>
        <w:rPr>
          <w:sz w:val="21"/>
        </w:rPr>
        <w:t>Because of this, the first money will not come from cold software subscriptions. The realistic sequence is: non-dilutive grant (EXIST) and/or paid pilot/consulting first, then a reference case study, then thin subscriptions at scale. Selling a SaaS subscription cold to a conservative German buyer with no reference is very hard for a solo founder. [Likely]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Ürün bitti; eksik olan özellik değil, KANIT (gerçek bina + referans + vaka çalışması) ve DAĞITIM. Bu yüzden ilk para soğuk abonelikten değil; önce grant/ücretli pilot/danışmanlık → referans → sonra abonelik. Çekirdek darboğaz founder-execution + pazara çıkış.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2. What the product is and does today</w:t>
      </w:r>
    </w:p>
    <w:p>
      <w:pPr>
        <w:spacing w:after="100"/>
        <w:jc w:val="both"/>
      </w:pPr>
      <w:r>
        <w:rPr>
          <w:sz w:val="21"/>
        </w:rPr>
        <w:t>EnergyLens is a Microsoft Fabric + web-app energy-intelligence and decision-support platform. Verified capability surface (from the live codebase): portfolio overview and per-building drill-down; energy/KPI monitoring (EUI, consumption, cost, CO2); anomaly alerts; recommendation engine + action tracking; a compliance hub (EPBD/MEPS radar, CRREM stranding, ESRS-E1, EU Taxonomy); decarbonisation / marginal abatement cost (MACC) curve; financing (BAFA/KfW subsidy capture); solar and battery analysis; an AI copilot; device/IoT connections; a full residential vertical (per-unit KPIs, UVI, resident view, manager dashboard); and a partner/white-label layer for consultants. [Certain]</w:t>
      </w:r>
    </w:p>
    <w:p>
      <w:pPr>
        <w:spacing w:after="100"/>
        <w:jc w:val="both"/>
      </w:pPr>
      <w:r>
        <w:rPr>
          <w:sz w:val="21"/>
        </w:rPr>
        <w:t>Honest reality gap: the platform currently runs largely on synthetic data. There is no live pilot, no real-building dataset, and no named reference yet. Closing that gap is the single highest-value next step. [Certain]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Ürün geniş ve gerçekten çalışıyor: portföy, KPI, alarm, öneri, uyum merkezi, MACC, finansman (BAFA/KfW), solar/batarya, copilot, IoT, residential dikey, partner/beyaz-etiket. AMA şu an çoğunlukla sentetik veriyle; pilot/gerçek-veri/referans YOK. En değerli sıradaki iş bu boşluğu kapatmak.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3. Market and competitive landscape</w:t>
      </w:r>
    </w:p>
    <w:p>
      <w:pPr>
        <w:spacing w:after="100"/>
        <w:jc w:val="both"/>
      </w:pPr>
      <w:r>
        <w:rPr>
          <w:sz w:val="21"/>
        </w:rPr>
        <w:t>The underlying problem is large and regulation-driven: EU minimum energy performance standards tighten through 2033, and EU building retrofit investment is estimated at up to EUR 175 bn per year. But the software layer is crowded and well-funded, and almost everyone fishes the institutional top of the market. [Certain]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fill="1F6B53"/>
          </w:tcPr>
          <w:p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2381"/>
            <w:shd w:val="clear" w:fill="1F6B53"/>
          </w:tcPr>
          <w:p>
            <w:r>
              <w:rPr>
                <w:b/>
                <w:color w:val="FFFFFF"/>
                <w:sz w:val="17"/>
              </w:rPr>
              <w:t>What they are</w:t>
            </w:r>
          </w:p>
        </w:tc>
        <w:tc>
          <w:tcPr>
            <w:tcW w:type="dxa" w:w="2608"/>
            <w:shd w:val="clear" w:fill="1F6B53"/>
          </w:tcPr>
          <w:p>
            <w:r>
              <w:rPr>
                <w:b/>
                <w:color w:val="FFFFFF"/>
                <w:sz w:val="17"/>
              </w:rPr>
              <w:t>Funding / scale</w:t>
            </w:r>
          </w:p>
        </w:tc>
        <w:tc>
          <w:tcPr>
            <w:tcW w:type="dxa" w:w="2381"/>
            <w:shd w:val="clear" w:fill="1F6B53"/>
          </w:tcPr>
          <w:p>
            <w:r>
              <w:rPr>
                <w:b/>
                <w:color w:val="FFFFFF"/>
                <w:sz w:val="17"/>
              </w:rPr>
              <w:t>Relevance to you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Deepki (FR)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Enterprise ESG data platform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EUR 150M raised; &gt;500 customers; ~EUR 4 trillion AUM; 80 countries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Top of market (funds, insurers). Not your fight.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Predium (DE)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All-in-one real-estate ESG (CRREM partner)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~EUR 19M (1.6+4.5+13M); Munich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Near-identical product, funded + CRREM-licensed. Avoid head-to-head.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Alasco (DE)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ESG + financial management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Funded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Overlaps your MACC/financing angle.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aedifion (DE)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Building optimisation / operations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~EUR 17-20M Series B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Deep/real-time building ops.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Measurabl (US)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Real-estate sustainability data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Large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Global enterprise.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Reneo (DE)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Residential decarbonisation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Funded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Direct to your residential vertical.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sz w:val="21"/>
        </w:rPr>
        <w:t>Over 29 software platforms integrate CRREM. The crowding does not kill your wedge; it confirms it: the small-to-mid segment that the funded players ignore is genuinely underserved. Your edge is not being them, it is the light, remote, software-enabled niche plus founder attention for accounts too small for the big ESCOs and ESG vendors. [Likely]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Problem büyük (EPBD 2033'e sıkışıyor, AB retrofit ~€175 milyar/yıl) ama yazılım katmanı kalabalık ve fonlu: Deepki (€150M, €4T), Predium (~€19M, CRREM partner, neredeyse aynı ürün), Alasco, aedifion, Measurabl, Reneo. Hepsi üst segmentte. Senin boşluğun: onların ihmal ettiği küçük-orta segment + danışman kanalı + hafif/uzaktan yaklaşım.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4. Who buys and why</w:t>
      </w:r>
    </w:p>
    <w:p>
      <w:pPr>
        <w:spacing w:after="100"/>
        <w:jc w:val="both"/>
      </w:pPr>
      <w:r>
        <w:rPr>
          <w:sz w:val="21"/>
        </w:rPr>
        <w:t>Approved wedge: small-to-mid German property managers (Hausverwaltung / Wohnungsunternehmen / Genossenschaften) managing portfolios of ~200-3,000+ units, with no in-house energy manager. The unit of sale is the PORTFOLIO, not the single building. [Certain]</w:t>
      </w:r>
    </w:p>
    <w:p>
      <w:pPr>
        <w:spacing w:after="100"/>
        <w:jc w:val="both"/>
      </w:pPr>
      <w:r>
        <w:rPr>
          <w:sz w:val="21"/>
        </w:rPr>
        <w:t>Important caveat: the pain-owner and the budget-owner can differ. A property manager often does not own the buildings; the CapEx and stranding risk sit with the owner. So position value to the manager as winning and keeping management mandates, advising owners, and automating compliance reporting — not as energy savings. [Likely]</w:t>
      </w:r>
    </w:p>
    <w:p>
      <w:pPr>
        <w:spacing w:after="100"/>
        <w:jc w:val="both"/>
      </w:pPr>
      <w:r>
        <w:rPr>
          <w:sz w:val="21"/>
        </w:rPr>
        <w:t>Second motion: high-consumption buildings (hotels, retail chains, cold storage, leisure/pools, private clinics) approached as an energy-consulting engagement (app as your tool), not as a SaaS sale to procurement. Why anyone pays in either motion: a regulatory deadline, stranding/penalty risk, scarce-CapEx prioritisation, and subsidy capture — never a vague save-energy pitch. [Likely]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Ana hedef (wedge): küçük-orta Alman Hausverwaltung, içeride enerji yöneticisi yok; satış birimi PORTFÖY. Dikkat: acıyı çeken (yönetici) ile bütçeyi tutan (mal sahibi) farklı olabilir → yöneticiye 'mandate kazan/koru + uyum otomasyonu' diye konumlan. İkinci hat: yüksek-tüketimli binalar (otel/perakende/depo/havuz/klinik) DANIŞMANLIK olarak. Niye öderler: deadline + stranding + CapEx önceliği + sübvansiyon; 'tasarruf' değil.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5. Regulatory drivers — the 'why now'</w:t>
      </w:r>
    </w:p>
    <w:p>
      <w:pPr>
        <w:spacing w:after="40"/>
        <w:ind w:left="283"/>
      </w:pPr>
      <w:r>
        <w:rPr>
          <w:sz w:val="21"/>
        </w:rPr>
        <w:t>•  EPBD / MEPS: EU minimum energy performance standards progressively tighten to 2030 and 2033; worst-performing stock must improve first. [Likely]</w:t>
      </w:r>
    </w:p>
    <w:p>
      <w:pPr>
        <w:spacing w:after="40"/>
        <w:ind w:left="283"/>
      </w:pPr>
      <w:r>
        <w:rPr>
          <w:sz w:val="21"/>
        </w:rPr>
        <w:t>•  HKVO / UVI (residential): from 1 January 2027, monthly consumption information to tenants is mandatory, with a 3% billing-cut penalty (sec. 12) for non-compliance. This is a hard, near, legal deadline your app automates — a strong compliance wedge. [Likely]</w:t>
      </w:r>
    </w:p>
    <w:p>
      <w:pPr>
        <w:spacing w:after="40"/>
        <w:ind w:left="283"/>
      </w:pPr>
      <w:r>
        <w:rPr>
          <w:sz w:val="21"/>
        </w:rPr>
        <w:t>•  CO2KostAufG: the carbon cost on heating is split between landlord and tenant by building efficiency — a recurring pain for managers (built in the app). [Likely]</w:t>
      </w:r>
    </w:p>
    <w:p>
      <w:pPr>
        <w:spacing w:after="40"/>
        <w:ind w:left="283"/>
      </w:pPr>
      <w:r>
        <w:rPr>
          <w:sz w:val="21"/>
        </w:rPr>
        <w:t>•  ETS2 (buildings + transport): start postponed to 2028; German national carbon price corridor EUR 55-65/t through 2027; BloombergNEF forecasts ~EUR 149/t by 2030 — the cost of doing nothing rises over time. [Likely]</w:t>
      </w:r>
    </w:p>
    <w:p>
      <w:pPr>
        <w:spacing w:after="40"/>
        <w:ind w:left="283"/>
      </w:pPr>
      <w:r>
        <w:rPr>
          <w:sz w:val="21"/>
        </w:rPr>
        <w:t>•  EU Battery Regulation 2023/1542 (note: the app references 1670 in places — correct to 1542). [Certain]</w:t>
      </w:r>
    </w:p>
    <w:p>
      <w:pPr>
        <w:spacing w:after="40"/>
        <w:ind w:left="283"/>
      </w:pPr>
      <w:r>
        <w:rPr>
          <w:sz w:val="21"/>
        </w:rPr>
        <w:t>•  CSRD Omnibus narrowed mandatory scope (&gt;1000 employees AND &gt;EUR 450M turnover, from FY2027). Position as 'ESRS-E1-aligned reporting,' never 'CSRD-compliant.' [Certain]</w:t>
      </w:r>
    </w:p>
    <w:p>
      <w:pPr>
        <w:spacing w:after="40"/>
        <w:ind w:left="283"/>
      </w:pPr>
      <w:r>
        <w:rPr>
          <w:sz w:val="21"/>
        </w:rPr>
        <w:t>•  German grid emission factor (UBA): 2024 = 363 g/kWh (declining). [Certain]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Neden şimdi: EPBD/MEPS 2030/2033; HKVO/UVI 1 Oca 2027 aylık tüketim zorunlu + §12 %3 ceza (en sert yakın deadline); CO2KostAufG ev sahibi/kiracı CO2 paylaşımı; ETS2 2028 + karbon fiyatı 2030'da ~€149/t; EU Battery Reg = 2023/1542 (app'te 1670 yanlış→düzelt); CSRD daraldı → 'ESRS-E1-aligned' de; DE grid 2024 = 363 g/kWh.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6. Business models and monetisation</w:t>
      </w:r>
    </w:p>
    <w:p>
      <w:pPr>
        <w:spacing w:after="100"/>
        <w:jc w:val="both"/>
      </w:pPr>
      <w:r>
        <w:rPr>
          <w:sz w:val="21"/>
        </w:rPr>
        <w:t>Subscriptions are a scale model, not a first-revenue model. Tiers: Free EUR 0, Basic EUR 99/mo, Monitor EUR 299/mo, Enterprise custom, Residential EUR 49/building + EUR 3/unit. These are healthy only past roughly 5 paying customers, because the Microsoft Fabric capacity floor is a fixed cost you must amortise. [Certain]</w:t>
      </w:r>
    </w:p>
    <w:p>
      <w:pPr>
        <w:spacing w:after="100"/>
        <w:jc w:val="both"/>
      </w:pPr>
      <w:r>
        <w:rPr>
          <w:sz w:val="21"/>
        </w:rPr>
        <w:t>Real Fabric capacity costs (verify before quoting): F2 about EUR 242/mo running 24/7 or about EUR 87/mo paused to business hours; F4 about EUR 484; F8 about EUR 967; F64 about EUR 7,740. The old 'EUR 32/mo' figure is wrong. The architecture decision to decouple real-time (Event Hubs + container hot store) from Fabric is load-bearing for margin: it keeps the first IoT customer profitable instead of -90%. [Certain]</w:t>
      </w:r>
    </w:p>
    <w:p>
      <w:pPr>
        <w:spacing w:after="100"/>
        <w:jc w:val="both"/>
      </w:pPr>
      <w:r>
        <w:rPr>
          <w:sz w:val="21"/>
        </w:rPr>
        <w:t>First-revenue models that fit a solo founder: productized consulting (a paid energy audit/screening, a retrofit + subsidy roadmap, a monitoring retainer, an annual ESG report) and a B2B2B consultant channel (sell through Energieberater who already hold client trust). [Likely]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Abonelik ölçek modeli (Free/Basic €99/Monitor €299/Residential €49+€3), ancak ~5 müşteriden sonra kârlı (Fabric kapasite tabanı sabit gider). Gerçek Fabric: F2≈€242 (7/24) ya da €87 (duraklatılmış), F64≈€7.740; '€32' yanlış. Marjı kurtaran karar: gerçek-zamanı Fabric'ten ayırmak (Decouple). İlk gelir için en uygunu: ürünleştirilmiş danışmanlık + danışman (B2B2B) kanalı.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7. Your right to operate + BAFA funding + certification (Germany)</w:t>
      </w:r>
    </w:p>
    <w:p>
      <w:pPr>
        <w:spacing w:after="100"/>
        <w:jc w:val="both"/>
      </w:pPr>
      <w:r>
        <w:rPr>
          <w:sz w:val="21"/>
        </w:rPr>
        <w:t>'Energieberater' is not a protected title. You may legally offer unsubsidised energy consulting, screening and analysis today with your engineering degree and M.Sc. — no licence needed. [Certain]</w:t>
      </w:r>
    </w:p>
    <w:p>
      <w:pPr>
        <w:spacing w:after="100"/>
        <w:jc w:val="both"/>
      </w:pPr>
      <w:r>
        <w:rPr>
          <w:sz w:val="21"/>
        </w:rPr>
        <w:t>Two exceptions require qualification: (a) to deliver SUBSIDISED consulting/audits and be the eligible expert on funding applications, you must be on dena's Energie-Effizienz-Experten (EEE) list; (b) to issue an official Energieausweis (EPC), you need sec. 88 GEG eligibility. [Certain]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fill="1F6B53"/>
          </w:tcPr>
          <w:p>
            <w:r>
              <w:rPr>
                <w:b/>
                <w:color w:val="FFFFFF"/>
                <w:sz w:val="17"/>
              </w:rPr>
              <w:t>BAFA item</w:t>
            </w:r>
          </w:p>
        </w:tc>
        <w:tc>
          <w:tcPr>
            <w:tcW w:type="dxa" w:w="2381"/>
            <w:shd w:val="clear" w:fill="1F6B53"/>
          </w:tcPr>
          <w:p>
            <w:r>
              <w:rPr>
                <w:b/>
                <w:color w:val="FFFFFF"/>
                <w:sz w:val="17"/>
              </w:rPr>
              <w:t>Who / what</w:t>
            </w:r>
          </w:p>
        </w:tc>
        <w:tc>
          <w:tcPr>
            <w:tcW w:type="dxa" w:w="2494"/>
            <w:shd w:val="clear" w:fill="1F6B53"/>
          </w:tcPr>
          <w:p>
            <w:r>
              <w:rPr>
                <w:b/>
                <w:color w:val="FFFFFF"/>
                <w:sz w:val="17"/>
              </w:rPr>
              <w:t>Rate &amp; cap</w:t>
            </w:r>
          </w:p>
        </w:tc>
        <w:tc>
          <w:tcPr>
            <w:tcW w:type="dxa" w:w="2268"/>
            <w:shd w:val="clear" w:fill="1F6B53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EBN / DIN EN 16247 audit (Module 1)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SME (KMU) non-residential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50% of fee; max EUR 3,000 if energy cost &gt;EUR 10k/yr net; else max EUR 600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Apply BEFORE start; valid to 31.12.2026; needs a listed expert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Goes to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The company/owner (applicant), not the consultant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Reimbursement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Lowers the client's cost of hiring you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sz w:val="21"/>
        </w:rPr>
        <w:t>EEE listing requirements (dena): a qualifying degree (engineering/architecture/physics/building services/mechanical/electrical) or a trade master, plus an energy-efficiency focus or ~2 years experience, plus a recognised continuing-education course (Fortbildung) for the category; then 24 CPD units per category every 3 years plus proof of practical projects. Your energy-engineering bachelor likely satisfies the technical base; a business-leaning 'Energy Management' M.Sc. alone may not, so verify your degree's eligibility against the dena rulebook (Regelheft). [Estimate]</w:t>
      </w:r>
    </w:p>
    <w:p>
      <w:pPr>
        <w:spacing w:after="100"/>
        <w:jc w:val="both"/>
      </w:pPr>
      <w:r>
        <w:rPr>
          <w:sz w:val="21"/>
        </w:rPr>
        <w:t>Recommendation: start with unsubsidised private screening/consulting now; in parallel either pursue EEE listing or — faster — partner with an already-listed Energieberater (B2B2B): the client gets the 50% subsidy, you do the analytics, and the certification question disappears. [Likely]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'Energieberater' korumalı unvan değil → mühendislik diploman + MSc'inle sübvansiyonsuz danışmanlığı bugün yapabilirsin. İki istisna: sübvansiyonlu audit için EEE listesi; resmî Energieausweis için §88 GEG. BAFA %50 (DIN EN 16247, KOBİ): müşteriye gider, maks €3.000/€600, 31.12.2026'ya kadar, listeli uzman şart. Senin için: önce sübvansiyonsuz başla; paralelde EEE'ye başvur ya da daha hızlısı listeli bir Energieberater ile ortaklan. Diploma uygunluğunu Regelheft'ten doğrula.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8. Service menu (what you sell, app-enabled)</w:t>
      </w:r>
    </w:p>
    <w:p>
      <w:pPr>
        <w:keepNext/>
        <w:spacing w:before="160" w:after="40"/>
      </w:pPr>
      <w:r>
        <w:rPr>
          <w:b/>
          <w:color w:val="2C2C2C"/>
          <w:sz w:val="22"/>
        </w:rPr>
        <w:t>One-off (project fee)</w:t>
      </w:r>
    </w:p>
    <w:p>
      <w:pPr>
        <w:spacing w:after="40"/>
        <w:ind w:left="283"/>
      </w:pPr>
      <w:r>
        <w:rPr>
          <w:sz w:val="21"/>
        </w:rPr>
        <w:t>•  Energy baseline + benchmark (e.g. kWh per guest-night for hotels).</w:t>
      </w:r>
    </w:p>
    <w:p>
      <w:pPr>
        <w:spacing w:after="40"/>
        <w:ind w:left="283"/>
      </w:pPr>
      <w:r>
        <w:rPr>
          <w:sz w:val="21"/>
        </w:rPr>
        <w:t>•  Anomaly / waste diagnosis + concrete fixes (HVAC scheduling, setpoints, overnight loads) = quick operational savings.</w:t>
      </w:r>
    </w:p>
    <w:p>
      <w:pPr>
        <w:spacing w:after="40"/>
        <w:ind w:left="283"/>
      </w:pPr>
      <w:r>
        <w:rPr>
          <w:sz w:val="21"/>
        </w:rPr>
        <w:t>•  Tariff / peak / load analysis (demand-charge reduction, load shifting).</w:t>
      </w:r>
    </w:p>
    <w:p>
      <w:pPr>
        <w:spacing w:after="40"/>
        <w:ind w:left="283"/>
      </w:pPr>
      <w:r>
        <w:rPr>
          <w:sz w:val="21"/>
        </w:rPr>
        <w:t>•  Retrofit prioritisation + ROI (MACC) — what to fund first.</w:t>
      </w:r>
    </w:p>
    <w:p>
      <w:pPr>
        <w:spacing w:after="40"/>
        <w:ind w:left="283"/>
      </w:pPr>
      <w:r>
        <w:rPr>
          <w:sz w:val="21"/>
        </w:rPr>
        <w:t>•  BAFA/KfW subsidy roadmap; compliance screening (EPBD/MEPS, CRREM, EPC); solar/battery feasibility + ROI.</w:t>
      </w:r>
    </w:p>
    <w:p>
      <w:pPr>
        <w:keepNext/>
        <w:spacing w:before="160" w:after="40"/>
      </w:pPr>
      <w:r>
        <w:rPr>
          <w:b/>
          <w:color w:val="2C2C2C"/>
          <w:sz w:val="22"/>
        </w:rPr>
        <w:t>Recurring (retainer)</w:t>
      </w:r>
    </w:p>
    <w:p>
      <w:pPr>
        <w:spacing w:after="40"/>
        <w:ind w:left="283"/>
      </w:pPr>
      <w:r>
        <w:rPr>
          <w:sz w:val="21"/>
        </w:rPr>
        <w:t>•  Continuous monitoring + alerting (deviation to action), monthly.</w:t>
      </w:r>
    </w:p>
    <w:p>
      <w:pPr>
        <w:spacing w:after="40"/>
        <w:ind w:left="283"/>
      </w:pPr>
      <w:r>
        <w:rPr>
          <w:sz w:val="21"/>
        </w:rPr>
        <w:t>•  Annual ESG / CO2 report (Scope 1/2, ESRS-E1-aligned) for chains/investors.</w:t>
      </w:r>
    </w:p>
    <w:p>
      <w:pPr>
        <w:spacing w:after="100"/>
        <w:jc w:val="both"/>
      </w:pPr>
      <w:r>
        <w:rPr>
          <w:sz w:val="21"/>
        </w:rPr>
        <w:t>How the industry works: heavy ESCOs do energy-performance contracting (investment-grade audit, guaranteed savings, they finance + implement, ongoing measurement &amp; verification); Energieberater do DIN EN 16247 audits (kickoff, on-site walk-through, analysis, report; BAFA-funded); EMS-as-a-service firms monitor BMS remotely 24/7. Analysis and monitoring are increasingly remote; detailed audits need a site visit. Your gap is the light, remote, software-enabled screening + advisory between pure software and the heavy ESCO. [Certain]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Satabileceğin hizmetler — tek seferlik: baz çizgisi/benchmark, israf teşhisi+düzeltme, tarife/puant, retrofit önceliği+ROI (MACC), sübvansiyon yol haritası, uyum taraması, solar/batarya fizibilite. Tekrarlayan: izleme+alarm (aylık), yıllık ESG/CO2 raporu. Sektör: ağır ESCO (EPC), Energieberater (DIN EN 16247 audit), uzaktan EMS hizmeti. Senin yerin: hafif, uzaktan, yazılım-destekli tarama+danışmanlık.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9. Go-to-market and pilots</w:t>
      </w:r>
    </w:p>
    <w:p>
      <w:pPr>
        <w:spacing w:after="100"/>
        <w:jc w:val="both"/>
      </w:pPr>
      <w:r>
        <w:rPr>
          <w:sz w:val="21"/>
        </w:rPr>
        <w:t>One objective: 1-2 real-data pilots producing one named case study — not many customers. Pilot offer (identical for all): free, time-boxed 6-8 weeks, 1-3 buildings, zero hardware (bills/meter exports only), RLS-isolated, fully managed by you; they get an EPBD/MEPS + retrofit-ROI + subsidy report, you get real data + a reference + a pricing conversation. [Likely]</w:t>
      </w:r>
    </w:p>
    <w:p>
      <w:pPr>
        <w:keepNext/>
        <w:spacing w:before="160" w:after="40"/>
      </w:pPr>
      <w:r>
        <w:rPr>
          <w:b/>
          <w:color w:val="2C2C2C"/>
          <w:sz w:val="22"/>
        </w:rPr>
        <w:t>Tracks (run in parallel, but land BSBI first)</w:t>
      </w:r>
    </w:p>
    <w:p>
      <w:pPr>
        <w:spacing w:after="40"/>
        <w:ind w:left="283"/>
      </w:pPr>
      <w:r>
        <w:rPr>
          <w:sz w:val="21"/>
        </w:rPr>
        <w:t>•  BSBI campus — warmest, academic capstone framing; most likely first reference. Mails drafted.</w:t>
      </w:r>
    </w:p>
    <w:p>
      <w:pPr>
        <w:spacing w:after="40"/>
        <w:ind w:left="283"/>
      </w:pPr>
      <w:r>
        <w:rPr>
          <w:sz w:val="21"/>
        </w:rPr>
        <w:t>•  C4 / Boris Peter — warm, but treat as a channel partner / credibility, not the ICP (he is at C4; embodied-carbon).</w:t>
      </w:r>
    </w:p>
    <w:p>
      <w:pPr>
        <w:spacing w:after="40"/>
        <w:ind w:left="283"/>
      </w:pPr>
      <w:r>
        <w:rPr>
          <w:sz w:val="21"/>
        </w:rPr>
        <w:t>•  Wedge Hausverwaltung — German cold email drafted; find via VDIV / GdW / BVI directories and LinkedIn (Geschaeftsfuehrer, Leiter Technik / Nachhaltigkeit / Bestandsmanagement).</w:t>
      </w:r>
    </w:p>
    <w:p>
      <w:pPr>
        <w:spacing w:after="40"/>
        <w:ind w:left="283"/>
      </w:pPr>
      <w:r>
        <w:rPr>
          <w:sz w:val="21"/>
        </w:rPr>
        <w:t>•  High-consumption sectors — hotels first (most approachable), then retail chains, then private clinics; reach Facility Manager / Head of Sustainability / Operations via sector associations (DEHOGA, HDE), IHK events, LinkedIn.</w:t>
      </w:r>
    </w:p>
    <w:p>
      <w:pPr>
        <w:spacing w:after="100"/>
        <w:jc w:val="both"/>
      </w:pPr>
      <w:r>
        <w:rPr>
          <w:sz w:val="21"/>
        </w:rPr>
        <w:t>Does a free pilot help? Yes — it removes budget/procurement/risk friction. Frame 'free' as purposeful (validating on real buildings / building references), qualify hard to avoid tyre-kickers, keep the first data ask tiny (just bills). And because BAFA funds energy consulting ~50%, the later paid stage is half-funded — you need not stay free for long. Pipeline math (solo-realistic): ~5 warm touches to 1 pilot (~4 weeks); ~40 targeted touches to 1 commercial pilot (~8 weeks). [Likely]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Tek hedef: 1-2 gerçek-veri pilotu → 1 isimli vaka çalışması. Teklif: ücretsiz, 6-8 hafta, donanımsız, RLS-izole. Sıra: önce BSBI; C4=kanal/kredibilite; wedge Hausverwaltung (VDIV/GdW/LinkedIn); yüksek-tüketimde önce otel. Ücretsiz pilot bariyeri düşürür; 'ücretsiz'i amaçlı çerçevele, ele/qualify et, ilk veri isteğini küçük tut; BAFA %50 sayesinde ücretli aşama yarı-fonlu. Boru hattı: ~5 sıcak temas→1 pilot; ~40 hedefli temas→1 ticari pilot.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10. Marketing and positioning</w:t>
      </w:r>
    </w:p>
    <w:p>
      <w:pPr>
        <w:spacing w:after="100"/>
        <w:jc w:val="both"/>
      </w:pPr>
      <w:r>
        <w:rPr>
          <w:sz w:val="21"/>
        </w:rPr>
        <w:t>For this conservative German B2B buyer, the channel is not Instagram or paid ads (that is a B2C playbook). What builds the brand, in priority order for a solo founder: (1) 2 real case studies as the core asset; (2) founder-led LinkedIn (your buyer is here, not Instagram); (3) one trade fair as a visitor/speaker — Expo Real, Munich, 5-7 October 2026, Europe's largest real-estate B2B fair with a PropTech 'Transform &amp; Beyond' area; (4) association presence (VDIV, GdW, DEHOGA, HDE) + webinars; (5) the consultant channel. Paid ads come last, if ever. [Likely]</w:t>
      </w:r>
    </w:p>
    <w:p>
      <w:pPr>
        <w:spacing w:after="100"/>
        <w:jc w:val="both"/>
      </w:pPr>
      <w:r>
        <w:rPr>
          <w:sz w:val="21"/>
        </w:rPr>
        <w:t>Reference point: Inavitas (Ankara, since 2012, 300+ business customers) grew via B2B industry channels, awards and partnerships over many years — not via consumer ads. Do not imitate Predium's capital-heavy enterprise GTM; learn its capital-light parts (positioning, credibility via standards, the subsidy-prioritised 'action engine' framing). Your LinkedIn job-seeking signal is now set to recruiters-only; the public 'Open to Work' frame is removed (hedge kept, founder posture restored). [Certain]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Bu alıcı için kanal Instagram/reklam DEĞİL. Marka sırası: 2 vaka çalışması (ana varlık) → kurucu-liderli LinkedIn → tek fuar (Expo Real, Münih, 5-7 Eki 2026) → dernekler (VDIV/GdW/DEHOGA/HDE)+webinar → danışman kanalı. Reklam en sonda. Inavitas da B2B kanallarla büyüdü, reklamla değil. Predium'un sermaye-ağır GTM'ini taklit etme; hafif kısımları öğren. LinkedIn artık recruiter-only (hedge korundu, founder duruşu döndü).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11. Strategic fork: boutique vs venture (+ investment)</w:t>
      </w:r>
    </w:p>
    <w:p>
      <w:pPr>
        <w:spacing w:after="100"/>
        <w:jc w:val="both"/>
      </w:pPr>
      <w:r>
        <w:rPr>
          <w:sz w:val="21"/>
        </w:rPr>
        <w:t>Good news: the first 9 months are identical on every path — reference, productize the offer, open the consultant channel, reach 3-5 paying customers. The boutique-vs-venture choice is made later, on evidence, not now. [Likely]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1F6B53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835"/>
            <w:shd w:val="clear" w:fill="1F6B53"/>
          </w:tcPr>
          <w:p>
            <w:r>
              <w:rPr>
                <w:b/>
                <w:color w:val="FFFFFF"/>
                <w:sz w:val="17"/>
              </w:rPr>
              <w:t>Boutique / micro-SaaS + service</w:t>
            </w:r>
          </w:p>
        </w:tc>
        <w:tc>
          <w:tcPr>
            <w:tcW w:type="dxa" w:w="2835"/>
            <w:shd w:val="clear" w:fill="1F6B53"/>
          </w:tcPr>
          <w:p>
            <w:r>
              <w:rPr>
                <w:b/>
                <w:color w:val="FFFFFF"/>
                <w:sz w:val="17"/>
              </w:rPr>
              <w:t>Venture / scale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Capital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EXIST (~EUR 45k) + revenue; no raise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Pre-seed ~EUR 0.3-1M; needs traction first; dilutive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Low; freelance/job hedge intact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High; full commitment, most fail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Income ceiling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~EUR 5-30k MRR; capped by your hours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High if it works; ~zero if not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Needs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Sales + delivery discipline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Commercial/German co-founder, defensible wedge, fast growth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Fit today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Low-to-medium (no team, no traction)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sz w:val="21"/>
        </w:rPr>
        <w:t>Investment probability today is low: solo, no traction, no co-founder, synthetic data, funded competitors. Levers that change it: traction (3-5 paying + a repeatable channel), a commercial/German co-founder, a defensible deadline-wedge (e.g. HKVO/UVI 2027 residential), and genuinely wanting the venture path. Capital ladder for your situation: grants (EXIST) first, then revenue, then angel/pre-seed only if you choose venture. Default to boutique-first; keep venture as an option that traction unlocks. [Estimate]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İlk 9 ay her yolda AYNI (referans→ürünleştir→kanal→3-5 ödeyen); çatal sonra, veriyle. Butik: düşük risk, ~€5-30k MRR, saatinle sınırlı; Girişim: yüksek risk/ödül, ortak+traction+wedge ister. Bugün yatırım ihtimali düşük; kaldıraçlar: traction + ticari/Almanca ortak + deadline-wedge (HKVO 2027) + venture'ı gerçekten istemek. Merdiven: grant(EXIST)→gelir→sonra angel. Varsayılan: önce butik, venture opsiyon.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12. What to learn + immediate actions</w:t>
      </w:r>
    </w:p>
    <w:p>
      <w:pPr>
        <w:keepNext/>
        <w:spacing w:before="160" w:after="40"/>
      </w:pPr>
      <w:r>
        <w:rPr>
          <w:b/>
          <w:color w:val="2C2C2C"/>
          <w:sz w:val="22"/>
        </w:rPr>
        <w:t>Learn (depth)</w:t>
      </w:r>
    </w:p>
    <w:p>
      <w:pPr>
        <w:spacing w:after="40"/>
        <w:ind w:left="283"/>
      </w:pPr>
      <w:r>
        <w:rPr>
          <w:sz w:val="21"/>
        </w:rPr>
        <w:t>•  EPBD/MEPS national transposition timelines; CRREM methodology + commercial licensing (Predium is a CRREM partner).</w:t>
      </w:r>
    </w:p>
    <w:p>
      <w:pPr>
        <w:spacing w:after="40"/>
        <w:ind w:left="283"/>
      </w:pPr>
      <w:r>
        <w:rPr>
          <w:sz w:val="21"/>
        </w:rPr>
        <w:t>•  BAFA/KfW programmes (EBN, DIN EN 16247, BEG, iSFP) and the EEE listing rulebook (Regelheft).</w:t>
      </w:r>
    </w:p>
    <w:p>
      <w:pPr>
        <w:spacing w:after="40"/>
        <w:ind w:left="283"/>
      </w:pPr>
      <w:r>
        <w:rPr>
          <w:sz w:val="21"/>
        </w:rPr>
        <w:t>•  German energy-consulting workflow (DIN EN 16247) and basic B2B sales/discovery skills.</w:t>
      </w:r>
    </w:p>
    <w:p>
      <w:pPr>
        <w:spacing w:after="40"/>
        <w:ind w:left="283"/>
      </w:pPr>
      <w:r>
        <w:rPr>
          <w:sz w:val="21"/>
        </w:rPr>
        <w:t>•  Per-vertical energy logic (hotel occupancy normalisation; retail refrigeration; residential heat-cost / HKVO).</w:t>
      </w:r>
    </w:p>
    <w:p>
      <w:pPr>
        <w:keepNext/>
        <w:spacing w:before="160" w:after="40"/>
      </w:pPr>
      <w:r>
        <w:rPr>
          <w:b/>
          <w:color w:val="2C2C2C"/>
          <w:sz w:val="22"/>
        </w:rPr>
        <w:t>Do (this month)</w:t>
      </w:r>
    </w:p>
    <w:p>
      <w:pPr>
        <w:spacing w:after="40"/>
        <w:ind w:left="283"/>
      </w:pPr>
      <w:r>
        <w:rPr>
          <w:sz w:val="21"/>
        </w:rPr>
        <w:t>•  Send BSBI supervisor + facility-manager mails; send the light Boris and Alexander follow-ups (drafted).</w:t>
      </w:r>
    </w:p>
    <w:p>
      <w:pPr>
        <w:spacing w:after="40"/>
        <w:ind w:left="283"/>
      </w:pPr>
      <w:r>
        <w:rPr>
          <w:sz w:val="21"/>
        </w:rPr>
        <w:t>•  Run founder go-live: CP-1 (report) and CP-2 (bridge + 2-customer RLS isolation test) in your Fabric; apply DB migrations; deploy.</w:t>
      </w:r>
    </w:p>
    <w:p>
      <w:pPr>
        <w:spacing w:after="40"/>
        <w:ind w:left="283"/>
      </w:pPr>
      <w:r>
        <w:rPr>
          <w:sz w:val="21"/>
        </w:rPr>
        <w:t>•  Verify your degree against the dena Regelheft; decide EEE listing vs partnering with a listed Energieberater.</w:t>
      </w:r>
    </w:p>
    <w:p>
      <w:pPr>
        <w:spacing w:after="40"/>
        <w:ind w:left="283"/>
      </w:pPr>
      <w:r>
        <w:rPr>
          <w:sz w:val="21"/>
        </w:rPr>
        <w:t>•  Pick the first sector where you have a warm door; send the pilot one-pager (PDF) + intake form (Excel).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Öğren: EPBD/MEPS takvimi, CRREM + lisans, BAFA/KfW (EBN, DIN EN 16247, BEG, iSFP) + EEE Regelheft, DIN EN 16247 iş akışı, B2B satış, dikey-bazlı enerji mantığı. Yap (bu ay): BSBI/Boris/Alexander mailleri; CP-1/CP-2 + migration + deploy; diploma uygunluğunu Regelheft'ten kontrol et (EEE mi ortak mı); sıcak kapın olan ilk sektöre pilot PDF + Excel formu yolla.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3" w:color="1F6B53"/>
        </w:pBdr>
      </w:pPr>
      <w:r>
        <w:rPr>
          <w:b/>
          <w:color w:val="1F6B53"/>
          <w:sz w:val="28"/>
        </w:rPr>
        <w:t>13. Sources</w:t>
      </w:r>
    </w:p>
    <w:p>
      <w:pPr>
        <w:spacing w:after="40"/>
        <w:ind w:left="283"/>
      </w:pPr>
      <w:r>
        <w:rPr>
          <w:sz w:val="21"/>
        </w:rPr>
        <w:t>•  BAFA — Energieberatung Nichtwohngebäude (EBN): bafa.de/DE/Energie/Energieberatung/Nichtwohngebaeude_Anlagen_Systeme</w:t>
      </w:r>
    </w:p>
    <w:p>
      <w:pPr>
        <w:spacing w:after="40"/>
        <w:ind w:left="283"/>
      </w:pPr>
      <w:r>
        <w:rPr>
          <w:sz w:val="21"/>
        </w:rPr>
        <w:t>•  BAFA — Modul 1: Energieaudit DIN EN 16247 (50%, max EUR 3,000/600; to 31.12.2026)</w:t>
      </w:r>
    </w:p>
    <w:p>
      <w:pPr>
        <w:spacing w:after="40"/>
        <w:ind w:left="283"/>
      </w:pPr>
      <w:r>
        <w:rPr>
          <w:sz w:val="21"/>
        </w:rPr>
        <w:t>•  Energie-Effizienz-Experten (dena) — listing requirements + Regelheft: energie-effizienz-experten.de</w:t>
      </w:r>
    </w:p>
    <w:p>
      <w:pPr>
        <w:spacing w:after="40"/>
        <w:ind w:left="283"/>
      </w:pPr>
      <w:r>
        <w:rPr>
          <w:sz w:val="21"/>
        </w:rPr>
        <w:t>•  §88 GEG eligibility; 'Energieberater' not a protected title (geb-info.de; buzer.de/88_GEG)</w:t>
      </w:r>
    </w:p>
    <w:p>
      <w:pPr>
        <w:spacing w:after="40"/>
        <w:ind w:left="283"/>
      </w:pPr>
      <w:r>
        <w:rPr>
          <w:sz w:val="21"/>
        </w:rPr>
        <w:t>•  Predium: en.predium.de; €13M raise (proptechbuzz); CRREM partner (crrem.org/license-partners/predium)</w:t>
      </w:r>
    </w:p>
    <w:p>
      <w:pPr>
        <w:spacing w:after="40"/>
        <w:ind w:left="283"/>
      </w:pPr>
      <w:r>
        <w:rPr>
          <w:sz w:val="21"/>
        </w:rPr>
        <w:t>•  Deepki: €150M raise + €4T AUM (Medium/One Peak); deepki.com</w:t>
      </w:r>
    </w:p>
    <w:p>
      <w:pPr>
        <w:spacing w:after="40"/>
        <w:ind w:left="283"/>
      </w:pPr>
      <w:r>
        <w:rPr>
          <w:sz w:val="21"/>
        </w:rPr>
        <w:t>•  Competitors: Predium/Deepki/Measurabl/Alasco/blue auditor/aedifion/Reneo (cbinsights, tracxn, esgtoday)</w:t>
      </w:r>
    </w:p>
    <w:p>
      <w:pPr>
        <w:spacing w:after="40"/>
        <w:ind w:left="283"/>
      </w:pPr>
      <w:r>
        <w:rPr>
          <w:sz w:val="21"/>
        </w:rPr>
        <w:t>•  Microsoft Fabric pricing (F-SKU ladder): azure.microsoft.com/pricing/details/microsoft-fabric</w:t>
      </w:r>
    </w:p>
    <w:p>
      <w:pPr>
        <w:spacing w:after="40"/>
        <w:ind w:left="283"/>
      </w:pPr>
      <w:r>
        <w:rPr>
          <w:sz w:val="21"/>
        </w:rPr>
        <w:t>•  EPBD 2024 / MEPS to 2033 (European Commission); EU retrofit ~€175bn/yr</w:t>
      </w:r>
    </w:p>
    <w:p>
      <w:pPr>
        <w:spacing w:after="40"/>
        <w:ind w:left="283"/>
      </w:pPr>
      <w:r>
        <w:rPr>
          <w:sz w:val="21"/>
        </w:rPr>
        <w:t>•  ETS2 to 2028 + ~€149/t by 2030 (Clean Energy Wire; BloombergNEF); UBA DE grid 2024 = 363 g/kWh</w:t>
      </w:r>
    </w:p>
    <w:p>
      <w:pPr>
        <w:spacing w:after="40"/>
        <w:ind w:left="283"/>
      </w:pPr>
      <w:r>
        <w:rPr>
          <w:sz w:val="21"/>
        </w:rPr>
        <w:t>•  Expo Real Munich, 5-7 Oct 2026 (exporeal.net); Inavitas (inavitas.com; Crunchbase)</w:t>
      </w:r>
    </w:p>
    <w:p>
      <w:pPr>
        <w:spacing w:after="40"/>
        <w:ind w:left="283"/>
      </w:pPr>
      <w:r>
        <w:rPr>
          <w:sz w:val="21"/>
        </w:rPr>
        <w:t>•  ESCO / EPC + M&amp;V (US DOE; EVO); remote EMS-as-a-service (E.ON; gridX)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AF3EF"/>
          </w:tcPr>
          <w:p>
            <w:r>
              <w:rPr>
                <w:i/>
                <w:color w:val="555555"/>
                <w:sz w:val="19"/>
              </w:rPr>
              <w:t>TR — Tüm sayılar yukarıdaki resmî/birincil kaynaklardan; rakamlar (özellikle Fabric fiyatları ve BAFA tavanları) teklif/karar öncesi tekrar doğrulanmalı.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