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i w:val="0"/>
          <w:color w:val="0B6E4F"/>
          <w:sz w:val="72"/>
        </w:rPr>
        <w:t>EnergyLens</w:t>
      </w:r>
    </w:p>
    <w:p>
      <w:pPr>
        <w:spacing w:after="120"/>
        <w:jc w:val="center"/>
      </w:pPr>
      <w:r>
        <w:rPr>
          <w:b w:val="0"/>
          <w:i w:val="0"/>
          <w:color w:val="333333"/>
          <w:sz w:val="40"/>
        </w:rPr>
        <w:t>Platform Showcase &amp; Walkthrough</w:t>
      </w:r>
    </w:p>
    <w:p>
      <w:pPr>
        <w:spacing w:after="480"/>
        <w:jc w:val="center"/>
      </w:pPr>
      <w:r>
        <w:rPr>
          <w:b w:val="0"/>
          <w:i/>
          <w:color w:val="666666"/>
          <w:sz w:val="24"/>
        </w:rPr>
        <w:t>Microsoft Fabric-native Energy Intelligence for Commercial Buildings</w:t>
      </w:r>
    </w:p>
    <w:p>
      <w:pPr>
        <w:spacing w:after="80"/>
        <w:jc w:val="center"/>
      </w:pPr>
      <w:r>
        <w:rPr>
          <w:b w:val="0"/>
          <w:i w:val="0"/>
          <w:color w:val="333333"/>
          <w:sz w:val="24"/>
        </w:rPr>
        <w:t>Prepared for: Dr. Kaddour Chelabi (BSBI) — mentor meeting</w:t>
      </w:r>
    </w:p>
    <w:p>
      <w:pPr>
        <w:spacing w:after="80"/>
        <w:jc w:val="center"/>
      </w:pPr>
      <w:r>
        <w:rPr>
          <w:b w:val="0"/>
          <w:i w:val="0"/>
          <w:color w:val="333333"/>
          <w:sz w:val="24"/>
        </w:rPr>
        <w:t>By: Ali Mert Özdemir — Founder · M.Sc. Energy Management (BSBI) · Microsoft DP-600</w:t>
      </w:r>
    </w:p>
    <w:p>
      <w:pPr>
        <w:spacing w:after="80"/>
        <w:jc w:val="center"/>
      </w:pPr>
      <w:r>
        <w:rPr>
          <w:b w:val="0"/>
          <w:i w:val="0"/>
          <w:color w:val="1155CC"/>
          <w:sz w:val="22"/>
        </w:rPr>
        <w:t>Demo video: https://youtu.be/0IiqssHYtkY</w:t>
      </w:r>
    </w:p>
    <w:p>
      <w:pPr>
        <w:pStyle w:val="Heading1"/>
      </w:pPr>
      <w:r>
        <w:t>How to use this document</w:t>
      </w:r>
    </w:p>
    <w:p>
      <w:pPr>
        <w:spacing w:after="120"/>
      </w:pPr>
      <w:r>
        <w:t>This document is your guided walkthrough of EnergyLens. It is built so you can present every part of the platform to Dr. Chelabi with confidence — visual by visual, button by button.</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Bu dokümanın mantığı: HER bölümde önce bir gri kutu var = oraya kendi ekran kaydını/screenshot'ını yapıştıracaksın. Altındaki İngilizce metin = hocaya söyleyeceğin/okuyacağın açıklama (ne gösterdiği + nasıl hesaplandığı). Turuncu COACHING kutuları = hoca derine inerse ne diyeceğin (sadece SENİN için, hocaya gösterme). Önce ayrı Master Referans (.md) dokümanını oku; bu showcase onun sahne hali.</w:t>
            </w:r>
          </w:p>
        </w:tc>
      </w:tr>
    </w:tbl>
    <w:p>
      <w:pPr>
        <w:spacing w:after="40"/>
      </w:pPr>
    </w:p>
    <w:p>
      <w:pPr>
        <w:spacing w:after="100"/>
      </w:pPr>
      <w:r>
        <w:rPr>
          <w:b/>
        </w:rPr>
        <w:t xml:space="preserve">Reading the boxes: </w:t>
      </w:r>
      <w:r/>
    </w:p>
    <w:p>
      <w:pPr>
        <w:pStyle w:val="ListBullet"/>
        <w:spacing w:after="40"/>
      </w:pPr>
      <w:r>
        <w:t>GRAY box = drop your screen recording or screenshot here.</w:t>
      </w:r>
    </w:p>
    <w:p>
      <w:pPr>
        <w:pStyle w:val="ListBullet"/>
        <w:spacing w:after="40"/>
      </w:pPr>
      <w:r>
        <w:t>Plain English text = what to say while showing it (what it shows + how it is calculated).</w:t>
      </w:r>
    </w:p>
    <w:p>
      <w:pPr>
        <w:pStyle w:val="ListBullet"/>
        <w:spacing w:after="40"/>
      </w:pPr>
      <w:r>
        <w:t>ORANGE COACHING box = Turkish prompt for you only, in case the professor digs deeper.</w:t>
      </w:r>
    </w:p>
    <w:p>
      <w:pPr>
        <w:spacing w:after="120"/>
      </w:pPr>
      <w:r>
        <w:t>Honesty principle: where a number is an estimate (indicative / screening / modeled), say so plainly and give the roadmap. With an energy academic, honest framing builds more credibility than a confident wrong answer. The Master Reference document, Section 9, lists every known limitation and its honest framing.</w:t>
      </w:r>
    </w:p>
    <w:p>
      <w:pPr>
        <w:pStyle w:val="Heading1"/>
      </w:pPr>
      <w:r>
        <w:t>Suggested presentation flow (20-30 min)</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shd w:val="clear" w:color="auto" w:fill="D5E8F0"/>
          </w:tcPr>
          <w:p>
            <w:r/>
            <w:r>
              <w:rPr>
                <w:b/>
              </w:rPr>
              <w:t>Min</w:t>
            </w:r>
          </w:p>
        </w:tc>
        <w:tc>
          <w:tcPr>
            <w:tcW w:type="dxa" w:w="3009"/>
            <w:shd w:val="clear" w:color="auto" w:fill="D5E8F0"/>
          </w:tcPr>
          <w:p>
            <w:r/>
            <w:r>
              <w:rPr>
                <w:b/>
              </w:rPr>
              <w:t>Segment</w:t>
            </w:r>
          </w:p>
        </w:tc>
        <w:tc>
          <w:tcPr>
            <w:tcW w:type="dxa" w:w="3009"/>
            <w:shd w:val="clear" w:color="auto" w:fill="D5E8F0"/>
          </w:tcPr>
          <w:p>
            <w:r/>
            <w:r>
              <w:rPr>
                <w:b/>
              </w:rPr>
              <w:t>What you do</w:t>
            </w:r>
          </w:p>
        </w:tc>
      </w:tr>
      <w:tr>
        <w:tc>
          <w:tcPr>
            <w:tcW w:type="dxa" w:w="3009"/>
          </w:tcPr>
          <w:p>
            <w:r>
              <w:t>0-5</w:t>
            </w:r>
          </w:p>
        </w:tc>
        <w:tc>
          <w:tcPr>
            <w:tcW w:type="dxa" w:w="3009"/>
          </w:tcPr>
          <w:p>
            <w:r>
              <w:t>Open &amp; who you are</w:t>
            </w:r>
          </w:p>
        </w:tc>
        <w:tc>
          <w:tcPr>
            <w:tcW w:type="dxa" w:w="3009"/>
          </w:tcPr>
          <w:p>
            <w:r>
              <w:t>Thank him for the LinkedIn reply. One-paragraph intro of EnergyLens + your background (DP-600, M.Sc., 5-week solo build).</w:t>
            </w:r>
          </w:p>
        </w:tc>
      </w:tr>
      <w:tr>
        <w:tc>
          <w:tcPr>
            <w:tcW w:type="dxa" w:w="3009"/>
          </w:tcPr>
          <w:p>
            <w:r>
              <w:t>5-8</w:t>
            </w:r>
          </w:p>
        </w:tc>
        <w:tc>
          <w:tcPr>
            <w:tcW w:type="dxa" w:w="3009"/>
          </w:tcPr>
          <w:p>
            <w:r>
              <w:t>The problem</w:t>
            </w:r>
          </w:p>
        </w:tc>
        <w:tc>
          <w:tcPr>
            <w:tcW w:type="dxa" w:w="3009"/>
          </w:tcPr>
          <w:p>
            <w:r>
              <w:t>40% of EU energy, 36% of CO2 in commercial buildings; tightening EU regulation; mid-market is blind. Why now.</w:t>
            </w:r>
          </w:p>
        </w:tc>
      </w:tr>
      <w:tr>
        <w:tc>
          <w:tcPr>
            <w:tcW w:type="dxa" w:w="3009"/>
          </w:tcPr>
          <w:p>
            <w:r>
              <w:t>8-18</w:t>
            </w:r>
          </w:p>
        </w:tc>
        <w:tc>
          <w:tcPr>
            <w:tcW w:type="dxa" w:w="3009"/>
          </w:tcPr>
          <w:p>
            <w:r>
              <w:t>Live walkthrough</w:t>
            </w:r>
          </w:p>
        </w:tc>
        <w:tc>
          <w:tcPr>
            <w:tcW w:type="dxa" w:w="3009"/>
          </w:tcPr>
          <w:p>
            <w:r>
              <w:t>Show web app + Power BI report + AI Copilot (use Parts A/B/C below as your script).</w:t>
            </w:r>
          </w:p>
        </w:tc>
      </w:tr>
      <w:tr>
        <w:tc>
          <w:tcPr>
            <w:tcW w:type="dxa" w:w="3009"/>
          </w:tcPr>
          <w:p>
            <w:r>
              <w:t>18-22</w:t>
            </w:r>
          </w:p>
        </w:tc>
        <w:tc>
          <w:tcPr>
            <w:tcW w:type="dxa" w:w="3009"/>
          </w:tcPr>
          <w:p>
            <w:r>
              <w:t>The ask: EXIST</w:t>
            </w:r>
          </w:p>
        </w:tc>
        <w:tc>
          <w:tcPr>
            <w:tcW w:type="dxa" w:w="3009"/>
          </w:tcPr>
          <w:p>
            <w:r>
              <w:t>Academic mentor letter (required for EXIST) + optional advisory.</w:t>
            </w:r>
          </w:p>
        </w:tc>
      </w:tr>
      <w:tr>
        <w:tc>
          <w:tcPr>
            <w:tcW w:type="dxa" w:w="3009"/>
          </w:tcPr>
          <w:p>
            <w:r>
              <w:t>22-27</w:t>
            </w:r>
          </w:p>
        </w:tc>
        <w:tc>
          <w:tcPr>
            <w:tcW w:type="dxa" w:w="3009"/>
          </w:tcPr>
          <w:p>
            <w:r>
              <w:t>BSBI pilot offer</w:t>
            </w:r>
          </w:p>
        </w:tc>
        <w:tc>
          <w:tcPr>
            <w:tcW w:type="dxa" w:w="3009"/>
          </w:tcPr>
          <w:p>
            <w:r>
              <w:t>Free 6-month campus pilot, zero risk, RLS-secured, M.Sc. capstone + case study.</w:t>
            </w:r>
          </w:p>
        </w:tc>
      </w:tr>
      <w:tr>
        <w:tc>
          <w:tcPr>
            <w:tcW w:type="dxa" w:w="3009"/>
          </w:tcPr>
          <w:p>
            <w:r>
              <w:t>27-30</w:t>
            </w:r>
          </w:p>
        </w:tc>
        <w:tc>
          <w:tcPr>
            <w:tcW w:type="dxa" w:w="3009"/>
          </w:tcPr>
          <w:p>
            <w:r>
              <w:t>Q&amp;A + next step</w:t>
            </w:r>
          </w:p>
        </w:tc>
        <w:tc>
          <w:tcPr>
            <w:tcW w:type="dxa" w:w="3009"/>
          </w:tcPr>
          <w:p>
            <w:r>
              <w:t>Answer honestly; agree a concrete next step (letter draft, follow-up).</w:t>
            </w:r>
          </w:p>
        </w:tc>
      </w:tr>
    </w:tbl>
    <w:p>
      <w:pPr>
        <w:spacing w:after="40"/>
      </w:pP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Zaman baskısı olursa kesilebilir kısım: Part B'deki ikincil app sayfaları (admin/billing/settings). Asla kesme: Portfolio + Sustainability (Page 6) + AI Copilot + IoT (Page 8) + EXIST talebi + pilot teklifi. Demoyu kısa tut, soru-cevaba yer bırak; akademisyenler diyaloğu sever.</w:t>
            </w:r>
          </w:p>
        </w:tc>
      </w:tr>
    </w:tbl>
    <w:p>
      <w:pPr>
        <w:spacing w:after="40"/>
      </w:pPr>
    </w:p>
    <w:p>
      <w:pPr>
        <w:pStyle w:val="Heading1"/>
      </w:pPr>
      <w:r>
        <w:t>Demo backup plan (if something breaks)</w:t>
      </w:r>
    </w:p>
    <w:p>
      <w:pPr>
        <w:spacing w:after="100"/>
      </w:pPr>
      <w:r>
        <w:rPr>
          <w:b/>
        </w:rPr>
        <w:t xml:space="preserve">If the internet is down or the live app fails: </w:t>
      </w:r>
      <w:r>
        <w:t>play the recorded demo video — https://youtu.be/0IiqssHYtkY (about 3.5 minutes). It covers the full flow.</w:t>
      </w:r>
    </w:p>
    <w:p>
      <w:pPr>
        <w:spacing w:after="100"/>
      </w:pPr>
      <w:r>
        <w:rPr>
          <w:b/>
        </w:rPr>
        <w:t xml:space="preserve">If the live report does not load: </w:t>
      </w:r>
      <w:r>
        <w:t>use the screenshots you embedded in this document (that is exactly why the gray boxes exist — fill them in advance).</w:t>
      </w:r>
    </w:p>
    <w:p>
      <w:pPr>
        <w:spacing w:after="100"/>
      </w:pPr>
      <w:r>
        <w:rPr>
          <w:b/>
        </w:rPr>
        <w:t xml:space="preserve">If the Power BI embed is slow: </w:t>
      </w:r>
      <w:r>
        <w:t>open the report directly in Power BI Service / Desktop, or talk over the screenshots.</w:t>
      </w:r>
    </w:p>
    <w:p>
      <w:pPr>
        <w:spacing w:after="100"/>
      </w:pPr>
      <w:r>
        <w:rPr>
          <w:b/>
        </w:rPr>
        <w:t xml:space="preserve">Carry on paper / PDF: </w:t>
      </w:r>
      <w:r>
        <w:t>a one-page executive summary and the pitch deck PDF, in case you want to leave something physical.</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ÖNEMLİ: Demoyu canlı yapmadan ÖNCE her gri kutuyu kendi ekran kaydın/screenshot'ınla doldur. Böylece internet çökse veya Fabric trial kapalı olsa bile bu doküman tek başına tam bir sunum olur. Laptop şarjlı, login önceden yapılmış, /demo sekmesi açık gelsin. Backup video telefonunda da indirili olsun.</w:t>
            </w:r>
          </w:p>
        </w:tc>
      </w:tr>
    </w:tbl>
    <w:p>
      <w:pPr>
        <w:spacing w:after="40"/>
      </w:pPr>
    </w:p>
    <w:p>
      <w:pPr>
        <w:pStyle w:val="Heading1"/>
      </w:pPr>
      <w:r>
        <w:t>Contents</w:t>
      </w:r>
    </w:p>
    <w:p>
      <w:r>
        <w:fldChar w:fldCharType="begin"/>
        <w:instrText xml:space="preserve">TOC \o "1-2" \h \z \u</w:instrText>
        <w:fldChar w:fldCharType="separate"/>
        <w:t>Right-click and 'Update Field' to populate.</w:t>
        <w:fldChar w:fldCharType="end"/>
      </w:r>
    </w:p>
    <w:p>
      <w:pPr>
        <w:pStyle w:val="Heading1"/>
      </w:pPr>
      <w:r>
        <w:t>Part A — The Power BI Report (9 pages)</w:t>
      </w:r>
    </w:p>
    <w:p>
      <w:pPr>
        <w:spacing w:after="120"/>
      </w:pPr>
      <w:r>
        <w:t>The 9-page Power BI report is the analytical core, reading the Gold layer of the Microsoft Fabric Lakehouse through DirectLake mode. For each page: the question it answers, the user it serves, the key visuals, and how the numbers are calculated.</w:t>
      </w:r>
    </w:p>
    <w:p>
      <w:pPr>
        <w:pStyle w:val="Heading2"/>
      </w:pPr>
      <w:r>
        <w:t>Page 1 — Portfolio Overview</w:t>
      </w:r>
    </w:p>
    <w:p>
      <w:pPr>
        <w:spacing w:after="100"/>
      </w:pPr>
      <w:r>
        <w:rPr>
          <w:b/>
        </w:rPr>
        <w:t xml:space="preserve">Question: </w:t>
      </w:r>
      <w:r>
        <w:t>How is my building portfolio doing this month?  Reader: Energy Manager / C-suite.</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1: pan across the KPI cards (total kWh, total cost EUR, total CO2), the per-building EUI heat map, and the 'worst-3 buildings' list.</w:t>
            </w:r>
          </w:p>
          <w:p>
            <w:pPr>
              <w:spacing w:after="40"/>
            </w:pPr>
            <w:r>
              <w:t>Mert: ekran kaydını veya screenshot'ı buraya yapıştır.</w:t>
            </w:r>
          </w:p>
        </w:tc>
      </w:tr>
    </w:tbl>
    <w:p>
      <w:pPr>
        <w:spacing w:after="40"/>
      </w:pPr>
    </w:p>
    <w:p>
      <w:pPr>
        <w:spacing w:after="100"/>
      </w:pPr>
      <w:r>
        <w:rPr>
          <w:b/>
        </w:rPr>
        <w:t xml:space="preserve">What it shows: </w:t>
      </w:r>
      <w:r>
        <w:t>Portfolio-level totals and a per-building Energy Use Intensity (EUI) comparison, with the worst performers surfaced against their building-type benchmark.</w:t>
      </w:r>
    </w:p>
    <w:p>
      <w:pPr>
        <w:spacing w:after="100"/>
      </w:pPr>
      <w:r>
        <w:rPr>
          <w:b/>
        </w:rPr>
        <w:t xml:space="preserve">How it is calculated: </w:t>
      </w:r>
      <w:r>
        <w:t>EUI = annual kWh / conditioned area (m2). Climate-adjusted EUI normalizes by Heating + Cooling Degree Days (HDD base 15C, CDD base 22C, EN ISO 15927-6) so Berlin and Istanbul buildings compare fairly. Source: gold_kpi_daily aggregated to portfolio level.</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Hoca 'iklim düzeltmesi' sorarsa: ratio metot, HDD+CDD birlikte, referans baseline ile. CDD'yi de katıyorum (eskiden sadece HDD'ye bölüyordum, düzelttim). Benchmark: Office &lt;80 excellent, 80-130 good, 130-200 average, &gt;200 poor.</w:t>
            </w:r>
          </w:p>
        </w:tc>
      </w:tr>
    </w:tbl>
    <w:p>
      <w:pPr>
        <w:spacing w:after="40"/>
      </w:pPr>
    </w:p>
    <w:p>
      <w:pPr>
        <w:pStyle w:val="Heading2"/>
      </w:pPr>
      <w:r>
        <w:t>Page 2 — Building Deep-Dive</w:t>
      </w:r>
    </w:p>
    <w:p>
      <w:pPr>
        <w:spacing w:after="100"/>
      </w:pPr>
      <w:r>
        <w:rPr>
          <w:b/>
        </w:rPr>
        <w:t xml:space="preserve">Question: </w:t>
      </w:r>
      <w:r>
        <w:t>What is this building doing right now?  Reader: Facility Manager.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2 for one building: the 24-hour hourly demand profile, today's peak vs baseline, and cost-to-date.</w:t>
            </w:r>
          </w:p>
          <w:p>
            <w:pPr>
              <w:spacing w:after="40"/>
            </w:pPr>
            <w:r>
              <w:t>Mert: ekran kaydını veya screenshot'ı buraya yapıştır.</w:t>
            </w:r>
          </w:p>
        </w:tc>
      </w:tr>
    </w:tbl>
    <w:p>
      <w:pPr>
        <w:spacing w:after="40"/>
      </w:pPr>
    </w:p>
    <w:p>
      <w:pPr>
        <w:spacing w:after="100"/>
      </w:pPr>
      <w:r>
        <w:rPr>
          <w:b/>
        </w:rPr>
        <w:t xml:space="preserve">What it shows: </w:t>
      </w:r>
      <w:r>
        <w:t>A single building's hourly demand curve, peak demand vs baseline, month-to-date cost, and climate-adjusted EUI.</w:t>
      </w:r>
    </w:p>
    <w:p>
      <w:pPr>
        <w:spacing w:after="100"/>
      </w:pPr>
      <w:r>
        <w:rPr>
          <w:b/>
        </w:rPr>
        <w:t xml:space="preserve">How it is calculated: </w:t>
      </w:r>
      <w:r>
        <w:t>Hourly kW from gold_kpi_hourly; peak demand = MAX(demand_kw); base load = MIN during 02:00-04:00 (a high base load means equipment never sleeps). Source filtered by building_id.</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Solar'ı olan binada PR'a fazla girme: gerçek irradiance (Open-Meteo) geldi ama solar üretim hâlâ sentetik, PR'da gürültü olabilir. 'Weather is real, generation is still synthetic for the demo' de.</w:t>
            </w:r>
          </w:p>
        </w:tc>
      </w:tr>
    </w:tbl>
    <w:p>
      <w:pPr>
        <w:spacing w:after="40"/>
      </w:pPr>
    </w:p>
    <w:p>
      <w:pPr>
        <w:pStyle w:val="Heading2"/>
      </w:pPr>
      <w:r>
        <w:t>Page 3 — Anomaly Detection</w:t>
      </w:r>
    </w:p>
    <w:p>
      <w:pPr>
        <w:spacing w:after="100"/>
      </w:pPr>
      <w:r>
        <w:rPr>
          <w:b/>
        </w:rPr>
        <w:t xml:space="preserve">Question: </w:t>
      </w:r>
      <w:r>
        <w:t>Where is energy being wasted or a fault developing?  Reader: Facility / Energy Manager.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3: the anomaly count by severity, the type breakdown, and the anomaly table with estimated EUR loss and resolution status.</w:t>
            </w:r>
          </w:p>
          <w:p>
            <w:pPr>
              <w:spacing w:after="40"/>
            </w:pPr>
            <w:r>
              <w:t>Mert: ekran kaydını veya screenshot'ı buraya yapıştır.</w:t>
            </w:r>
          </w:p>
        </w:tc>
      </w:tr>
    </w:tbl>
    <w:p>
      <w:pPr>
        <w:spacing w:after="40"/>
      </w:pPr>
    </w:p>
    <w:p>
      <w:pPr>
        <w:spacing w:after="100"/>
      </w:pPr>
      <w:r>
        <w:rPr>
          <w:b/>
        </w:rPr>
        <w:t xml:space="preserve">What it shows: </w:t>
      </w:r>
      <w:r>
        <w:t>Detected anomalies by severity (LOW/MEDIUM/HIGH/CRITICAL) and type, each with a probable cause, a recommended action, and an estimated euro loss.</w:t>
      </w:r>
    </w:p>
    <w:p>
      <w:pPr>
        <w:spacing w:after="100"/>
      </w:pPr>
      <w:r>
        <w:rPr>
          <w:b/>
        </w:rPr>
        <w:t xml:space="preserve">How it is calculated: </w:t>
      </w:r>
      <w:r>
        <w:t>One authoritative engine (anomaly_detection.py). Rules e.g. Consumption spike = current &gt; 1.5x rolling average for same hour/day-type AND weather not the cause; After-hours waste; COP degradation; Solar underperformance. Trilingual output (EN/DE/TR).</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Hoca 'COP anomalisi gerçek COP'tan mı?' sorarsa: COP gerçek olarak sadece ısı pompalı binada var; diğerlerinde proxy (screening). Solar PR anomalisinde sentetik-üretim gürültüsü olabilir. Eskiden iki motor çakışıyordu, tek motora indirdim (dürüstlük puanı).</w:t>
            </w:r>
          </w:p>
        </w:tc>
      </w:tr>
    </w:tbl>
    <w:p>
      <w:pPr>
        <w:spacing w:after="40"/>
      </w:pPr>
    </w:p>
    <w:p>
      <w:pPr>
        <w:pStyle w:val="Heading2"/>
      </w:pPr>
      <w:r>
        <w:t>Page 4 — Forecasting</w:t>
      </w:r>
    </w:p>
    <w:p>
      <w:pPr>
        <w:spacing w:after="100"/>
      </w:pPr>
      <w:r>
        <w:rPr>
          <w:b/>
        </w:rPr>
        <w:t xml:space="preserve">Question: </w:t>
      </w:r>
      <w:r>
        <w:t>What will next month / quarter cost?  Reader: Energy / Sustainability Manager.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4: the 7/30/90-day forecast line with its confidence band, plus forecast cost and CO2.</w:t>
            </w:r>
          </w:p>
          <w:p>
            <w:pPr>
              <w:spacing w:after="40"/>
            </w:pPr>
            <w:r>
              <w:t>Mert: ekran kaydını veya screenshot'ı buraya yapıştır.</w:t>
            </w:r>
          </w:p>
        </w:tc>
      </w:tr>
    </w:tbl>
    <w:p>
      <w:pPr>
        <w:spacing w:after="40"/>
      </w:pPr>
    </w:p>
    <w:p>
      <w:pPr>
        <w:spacing w:after="100"/>
      </w:pPr>
      <w:r>
        <w:rPr>
          <w:b/>
        </w:rPr>
        <w:t xml:space="preserve">What it shows: </w:t>
      </w:r>
      <w:r>
        <w:t>Per-building consumption forecast with a confidence band, translated into forecast cost and CO2.</w:t>
      </w:r>
    </w:p>
    <w:p>
      <w:pPr>
        <w:spacing w:after="100"/>
      </w:pPr>
      <w:r>
        <w:rPr>
          <w:b/>
        </w:rPr>
        <w:t xml:space="preserve">How it is calculated: </w:t>
      </w:r>
      <w:r>
        <w:t>Meta's Prophet model, per building, with Heating/Cooling Degree Days and occupancy as regressors; building-type-aware thresholds.</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DÜRÜST OL: doğruluk (MAPE) şu an in-sample ölçülüyor — yani modeli kendi eğitim verisinde test ediyorum, bu iyimser. 'For a client-facing accuracy figure I would use rolling-origin cross-validation' de. Bu, istatistik bilen birine güven verir.</w:t>
            </w:r>
          </w:p>
        </w:tc>
      </w:tr>
    </w:tbl>
    <w:p>
      <w:pPr>
        <w:spacing w:after="40"/>
      </w:pPr>
    </w:p>
    <w:p>
      <w:pPr>
        <w:pStyle w:val="Heading2"/>
      </w:pPr>
      <w:r>
        <w:t>Page 5 — Decision Support</w:t>
      </w:r>
    </w:p>
    <w:p>
      <w:pPr>
        <w:spacing w:after="100"/>
      </w:pPr>
      <w:r>
        <w:rPr>
          <w:b/>
        </w:rPr>
        <w:t xml:space="preserve">Question: </w:t>
      </w:r>
      <w:r>
        <w:t>What should I do, in what order, and what does it save?  Reader: Energy / Sustainability Manager.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5: the ranked recommendations with estimated savings (EUR/kWh/CO2 per year), effort, payback, and matched incentive programs.</w:t>
            </w:r>
          </w:p>
          <w:p>
            <w:pPr>
              <w:spacing w:after="40"/>
            </w:pPr>
            <w:r>
              <w:t>Mert: ekran kaydını veya screenshot'ı buraya yapıştır.</w:t>
            </w:r>
          </w:p>
        </w:tc>
      </w:tr>
    </w:tbl>
    <w:p>
      <w:pPr>
        <w:spacing w:after="40"/>
      </w:pPr>
    </w:p>
    <w:p>
      <w:pPr>
        <w:spacing w:after="100"/>
      </w:pPr>
      <w:r>
        <w:rPr>
          <w:b/>
        </w:rPr>
        <w:t xml:space="preserve">What it shows: </w:t>
      </w:r>
      <w:r>
        <w:t>Actions ranked by a priority score, each with estimated annual savings, implementation effort, payback years, and matching grants (KfW, BAFA, YEKA, EEG).</w:t>
      </w:r>
    </w:p>
    <w:p>
      <w:pPr>
        <w:spacing w:after="100"/>
      </w:pPr>
      <w:r>
        <w:rPr>
          <w:b/>
        </w:rPr>
        <w:t xml:space="preserve">How it is calculated: </w:t>
      </w:r>
      <w:r>
        <w:t>Multi-country regulatory scoring (DE GEG/EnEfG/EEG, AT, NL, TR BEP-TR, EU EPBD) + incentive matching. priority_score ~ (saving x urgency) / effort.</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Bir 'CSRD score' görürsen: bunu eu_taxonomy_score / csrd_disclosure_readiness'e yeniden adlandırdım. 'CSRD bir açıklama direktifidir, bir kg/m2 limiti değil' — bunu bil, hoca bayılır.</w:t>
            </w:r>
          </w:p>
        </w:tc>
      </w:tr>
    </w:tbl>
    <w:p>
      <w:pPr>
        <w:spacing w:after="40"/>
      </w:pPr>
    </w:p>
    <w:p>
      <w:pPr>
        <w:pStyle w:val="Heading2"/>
      </w:pPr>
      <w:r>
        <w:t>Page 6 — Sustainability (ESG / GHG) — the flagship reporting page</w:t>
      </w:r>
    </w:p>
    <w:p>
      <w:pPr>
        <w:spacing w:after="100"/>
      </w:pPr>
      <w:r>
        <w:rPr>
          <w:b/>
        </w:rPr>
        <w:t xml:space="preserve">Question: </w:t>
      </w:r>
      <w:r>
        <w:t>What is my carbon footprint and am I ready for EU reporting?  Reader: Sustainability Manager, ESG consultant, auditor.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6: the Scope 1/2/3 donut, year-over-year Scope bar, the area-weighted EPC heat map, and the ESG score.</w:t>
            </w:r>
          </w:p>
          <w:p>
            <w:pPr>
              <w:spacing w:after="40"/>
            </w:pPr>
            <w:r>
              <w:t>Mert: ekran kaydını veya screenshot'ı buraya yapıştır.</w:t>
            </w:r>
          </w:p>
        </w:tc>
      </w:tr>
    </w:tbl>
    <w:p>
      <w:pPr>
        <w:spacing w:after="40"/>
      </w:pPr>
    </w:p>
    <w:p>
      <w:pPr>
        <w:spacing w:after="100"/>
      </w:pPr>
      <w:r>
        <w:rPr>
          <w:b/>
        </w:rPr>
        <w:t xml:space="preserve">What it shows: </w:t>
      </w:r>
      <w:r>
        <w:t>Greenhouse-gas emissions split into Scope 1/2/3, an area-weighted EPC compliance map, and a 0-100 ESG score.</w:t>
      </w:r>
    </w:p>
    <w:p>
      <w:pPr>
        <w:spacing w:after="100"/>
      </w:pPr>
      <w:r>
        <w:rPr>
          <w:b/>
        </w:rPr>
        <w:t xml:space="preserve">How it is calculated: </w:t>
      </w:r>
      <w:r>
        <w:t>Scope 2 = grid kWh x year-indexed official emission factor (DE: UBA series; TR: 0.442 TEIAS) from a single reference table. EPC portfolio score is area-weighted: DIVIDE(SUMX(area x score), SUMX(area)) — not a plain average. ESG score = 40% EUI + 30% CO2 intensity + 20% renewable share + 10% compliance.</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BU SAYFA EN HASSAS. Dürüst çerçeve: 'Scope 1/2 is solid with auditable lineage; Scope 3 is currently a screening estimate (8% of S1+S2, flagged not-disclosure-grade); market-based Scope 2 mechanism is in place but needs real supplier data to diverge.' Asla 'audited CSRD disclosure' DEME — 'ESRS-E1-aligned reporting support' de. Emisyon faktörü: eskiden 4 dosyada çelişkiliydi, tek referans tablosuna indirdim (lineage hikâyesi).</w:t>
            </w:r>
          </w:p>
        </w:tc>
      </w:tr>
    </w:tbl>
    <w:p>
      <w:pPr>
        <w:spacing w:after="40"/>
      </w:pPr>
    </w:p>
    <w:p>
      <w:pPr>
        <w:pStyle w:val="Heading2"/>
      </w:pPr>
      <w:r>
        <w:t>Page 7 — HVAC &amp; Hourly Profile</w:t>
      </w:r>
    </w:p>
    <w:p>
      <w:pPr>
        <w:spacing w:after="100"/>
      </w:pPr>
      <w:r>
        <w:rPr>
          <w:b/>
        </w:rPr>
        <w:t xml:space="preserve">Question: </w:t>
      </w:r>
      <w:r>
        <w:t>Is my heating/cooling system efficient?  Reader: Facility Manager, owner.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7: the heat-pump COP (actual vs rated), the supply/return temperature delta, HVAC runtime, and HVAC share of total.</w:t>
            </w:r>
          </w:p>
          <w:p>
            <w:pPr>
              <w:spacing w:after="40"/>
            </w:pPr>
            <w:r>
              <w:t>Mert: ekran kaydını veya screenshot'ı buraya yapıştır.</w:t>
            </w:r>
          </w:p>
        </w:tc>
      </w:tr>
    </w:tbl>
    <w:p>
      <w:pPr>
        <w:spacing w:after="40"/>
      </w:pPr>
    </w:p>
    <w:p>
      <w:pPr>
        <w:spacing w:after="100"/>
      </w:pPr>
      <w:r>
        <w:rPr>
          <w:b/>
        </w:rPr>
        <w:t xml:space="preserve">What it shows: </w:t>
      </w:r>
      <w:r>
        <w:t>Heat-pump Coefficient of Performance vs its rated value, air supply/return delta as an efficiency proxy, and HVAC's share of total consumption across the 10-building portfolio.</w:t>
      </w:r>
    </w:p>
    <w:p>
      <w:pPr>
        <w:spacing w:after="100"/>
      </w:pPr>
      <w:r>
        <w:rPr>
          <w:b/>
        </w:rPr>
        <w:t xml:space="preserve">How it is calculated: </w:t>
      </w:r>
      <w:r>
        <w:t>COP = heat produced / electricity consumed; compared within equivalent outdoor-temperature bands (so a cold-weather dip is not mistaken for a fault). COP &lt; 0.80 of rated = MEDIUM alert, &lt; 0.60 = HIGH.</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DÜRÜST OL: HVAC ısıtma/soğutma/havalandırma SPLIT'i sub-metered DEĞİL — bina-tipi katsayısı + hava şekliyle modellenmiş. Bir HVAC mühendisi bunu hemen anlar. 'Modeled split using the HDD/CDD method; sub-metering refines this, a Tier-3 upsell' de. COP gerçek sadece ısı pompalı binada.</w:t>
            </w:r>
          </w:p>
        </w:tc>
      </w:tr>
    </w:tbl>
    <w:p>
      <w:pPr>
        <w:spacing w:after="40"/>
      </w:pPr>
    </w:p>
    <w:p>
      <w:pPr>
        <w:pStyle w:val="Heading2"/>
      </w:pPr>
      <w:r>
        <w:t>Page 8 — Real-Time IoT Monitoring (FLAGSHIP)</w:t>
      </w:r>
    </w:p>
    <w:p>
      <w:pPr>
        <w:spacing w:after="100"/>
      </w:pPr>
      <w:r>
        <w:rPr>
          <w:b/>
        </w:rPr>
        <w:t xml:space="preserve">Question: </w:t>
      </w:r>
      <w:r>
        <w:t>What is happening in my buildings right now, and which fault is burning money?  Reader: Facility + Energy Manager.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8: the 4 KPI cards (real-time kW, zone comfort %, CO2 level, active alerts + est. EUR), the 24h power trend (building vs HVAC), the sensor uptime matrix, and the FDD diagnostics table.</w:t>
            </w:r>
          </w:p>
          <w:p>
            <w:pPr>
              <w:spacing w:after="40"/>
            </w:pPr>
            <w:r>
              <w:t>Mert: ekran kaydını veya screenshot'ı buraya yapıştır.</w:t>
            </w:r>
          </w:p>
        </w:tc>
      </w:tr>
    </w:tbl>
    <w:p>
      <w:pPr>
        <w:spacing w:after="40"/>
      </w:pPr>
    </w:p>
    <w:p>
      <w:pPr>
        <w:spacing w:after="100"/>
      </w:pPr>
      <w:r>
        <w:rPr>
          <w:b/>
        </w:rPr>
        <w:t xml:space="preserve">What it shows: </w:t>
      </w:r>
      <w:r>
        <w:t>Live building power vs baseline, zone comfort compliance, CO2 level, and automated fault diagnostics with an estimated daily euro cost.</w:t>
      </w:r>
    </w:p>
    <w:p>
      <w:pPr>
        <w:spacing w:after="100"/>
      </w:pPr>
      <w:r>
        <w:rPr>
          <w:b/>
        </w:rPr>
        <w:t xml:space="preserve">How it is calculated: </w:t>
      </w:r>
      <w:r>
        <w:t>Architecture: Event Hub -&gt; EventStream -&gt; KQL Eventhouse + Lakehouse. Automated Fault Detection &amp; Diagnostics follows ASHRAE Guideline 36: 12 rules across zone/AHU/chiller/boiler/pump/building, with frozen fault codes, confidence, priority score and probable cause. sensor_type is a dimension — each building shows only its connected sensors. ~31 sensor types; multi-protocol adapters (BACnet, Modbus, MQTT). Cost = duration x power_waste_kw x grid_price (from the tariff reference table), always labelled 'Est.'</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BU APP'IN EN GÜÇLÜ TARAFI — vurgula. 'This is sector-grade: ASHRAE Guideline 36 AFDD, the same standard commercial BMS vendors use.' Demoda statik snapshot canlı görünür (trial sonrası EventStream kapalı olsa bile). Hoca 'gerçek sensör mü?' derse: 'multi-protocol adapter framework is ready; the demo uses a static snapshot, production uses EventStream for real time.'</w:t>
            </w:r>
          </w:p>
        </w:tc>
      </w:tr>
    </w:tbl>
    <w:p>
      <w:pPr>
        <w:spacing w:after="40"/>
      </w:pPr>
    </w:p>
    <w:p>
      <w:pPr>
        <w:pStyle w:val="Heading2"/>
      </w:pPr>
      <w:r>
        <w:t>Page 9 — Battery Dispatch &amp; ROI</w:t>
      </w:r>
    </w:p>
    <w:p>
      <w:pPr>
        <w:spacing w:after="100"/>
      </w:pPr>
      <w:r>
        <w:rPr>
          <w:b/>
        </w:rPr>
        <w:t xml:space="preserve">Question: </w:t>
      </w:r>
      <w:r>
        <w:t>Should I invest in a battery — which chemistry/strategy, and when does it pay back?  Reader: Energy Manager, CFO, investor.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Page 9: the battery technology matrix (chemistry x country), the 7 dispatch strategies compared, and payback / NPV / IRR with the EU compliance flag.</w:t>
            </w:r>
          </w:p>
          <w:p>
            <w:pPr>
              <w:spacing w:after="40"/>
            </w:pPr>
            <w:r>
              <w:t>Mert: ekran kaydını veya screenshot'ı buraya yapıştır.</w:t>
            </w:r>
          </w:p>
        </w:tc>
      </w:tr>
    </w:tbl>
    <w:p>
      <w:pPr>
        <w:spacing w:after="40"/>
      </w:pPr>
    </w:p>
    <w:p>
      <w:pPr>
        <w:spacing w:after="100"/>
      </w:pPr>
      <w:r>
        <w:rPr>
          <w:b/>
        </w:rPr>
        <w:t xml:space="preserve">What it shows: </w:t>
      </w:r>
      <w:r>
        <w:t>A financial comparison of battery chemistries (LFP/NCA/NMC/Solid-State) across countries and dispatch strategies, with payback, NPV, IRR, and an EU Battery Regulation 2023/1670 compliance flag.</w:t>
      </w:r>
    </w:p>
    <w:p>
      <w:pPr>
        <w:spacing w:after="100"/>
      </w:pPr>
      <w:r>
        <w:rPr>
          <w:b/>
        </w:rPr>
        <w:t xml:space="preserve">How it is calculated: </w:t>
      </w:r>
      <w:r>
        <w:t>NPV with 5% discount over 10 years (plus inflation and salvage), Newton-Raphson IRR, simple payback. Country-specific electricity pricing (ENTSO-E for DE/EU). 12 countries x 8 chemistries x 7 strategies.</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CFO SAYFASI — dürüst ol: 'The ROI model structure is correct, but current savings are an upper bound: all discharge is valued at the peak tariff. I am refining it to price discharge by the hour it displaces, making payback more conservative.' Aşırı iyimser sayılara (örn. 1.6 yıl payback) odaklanma, model yapısını vurgula.</w:t>
            </w:r>
          </w:p>
        </w:tc>
      </w:tr>
    </w:tbl>
    <w:p>
      <w:pPr>
        <w:spacing w:after="40"/>
      </w:pPr>
    </w:p>
    <w:p>
      <w:pPr>
        <w:pStyle w:val="Heading1"/>
      </w:pPr>
      <w:r>
        <w:t>Part B — The Web Application</w:t>
      </w:r>
    </w:p>
    <w:p>
      <w:pPr>
        <w:spacing w:after="120"/>
      </w:pPr>
      <w:r>
        <w:t>The web app (Next.js + FastAPI + Azure PostgreSQL, three-provider authentication) wraps the locked Power BI report with navigation, access control, custom React pages reading Fabric via the SQL Analytics Endpoint, the AI Copilot, PDF export and audit logging. Three-layer access: RLS (data) + app navigation (modules) + subscription (tier).</w:t>
      </w:r>
    </w:p>
    <w:p>
      <w:pPr>
        <w:pStyle w:val="Heading2"/>
      </w:pPr>
      <w:r>
        <w:t>Landing, Login &amp; Onboarding</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the landing page, the login screen (3 providers: Microsoft, Google, Email), and the 5-step onboarding wizard.</w:t>
            </w:r>
          </w:p>
          <w:p>
            <w:pPr>
              <w:spacing w:after="40"/>
            </w:pPr>
            <w:r>
              <w:t>Mert: ekran kaydını veya screenshot'ı buraya yapıştır.</w:t>
            </w:r>
          </w:p>
        </w:tc>
      </w:tr>
    </w:tbl>
    <w:p>
      <w:pPr>
        <w:spacing w:after="40"/>
      </w:pPr>
    </w:p>
    <w:p>
      <w:pPr>
        <w:spacing w:after="100"/>
      </w:pPr>
      <w:r>
        <w:rPr>
          <w:b/>
        </w:rPr>
        <w:t xml:space="preserve">What it does: </w:t>
      </w:r>
      <w:r>
        <w:t>Branded entry (EnergyLens 'Emerald Pulse'). Three-provider auth (Microsoft Entra ID, Google, Email/Password with bcrypt). New users go through a mandatory 5-step onboarding wizard that creates their first building (incl. solar basics).</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Hoca 'auth nasıl?' derse: 3 sağlayıcı, JWT, org_id token içinde. Onboarding zorunlu çünkü bina + solar temeli olmadan portfolio boş olur.</w:t>
            </w:r>
          </w:p>
        </w:tc>
      </w:tr>
    </w:tbl>
    <w:p>
      <w:pPr>
        <w:spacing w:after="40"/>
      </w:pPr>
    </w:p>
    <w:p>
      <w:pPr>
        <w:pStyle w:val="Heading2"/>
      </w:pPr>
      <w:r>
        <w:t>/portfolio — the home dashboard</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/portfolio: the portfolio KPI row (kWh, cost, CO2, EUI), the on-site solar KPI row, the buildings table, and the 'Export PDF' button.</w:t>
            </w:r>
          </w:p>
          <w:p>
            <w:pPr>
              <w:spacing w:after="40"/>
            </w:pPr>
            <w:r>
              <w:t>Mert: ekran kaydını veya screenshot'ı buraya yapıştır.</w:t>
            </w:r>
          </w:p>
        </w:tc>
      </w:tr>
    </w:tbl>
    <w:p>
      <w:pPr>
        <w:spacing w:after="40"/>
      </w:pPr>
    </w:p>
    <w:p>
      <w:pPr>
        <w:spacing w:after="100"/>
      </w:pPr>
      <w:r>
        <w:rPr>
          <w:b/>
        </w:rPr>
        <w:t xml:space="preserve">What it does: </w:t>
      </w:r>
      <w:r>
        <w:t>Portfolio-wide KPIs and a per-building table. Reads the Fabric Lakehouse directly through the SQL Analytics Endpoint (ODBC/pyodbc, not DAX). Includes a 'data not connected' banner, glossary tooltips on jargon, and a PDF export.</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Hoca 'PBI embed değil mi?' derse: 'This page is custom React reading Fabric via the SQL Analytics Endpoint — one of three parallel data paths into Fabric.' Bu, mimari olgunluk sinyali.</w:t>
            </w:r>
          </w:p>
        </w:tc>
      </w:tr>
    </w:tbl>
    <w:p>
      <w:pPr>
        <w:spacing w:after="40"/>
      </w:pPr>
    </w:p>
    <w:p>
      <w:pPr>
        <w:pStyle w:val="Heading2"/>
      </w:pPr>
      <w:r>
        <w:t>/buildings, /buildings/[id], /buildings/compare</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the buildings list (cards with a city-skyline motif), one building detail page with the embedded Power BI report, and the compare view.</w:t>
            </w:r>
          </w:p>
          <w:p>
            <w:pPr>
              <w:spacing w:after="40"/>
            </w:pPr>
            <w:r>
              <w:t>Mert: ekran kaydını veya screenshot'ı buraya yapıştır.</w:t>
            </w:r>
          </w:p>
        </w:tc>
      </w:tr>
    </w:tbl>
    <w:p>
      <w:pPr>
        <w:spacing w:after="40"/>
      </w:pPr>
    </w:p>
    <w:p>
      <w:pPr>
        <w:spacing w:after="100"/>
      </w:pPr>
      <w:r>
        <w:rPr>
          <w:b/>
        </w:rPr>
        <w:t xml:space="preserve">What it does: </w:t>
      </w:r>
      <w:r>
        <w:t>List of buildings (selection persists, sticky compare bar) -&gt; building detail with the embedded Power BI report (service principal, V2 embed API, DirectLake, persistent in-place navigation) -&gt; side-by-side compare. Module-locked deep links: if a building has no IoT or battery, those report pages show a 'locked' preview.</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Embed tekniği: app-owns-data (service principal), böylece son kullanıcı PBI lisansı gerektirmez. 'Reports stay a locked, version-controlled template; the app layer adds navigation and access control.'</w:t>
            </w:r>
          </w:p>
        </w:tc>
      </w:tr>
    </w:tbl>
    <w:p>
      <w:pPr>
        <w:spacing w:after="40"/>
      </w:pPr>
    </w:p>
    <w:p>
      <w:pPr>
        <w:pStyle w:val="Heading2"/>
      </w:pPr>
      <w:r>
        <w:t>/solar — dedicated solar page</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/solar: the solar KPI cards and the custom generation / self-consumption visuals.</w:t>
            </w:r>
          </w:p>
          <w:p>
            <w:pPr>
              <w:spacing w:after="40"/>
            </w:pPr>
            <w:r>
              <w:t>Mert: ekran kaydını veya screenshot'ı buraya yapıştır.</w:t>
            </w:r>
          </w:p>
        </w:tc>
      </w:tr>
    </w:tbl>
    <w:p>
      <w:pPr>
        <w:spacing w:after="40"/>
      </w:pPr>
    </w:p>
    <w:p>
      <w:pPr>
        <w:spacing w:after="100"/>
      </w:pPr>
      <w:r>
        <w:rPr>
          <w:b/>
        </w:rPr>
        <w:t xml:space="preserve">What it does: </w:t>
      </w:r>
      <w:r>
        <w:t>A dedicated solar view (custom SVG, no chart dependency): self-consumption rate, self-sufficiency rate, yield and performance ratio.</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Self-consumption vs self-sufficiency farkını bil (Master doc 2.3): biri 'ürettiğimin ne kadarını kullandım', diğeri 'ihtiyacımın ne kadarını solar'dan karşıladım'.</w:t>
            </w:r>
          </w:p>
        </w:tc>
      </w:tr>
    </w:tbl>
    <w:p>
      <w:pPr>
        <w:spacing w:after="40"/>
      </w:pPr>
    </w:p>
    <w:p>
      <w:pPr>
        <w:pStyle w:val="Heading2"/>
      </w:pPr>
      <w:r>
        <w:t>/compliance — EU-agenda hub (positions us next to Schneider / Siemens)</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/compliance: scroll through the 5 panels (MEPS radar, CRREM stranding, Flexibility readiness, EU Taxonomy, ESRS-E1 summary) and the 'Export PDF'.</w:t>
            </w:r>
          </w:p>
          <w:p>
            <w:pPr>
              <w:spacing w:after="40"/>
            </w:pPr>
            <w:r>
              <w:t>Mert: ekran kaydını veya screenshot'ı buraya yapıştır.</w:t>
            </w:r>
          </w:p>
        </w:tc>
      </w:tr>
    </w:tbl>
    <w:p>
      <w:pPr>
        <w:spacing w:after="40"/>
      </w:pPr>
    </w:p>
    <w:p>
      <w:pPr>
        <w:spacing w:after="100"/>
      </w:pPr>
      <w:r>
        <w:rPr>
          <w:b/>
        </w:rPr>
        <w:t xml:space="preserve">What it does: </w:t>
      </w:r>
      <w:r>
        <w:t>Five EU-regulation features in one hub, all with an always-visible anti-greenwashing caveat:</w:t>
      </w:r>
    </w:p>
    <w:p>
      <w:pPr>
        <w:pStyle w:val="ListBullet"/>
        <w:spacing w:after="40"/>
      </w:pPr>
      <w:r>
        <w:t>MEPS Radar — EPBD 2030/2033 renovation-risk banding by EPC (and EUI as a secondary signal).</w:t>
      </w:r>
    </w:p>
    <w:p>
      <w:pPr>
        <w:pStyle w:val="ListBullet"/>
        <w:spacing w:after="40"/>
      </w:pPr>
      <w:r>
        <w:t>CRREM Stranding — each building's indicative 'stranding year' against a 1.5C decarbonization pathway (2025-&gt;2050).</w:t>
      </w:r>
    </w:p>
    <w:p>
      <w:pPr>
        <w:pStyle w:val="ListBullet"/>
        <w:spacing w:after="40"/>
      </w:pPr>
      <w:r>
        <w:t>Flexibility Readiness — demand-response readiness from asset flags (battery / IoT / PV), in the context of the Demand Response Network Code (~2027).</w:t>
      </w:r>
    </w:p>
    <w:p>
      <w:pPr>
        <w:pStyle w:val="ListBullet"/>
        <w:spacing w:after="40"/>
      </w:pPr>
      <w:r>
        <w:t>EU Taxonomy — Activity 7.7 'alignment indication' (climate-mitigation substantial contribution only).</w:t>
      </w:r>
    </w:p>
    <w:p>
      <w:pPr>
        <w:pStyle w:val="ListBullet"/>
        <w:spacing w:after="40"/>
      </w:pPr>
      <w:r>
        <w:t>ESRS-E1 Summary — E1-5 energy + E1-6 Scope 1/2/3 export from gold_ghg_scope.</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EN ÖNEMLİ ÇERÇEVE: hepsi İNDİKATİF ve (ESRS hariç) frontend-only — Fabric'e dokunmaz, /portfolio verisini reuse eder. 'ESRS-E1-aligned reporting support' de, 'CSRD-compliant' DEME. CRREM eğrileri indikatif (License Partner sonra). Bu hub'ı 'this is how we position next to Schneider EcoStruxure and Siemens Desigo on the EU sustainability agenda' diye anlat.</w:t>
            </w:r>
          </w:p>
        </w:tc>
      </w:tr>
    </w:tbl>
    <w:p>
      <w:pPr>
        <w:spacing w:after="40"/>
      </w:pPr>
    </w:p>
    <w:p>
      <w:pPr>
        <w:pStyle w:val="Heading2"/>
      </w:pPr>
      <w:r>
        <w:t>/actions — recommendation workflow</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/actions: the recommendations list, the status dropdown, and the filter chips.</w:t>
            </w:r>
          </w:p>
          <w:p>
            <w:pPr>
              <w:spacing w:after="40"/>
            </w:pPr>
            <w:r>
              <w:t>Mert: ekran kaydını veya screenshot'ı buraya yapıştır.</w:t>
            </w:r>
          </w:p>
        </w:tc>
      </w:tr>
    </w:tbl>
    <w:p>
      <w:pPr>
        <w:spacing w:after="40"/>
      </w:pPr>
    </w:p>
    <w:p>
      <w:pPr>
        <w:spacing w:after="100"/>
      </w:pPr>
      <w:r>
        <w:rPr>
          <w:b/>
        </w:rPr>
        <w:t xml:space="preserve">What it does: </w:t>
      </w:r>
      <w:r>
        <w:t>Fabric recommendations (read) + a Postgres status overlay (new / in-progress / done / dismissed). Filter chips, a nav badge, and every status change written to the audit log.</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Hibrit: öneriler Fabric'ten okunur, durum Postgres'te tutulur (Fabric pipeline-owned veriyi bozmadan). Audit log her değişikliğe yazar.</w:t>
            </w:r>
          </w:p>
        </w:tc>
      </w:tr>
    </w:tbl>
    <w:p>
      <w:pPr>
        <w:spacing w:after="40"/>
      </w:pPr>
    </w:p>
    <w:p>
      <w:pPr>
        <w:pStyle w:val="Heading2"/>
      </w:pPr>
      <w:r>
        <w:t>/alerts — anomaly triage</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/alerts: the severity summary cards, the alert table, and the acknowledge dropdown.</w:t>
            </w:r>
          </w:p>
          <w:p>
            <w:pPr>
              <w:spacing w:after="40"/>
            </w:pPr>
            <w:r>
              <w:t>Mert: ekran kaydını veya screenshot'ı buraya yapıştır.</w:t>
            </w:r>
          </w:p>
        </w:tc>
      </w:tr>
    </w:tbl>
    <w:p>
      <w:pPr>
        <w:spacing w:after="40"/>
      </w:pPr>
    </w:p>
    <w:p>
      <w:pPr>
        <w:spacing w:after="100"/>
      </w:pPr>
      <w:r>
        <w:rPr>
          <w:b/>
        </w:rPr>
        <w:t xml:space="preserve">What it does: </w:t>
      </w:r>
      <w:r>
        <w:t>Portfolio anomaly monitoring: gold_anomaly_log (read) x an acknowledge overlay (Postgres). 'Unhandled' = unresolved AND not acknowledged -&gt; drives the nav badge and the triage queue. Server-side severity/resolution filtering.</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is_resolved (Fabric, pipeline-owned) x ack_status (Postgres, kullanıcı). İkisini ayrı tuttum çünkü biri otomatik biri manuel.</w:t>
            </w:r>
          </w:p>
        </w:tc>
      </w:tr>
    </w:tbl>
    <w:p>
      <w:pPr>
        <w:spacing w:after="40"/>
      </w:pPr>
    </w:p>
    <w:p>
      <w:pPr>
        <w:pStyle w:val="Heading2"/>
      </w:pPr>
      <w:r>
        <w:t>/copilot, /glossary, /settings, /admin, /billing, /pricing, /demo</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Optional: quick screenshots of the glossary, settings (members/invites/subscription), and the public /demo page.</w:t>
            </w:r>
          </w:p>
          <w:p>
            <w:pPr>
              <w:spacing w:after="40"/>
            </w:pPr>
            <w:r>
              <w:t>Mert: ekran kaydını veya screenshot'ı buraya yapıştır.</w:t>
            </w:r>
          </w:p>
        </w:tc>
      </w:tr>
    </w:tbl>
    <w:p>
      <w:pPr>
        <w:spacing w:after="40"/>
      </w:pPr>
    </w:p>
    <w:p>
      <w:pPr>
        <w:spacing w:after="100"/>
      </w:pPr>
      <w:r>
        <w:rPr>
          <w:b/>
        </w:rPr>
        <w:t xml:space="preserve">Copilot: </w:t>
      </w:r>
      <w:r>
        <w:t>AI assistant (full detail in Part C).</w:t>
      </w:r>
    </w:p>
    <w:p>
      <w:pPr>
        <w:spacing w:after="100"/>
      </w:pPr>
      <w:r>
        <w:rPr>
          <w:b/>
        </w:rPr>
        <w:t xml:space="preserve">Glossary: </w:t>
      </w:r>
      <w:r>
        <w:t>10 domain terms, single-source; surfaced as tooltips across the app.</w:t>
      </w:r>
    </w:p>
    <w:p>
      <w:pPr>
        <w:spacing w:after="100"/>
      </w:pPr>
      <w:r>
        <w:rPr>
          <w:b/>
        </w:rPr>
        <w:t xml:space="preserve">Settings: </w:t>
      </w:r>
      <w:r>
        <w:t>Org profile, members, invitations, Stripe subscription card, activity (audit log).</w:t>
      </w:r>
    </w:p>
    <w:p>
      <w:pPr>
        <w:spacing w:after="100"/>
      </w:pPr>
      <w:r>
        <w:rPr>
          <w:b/>
        </w:rPr>
        <w:t xml:space="preserve">Admin (founder-only): </w:t>
      </w:r>
      <w:r>
        <w:t>Cross-org stats and tables; mutations (tier/status, module unlock, fabric link); all admin actions audited.</w:t>
      </w:r>
    </w:p>
    <w:p>
      <w:pPr>
        <w:spacing w:after="100"/>
      </w:pPr>
      <w:r>
        <w:rPr>
          <w:b/>
        </w:rPr>
        <w:t xml:space="preserve">Billing / Pricing: </w:t>
      </w:r>
      <w:r>
        <w:t>Stripe self-serve (4 tiers); public pricing page -&gt; signup -&gt; checkout.</w:t>
      </w:r>
    </w:p>
    <w:p>
      <w:pPr>
        <w:spacing w:after="100"/>
      </w:pPr>
      <w:r>
        <w:rPr>
          <w:b/>
        </w:rPr>
        <w:t xml:space="preserve">Demo: </w:t>
      </w:r>
      <w:r>
        <w:t>Unregistered public access with 6 sample buildings and an RLS-restricted embed — the marketing URL for EXIST/BSBI.</w:t>
      </w:r>
    </w:p>
    <w:p>
      <w:pPr>
        <w:spacing w:after="100"/>
      </w:pPr>
      <w:r>
        <w:rPr>
          <w:b/>
        </w:rPr>
        <w:t xml:space="preserve">PDF export: </w:t>
      </w:r>
      <w:r>
        <w:t>Light-themed A4 report routes (portfolio, actions, alerts, compliance, building-level) via window.print(), zero dependency.</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Bunlar ikincil — zaman olursa göster. /demo'yu vurgula: 'kayıtsız, herkese açık demo URL'i — pazarlama için'. /admin founder-only (sen).</w:t>
            </w:r>
          </w:p>
        </w:tc>
      </w:tr>
    </w:tbl>
    <w:p>
      <w:pPr>
        <w:spacing w:after="40"/>
      </w:pPr>
    </w:p>
    <w:p>
      <w:pPr>
        <w:pStyle w:val="Heading1"/>
      </w:pPr>
      <w:r>
        <w:t>Part C — The AI Copilot</w:t>
      </w:r>
    </w:p>
    <w:p>
      <w:pPr>
        <w:spacing w:after="100"/>
      </w:pPr>
      <w:r>
        <w:rPr>
          <w:b/>
        </w:rPr>
        <w:t xml:space="preserve">Question: </w:t>
      </w:r>
      <w:r>
        <w:t>Can I just ask my data a question in plain language?  Reader: any user.</w:t>
      </w:r>
    </w:p>
    <w:tbl>
      <w:tblPr>
        <w:tblW w:type="auto" w:w="0"/>
        <w:tblLayout w:type="fixed"/>
        <w:tblLook w:firstColumn="1" w:firstRow="1" w:lastColumn="0" w:lastRow="0" w:noHBand="0" w:noVBand="1" w:val="04A0"/>
      </w:tblPr>
      <w:tblGrid>
        <w:gridCol w:w="9026"/>
      </w:tblGrid>
      <w:tr>
        <w:tc>
          <w:tcPr>
            <w:tcW w:type="dxa" w:w="9029"/>
            <w:tcBorders>
              <w:top w:val="single" w:sz="6" w:space="0" w:color="9AA0A6"/>
              <w:left w:val="single" w:sz="6" w:space="0" w:color="9AA0A6"/>
              <w:bottom w:val="single" w:sz="6" w:space="0" w:color="9AA0A6"/>
              <w:right w:val="single" w:sz="6" w:space="0" w:color="9AA0A6"/>
            </w:tcBorders>
            <w:shd w:val="clear" w:color="auto" w:fill="E6F0EE"/>
          </w:tcPr>
          <w:p>
            <w:pPr>
              <w:spacing w:after="60"/>
            </w:pPr>
            <w:r/>
            <w:r>
              <w:rPr>
                <w:b/>
                <w:color w:val="333333"/>
              </w:rPr>
              <w:t>[ SCREEN RECORDING / SCREENSHOT ]</w:t>
            </w:r>
          </w:p>
          <w:p>
            <w:pPr>
              <w:spacing w:after="40"/>
            </w:pPr>
            <w:r>
              <w:t>Record /copilot: type a question (e.g. 'Which building used the most energy last month?'), show the tool call happening, and the streamed answer.</w:t>
            </w:r>
          </w:p>
          <w:p>
            <w:pPr>
              <w:spacing w:after="40"/>
            </w:pPr>
            <w:r>
              <w:t>Mert: ekran kaydını veya screenshot'ı buraya yapıştır.</w:t>
            </w:r>
          </w:p>
        </w:tc>
      </w:tr>
    </w:tbl>
    <w:p>
      <w:pPr>
        <w:spacing w:after="40"/>
      </w:pPr>
    </w:p>
    <w:p>
      <w:pPr>
        <w:spacing w:after="100"/>
      </w:pPr>
      <w:r>
        <w:rPr>
          <w:b/>
        </w:rPr>
        <w:t xml:space="preserve">What it does: </w:t>
      </w:r>
      <w:r>
        <w:t>A conversational assistant that answers natural-language questions over the Fabric Lakehouse. The key difference from most BI 'copilots': it uses TOOL USE — it runs real queries against the data — instead of summarizing a report page as text.</w:t>
      </w:r>
    </w:p>
    <w:p>
      <w:pPr>
        <w:spacing w:after="100"/>
      </w:pPr>
      <w:r>
        <w:rPr>
          <w:b/>
        </w:rPr>
        <w:t xml:space="preserve">How it works: </w:t>
      </w:r>
      <w:r>
        <w:t>User question -&gt; orchestrator -&gt; the LLM decides which tool to call -&gt; a dispatcher runs the tool against Fabric/Postgres -&gt; the result returns to the LLM -&gt; the LLM writes the final answer -&gt; streamed to the UI via Server-Sent Events. Org/building-level RLS is enforced on every tool call.</w:t>
      </w:r>
    </w:p>
    <w:tbl>
      <w:tblPr>
        <w:tblStyle w:val="TableGrid"/>
        <w:tblW w:type="auto" w:w="0"/>
        <w:tblLayout w:type="autofit"/>
        <w:tblLook w:firstColumn="1" w:firstRow="1" w:lastColumn="0" w:lastRow="0" w:noHBand="0" w:noVBand="1" w:val="04A0"/>
      </w:tblPr>
      <w:tblGrid>
        <w:gridCol w:w="4513"/>
        <w:gridCol w:w="4513"/>
      </w:tblGrid>
      <w:tr>
        <w:tc>
          <w:tcPr>
            <w:tcW w:type="dxa" w:w="4513"/>
            <w:shd w:val="clear" w:color="auto" w:fill="D5E8F0"/>
          </w:tcPr>
          <w:p>
            <w:r/>
            <w:r>
              <w:rPr>
                <w:b/>
              </w:rPr>
              <w:t>Tool</w:t>
            </w:r>
          </w:p>
        </w:tc>
        <w:tc>
          <w:tcPr>
            <w:tcW w:type="dxa" w:w="4513"/>
            <w:shd w:val="clear" w:color="auto" w:fill="D5E8F0"/>
          </w:tcPr>
          <w:p>
            <w:r/>
            <w:r>
              <w:rPr>
                <w:b/>
              </w:rPr>
              <w:t>What it does</w:t>
            </w:r>
          </w:p>
        </w:tc>
      </w:tr>
      <w:tr>
        <w:tc>
          <w:tcPr>
            <w:tcW w:type="dxa" w:w="4513"/>
          </w:tcPr>
          <w:p>
            <w:r>
              <w:t>query_kpi</w:t>
            </w:r>
          </w:p>
        </w:tc>
        <w:tc>
          <w:tcPr>
            <w:tcW w:type="dxa" w:w="4513"/>
          </w:tcPr>
          <w:p>
            <w:r>
              <w:t>Query KPIs for a building (kWh, EUI, cost, CO2, period delta)</w:t>
            </w:r>
          </w:p>
        </w:tc>
      </w:tr>
      <w:tr>
        <w:tc>
          <w:tcPr>
            <w:tcW w:type="dxa" w:w="4513"/>
          </w:tcPr>
          <w:p>
            <w:r>
              <w:t>compare_buildings</w:t>
            </w:r>
          </w:p>
        </w:tc>
        <w:tc>
          <w:tcPr>
            <w:tcW w:type="dxa" w:w="4513"/>
          </w:tcPr>
          <w:p>
            <w:r>
              <w:t>Rank/compare buildings on a metric</w:t>
            </w:r>
          </w:p>
        </w:tc>
      </w:tr>
      <w:tr>
        <w:tc>
          <w:tcPr>
            <w:tcW w:type="dxa" w:w="4513"/>
          </w:tcPr>
          <w:p>
            <w:r>
              <w:t>list_recommendations</w:t>
            </w:r>
          </w:p>
        </w:tc>
        <w:tc>
          <w:tcPr>
            <w:tcW w:type="dxa" w:w="4513"/>
          </w:tcPr>
          <w:p>
            <w:r>
              <w:t>List a building's recommendations by priority</w:t>
            </w:r>
          </w:p>
        </w:tc>
      </w:tr>
      <w:tr>
        <w:tc>
          <w:tcPr>
            <w:tcW w:type="dxa" w:w="4513"/>
          </w:tcPr>
          <w:p>
            <w:r>
              <w:t>get_anomalies</w:t>
            </w:r>
          </w:p>
        </w:tc>
        <w:tc>
          <w:tcPr>
            <w:tcW w:type="dxa" w:w="4513"/>
          </w:tcPr>
          <w:p>
            <w:r>
              <w:t>Fetch anomalies filtered by severity/type</w:t>
            </w:r>
          </w:p>
        </w:tc>
      </w:tr>
      <w:tr>
        <w:tc>
          <w:tcPr>
            <w:tcW w:type="dxa" w:w="4513"/>
          </w:tcPr>
          <w:p>
            <w:r>
              <w:t>simulate_battery_scenario</w:t>
            </w:r>
          </w:p>
        </w:tc>
        <w:tc>
          <w:tcPr>
            <w:tcW w:type="dxa" w:w="4513"/>
          </w:tcPr>
          <w:p>
            <w:r>
              <w:t>Run a battery scenario (payback / NPV / IRR)</w:t>
            </w:r>
          </w:p>
        </w:tc>
      </w:tr>
      <w:tr>
        <w:tc>
          <w:tcPr>
            <w:tcW w:type="dxa" w:w="4513"/>
          </w:tcPr>
          <w:p>
            <w:r>
              <w:t>update_action_status</w:t>
            </w:r>
          </w:p>
        </w:tc>
        <w:tc>
          <w:tcPr>
            <w:tcW w:type="dxa" w:w="4513"/>
          </w:tcPr>
          <w:p>
            <w:r>
              <w:t>Change an action's status (a WRITE action)</w:t>
            </w:r>
          </w:p>
        </w:tc>
      </w:tr>
    </w:tbl>
    <w:p>
      <w:pPr>
        <w:spacing w:after="40"/>
      </w:pPr>
    </w:p>
    <w:p>
      <w:pPr>
        <w:spacing w:after="100"/>
      </w:pPr>
      <w:r>
        <w:rPr>
          <w:b/>
        </w:rPr>
        <w:t xml:space="preserve">Provider abstraction: </w:t>
      </w:r>
      <w:r>
        <w:t>One environment variable switches between Anthropic (Claude), Azure OpenAI (GPT-4o), and a Mock provider (currently active). The Mock returns deterministic answers with real tool calls — the production switch is a single flag.</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EXIST inovasyon argümanı: 'an AI Copilot that reasons over the Lakehouse via tool use, not text summaries — and it can act, not just describe (update_action_status is a write).' Mock şu an aktif çünkü Anthropic kredisi 0; 'provider abstraction is in place — flipping to production GPT-4o is one environment variable' de. Demoda 2-3 hazır soru sor (aşağıdaki).</w:t>
            </w:r>
          </w:p>
        </w:tc>
      </w:tr>
    </w:tbl>
    <w:p>
      <w:pPr>
        <w:spacing w:after="40"/>
      </w:pPr>
    </w:p>
    <w:p>
      <w:pPr>
        <w:spacing w:after="100"/>
      </w:pPr>
      <w:r>
        <w:rPr>
          <w:b/>
        </w:rPr>
        <w:t xml:space="preserve">Demo questions to ask (pick 2-3): </w:t>
      </w:r>
      <w:r/>
    </w:p>
    <w:p>
      <w:pPr>
        <w:pStyle w:val="ListBullet"/>
        <w:spacing w:after="40"/>
      </w:pPr>
      <w:r>
        <w:t>'Which building had the highest EUI last month?'  (compare_buildings)</w:t>
      </w:r>
    </w:p>
    <w:p>
      <w:pPr>
        <w:pStyle w:val="ListBullet"/>
        <w:spacing w:after="40"/>
      </w:pPr>
      <w:r>
        <w:t>'Show me the open anomalies for building B001.'  (get_anomalies)</w:t>
      </w:r>
    </w:p>
    <w:p>
      <w:pPr>
        <w:pStyle w:val="ListBullet"/>
        <w:spacing w:after="40"/>
      </w:pPr>
      <w:r>
        <w:t>'What are the top recommendations for my worst building?'  (list_recommendations)</w:t>
      </w:r>
    </w:p>
    <w:p>
      <w:pPr>
        <w:pStyle w:val="ListBullet"/>
        <w:spacing w:after="40"/>
      </w:pPr>
      <w:r>
        <w:t>'Simulate a 200 kWh battery for B002.'  (simulate_battery_scenario)</w:t>
      </w:r>
    </w:p>
    <w:p>
      <w:pPr>
        <w:pStyle w:val="Heading1"/>
      </w:pPr>
      <w:r>
        <w:t>Closing — what I am asking for</w:t>
      </w:r>
    </w:p>
    <w:p>
      <w:pPr>
        <w:pStyle w:val="Heading2"/>
      </w:pPr>
      <w:r>
        <w:t>1. EXIST Gründerstipendium — academic mentor</w:t>
      </w:r>
    </w:p>
    <w:p>
      <w:pPr>
        <w:spacing w:after="120"/>
      </w:pPr>
      <w:r>
        <w:t>EXIST is the German federal founder grant (about EUR 65k over 12 months). It requires a university affiliation and an academic mentor letter. Since EnergyLens grew directly out of my M.Sc. work, I would be honored if you would serve as the academic mentor on the application.</w:t>
      </w:r>
    </w:p>
    <w:p>
      <w:pPr>
        <w:spacing w:after="100"/>
      </w:pPr>
      <w:r>
        <w:rPr>
          <w:b/>
        </w:rPr>
        <w:t xml:space="preserve">What it involves: </w:t>
      </w:r>
      <w:r>
        <w:t>one or two short conversations to align scope, and a brief letter of support from BSBI for the application package. I can prepare a draft of the letter for your review.</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Net ol ve rahat ol: 'I would be honored if you could be the academic mentor on my EXIST application — it needs one short letter and a couple of alignment chats. I will draft the letter for your review.' Hoca zaten LinkedIn'de olumlu; bu sadece resmileştirme.</w:t>
            </w:r>
          </w:p>
        </w:tc>
      </w:tr>
    </w:tbl>
    <w:p>
      <w:pPr>
        <w:spacing w:after="40"/>
      </w:pPr>
    </w:p>
    <w:p>
      <w:pPr>
        <w:pStyle w:val="Heading2"/>
      </w:pPr>
      <w:r>
        <w:t>2. BSBI campus pilot</w:t>
      </w:r>
    </w:p>
    <w:p>
      <w:pPr>
        <w:spacing w:after="120"/>
      </w:pPr>
      <w:r>
        <w:t>Independent of EXIST: a free six-month pilot connecting BSBI campus energy data to EnergyLens, giving the facilities team real-time visibility (consumption, anomalies, CRREM status, HVAC efficiency). In return I would ask only to use BSBI as a named case study once there are results.</w:t>
      </w:r>
    </w:p>
    <w:p>
      <w:pPr>
        <w:spacing w:after="100"/>
      </w:pPr>
      <w:r>
        <w:rPr>
          <w:b/>
        </w:rPr>
        <w:t xml:space="preserve">Why it is low-risk: </w:t>
      </w:r>
      <w:r>
        <w:t>the platform already runs end-to-end; data stays in the Microsoft cloud with row-level security; I manage every layer; it doubles as my M.Sc. capstone validation.</w:t>
      </w:r>
    </w:p>
    <w:tbl>
      <w:tblPr>
        <w:tblW w:type="auto" w:w="0"/>
        <w:tblLayout w:type="fixed"/>
        <w:tblLook w:firstColumn="1" w:firstRow="1" w:lastColumn="0" w:lastRow="0" w:noHBand="0" w:noVBand="1" w:val="04A0"/>
      </w:tblPr>
      <w:tblGrid>
        <w:gridCol w:w="9026"/>
      </w:tblGrid>
      <w:tr>
        <w:tc>
          <w:tcPr>
            <w:tcW w:type="dxa" w:w="9029"/>
            <w:tcBorders>
              <w:top w:val="single" w:sz="6" w:space="0" w:color="E0A150"/>
              <w:left w:val="single" w:sz="6" w:space="0" w:color="E0A150"/>
              <w:bottom w:val="single" w:sz="6" w:space="0" w:color="E0A150"/>
              <w:right w:val="single" w:sz="6" w:space="0" w:color="E0A150"/>
            </w:tcBorders>
            <w:shd w:val="clear" w:color="auto" w:fill="FFF3E0"/>
          </w:tcPr>
          <w:p>
            <w:pPr>
              <w:spacing w:after="60"/>
            </w:pPr>
            <w:r/>
            <w:r>
              <w:rPr>
                <w:b/>
                <w:color w:val="333333"/>
              </w:rPr>
              <w:t>COACHING (TR) — hoca sorarsa / nasıl anlatacaksın:</w:t>
            </w:r>
          </w:p>
          <w:p>
            <w:pPr>
              <w:spacing w:after="40"/>
            </w:pPr>
            <w:r>
              <w:t>Pilot teklifini 'no cost, no commitment, fully managed by me, RLS-secured' diye çerçevele. 'M.Sc. capstone' çerçevesi riski düşürür. Eğer pilot Ağustos öncesi başlarsa EXIST kabul şansım ~%20 artar — ama bunu hocaya söyleme, sadece sen bil.</w:t>
            </w:r>
          </w:p>
        </w:tc>
      </w:tr>
    </w:tbl>
    <w:p>
      <w:pPr>
        <w:spacing w:after="40"/>
      </w:pPr>
    </w:p>
    <w:p>
      <w:pPr>
        <w:pStyle w:val="Heading2"/>
      </w:pPr>
      <w:r>
        <w:t>3. Ongoing advisory (optional)</w:t>
      </w:r>
    </w:p>
    <w:p>
      <w:pPr>
        <w:spacing w:after="120"/>
      </w:pPr>
      <w:r>
        <w:t>Beyond EXIST, I would value occasional advisory check-ins (monthly or quarterly) on the energy-management and academic angles. No formal commitment — just openness to input.</w:t>
      </w:r>
    </w:p>
    <w:p>
      <w:pPr>
        <w:spacing w:after="80"/>
        <w:jc w:val="center"/>
      </w:pPr>
      <w:r>
        <w:rPr>
          <w:b w:val="0"/>
          <w:i/>
          <w:color w:val="666666"/>
          <w:sz w:val="22"/>
        </w:rPr>
        <w:t>Thank you. — Ali Mert Özdemir  |  energylens.eu  |  Microsoft DP-600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rial" w:hAnsi="Arial"/>
      <w:b/>
      <w:bCs/>
      <w:color w:val="0B6E4F"/>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Arial" w:hAnsi="Arial"/>
      <w:b/>
      <w:bCs/>
      <w:color w:val="114B5F"/>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