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08A5A"/>
          <w:sz w:val="34"/>
        </w:rPr>
        <w:t>EnergyLens - Report Methodology at a Glance</w:t>
      </w:r>
    </w:p>
    <w:p>
      <w:pPr>
        <w:spacing w:after="160"/>
      </w:pPr>
      <w:r>
        <w:rPr>
          <w:rFonts w:ascii="Arial" w:hAnsi="Arial"/>
          <w:b w:val="0"/>
          <w:i/>
          <w:color w:val="556066"/>
          <w:sz w:val="21"/>
        </w:rPr>
        <w:t>What the 10-page Power BI report is built on - one-page executive reference.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08A5A"/>
          <w:sz w:val="24"/>
        </w:rPr>
        <w:t>Foundation</w:t>
      </w:r>
    </w:p>
    <w:p>
      <w:pPr>
        <w:spacing w:after="120"/>
      </w:pPr>
      <w:r>
        <w:rPr>
          <w:rFonts w:ascii="Arial" w:hAnsi="Arial"/>
          <w:b w:val="0"/>
          <w:i w:val="0"/>
          <w:sz w:val="19"/>
        </w:rPr>
        <w:t>Microsoft Fabric medallion architecture (Bronze raw -&gt; Silver clean -&gt; Gold business logic) feeding a DirectLake semantic model (EnergyCopilotModel, ~213 measures). Gold is mirrored to Supabase mv_* for the web app.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08A5A"/>
          <w:sz w:val="24"/>
        </w:rPr>
        <w:t>The 10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tcW w:w="17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1 Portfolio</w:t>
            </w:r>
          </w:p>
        </w:tc>
        <w:tc>
          <w:tcPr>
            <w:tcW w:type="dxa" w:w="7660"/>
            <w:tcW w:w="766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EUI benchmark, cost &amp; CO2 totals - where the savings sit.</w:t>
            </w:r>
          </w:p>
        </w:tc>
      </w:tr>
      <w:tr>
        <w:tc>
          <w:tcPr>
            <w:tcW w:type="dxa" w:w="1700"/>
            <w:tcW w:w="170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2 Building</w:t>
            </w:r>
          </w:p>
        </w:tc>
        <w:tc>
          <w:tcPr>
            <w:tcW w:type="dxa" w:w="7660"/>
            <w:tcW w:w="766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EUI gauge, load profile, weather sensitivity, base load.</w:t>
            </w:r>
          </w:p>
        </w:tc>
      </w:tr>
      <w:tr>
        <w:tc>
          <w:tcPr>
            <w:tcW w:type="dxa" w:w="1700"/>
            <w:tcW w:w="17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3 Anomalies</w:t>
            </w:r>
          </w:p>
        </w:tc>
        <w:tc>
          <w:tcPr>
            <w:tcW w:type="dxa" w:w="7660"/>
            <w:tcW w:w="766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6 detection rules; spikes vs drift; estimated EUR impact.</w:t>
            </w:r>
          </w:p>
        </w:tc>
      </w:tr>
      <w:tr>
        <w:tc>
          <w:tcPr>
            <w:tcW w:type="dxa" w:w="1700"/>
            <w:tcW w:w="170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4 Forecast &amp; Recs</w:t>
            </w:r>
          </w:p>
        </w:tc>
        <w:tc>
          <w:tcPr>
            <w:tcW w:type="dxa" w:w="7660"/>
            <w:tcW w:w="766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'do-nothing' forecast; measures scored on compliance + NPV + CO2 + payback, with an NPV viability gate.</w:t>
            </w:r>
          </w:p>
        </w:tc>
      </w:tr>
      <w:tr>
        <w:tc>
          <w:tcPr>
            <w:tcW w:type="dxa" w:w="1700"/>
            <w:tcW w:w="17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5 Occupancy</w:t>
            </w:r>
          </w:p>
        </w:tc>
        <w:tc>
          <w:tcPr>
            <w:tcW w:type="dxa" w:w="7660"/>
            <w:tcW w:w="766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base (empty) vs occupied load; ghost-load cost.</w:t>
            </w:r>
          </w:p>
        </w:tc>
      </w:tr>
      <w:tr>
        <w:tc>
          <w:tcPr>
            <w:tcW w:type="dxa" w:w="1700"/>
            <w:tcW w:w="170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6 Sustainability</w:t>
            </w:r>
          </w:p>
        </w:tc>
        <w:tc>
          <w:tcPr>
            <w:tcW w:type="dxa" w:w="7660"/>
            <w:tcW w:w="766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Scope 1/2/3; carbon intensity vs CRREM; EPC/MEPS.</w:t>
            </w:r>
          </w:p>
        </w:tc>
      </w:tr>
      <w:tr>
        <w:tc>
          <w:tcPr>
            <w:tcW w:type="dxa" w:w="1700"/>
            <w:tcW w:w="17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7 HVAC</w:t>
            </w:r>
          </w:p>
        </w:tc>
        <w:tc>
          <w:tcPr>
            <w:tcW w:type="dxa" w:w="7660"/>
            <w:tcW w:w="766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supply-return delta-T, runtime vs occupancy, COP/JAZ.</w:t>
            </w:r>
          </w:p>
        </w:tc>
      </w:tr>
      <w:tr>
        <w:tc>
          <w:tcPr>
            <w:tcW w:type="dxa" w:w="1700"/>
            <w:tcW w:w="170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8 IoT</w:t>
            </w:r>
          </w:p>
        </w:tc>
        <w:tc>
          <w:tcPr>
            <w:tcW w:type="dxa" w:w="7660"/>
            <w:tcW w:w="766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live power, CO2/comfort by zone, sensor uptime, FDD cost.</w:t>
            </w:r>
          </w:p>
        </w:tc>
      </w:tr>
      <w:tr>
        <w:tc>
          <w:tcPr>
            <w:tcW w:type="dxa" w:w="1700"/>
            <w:tcW w:w="170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9 Battery</w:t>
            </w:r>
          </w:p>
        </w:tc>
        <w:tc>
          <w:tcPr>
            <w:tcW w:type="dxa" w:w="7660"/>
            <w:tcW w:w="766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dispatch vs tariff, self-consumption, payback (Measured/Modeled/Prospect).</w:t>
            </w:r>
          </w:p>
        </w:tc>
      </w:tr>
      <w:tr>
        <w:tc>
          <w:tcPr>
            <w:tcW w:type="dxa" w:w="1700"/>
            <w:tcW w:w="170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i w:val="0"/>
                <w:color w:val="108A5A"/>
                <w:sz w:val="17"/>
              </w:rPr>
              <w:t>10 Solar</w:t>
            </w:r>
          </w:p>
        </w:tc>
        <w:tc>
          <w:tcPr>
            <w:tcW w:type="dxa" w:w="7660"/>
            <w:tcW w:w="7660" w:type="dxa"/>
            <w:shd w:val="clear" w:color="auto" w:fill="EAF3EF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energy-basis PR, self-consumption vs export, specific yield, est. underperformance loss.</w:t>
            </w:r>
          </w:p>
        </w:tc>
      </w:tr>
    </w:tbl>
    <w:p>
      <w:pPr>
        <w:pStyle w:val="Heading2"/>
        <w:spacing w:before="200" w:after="80"/>
      </w:pPr>
      <w:r>
        <w:rPr>
          <w:rFonts w:ascii="Arial" w:hAnsi="Arial"/>
          <w:b/>
          <w:color w:val="108A5A"/>
          <w:sz w:val="24"/>
        </w:rPr>
        <w:t>Key methodology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PV PR is energy-basis (sum(gen) / (kWp x sum(reference-yield))), clamped &lt;=0.95, generation-weighted; PR&gt;1 is a data error, never real output.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Recommendations: compliance-weighted score, but an NPV&lt;=0 optional investment is gated to INFORMATIONAL (annuity 12 -&gt; NPV&lt;=0 == payback&gt;=12 yr); compliance-mandated retrofits exempt.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GHG Scope 2 uses a year-indexed grid factor (DE 0.363 location / 0.725 residual); carbon intensity tracked vs the CRREM stranding line.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Thresholds are screening-grade, product-owner approved (2026-06-18); every modelled figure is labelled Est.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08A5A"/>
          <w:sz w:val="24"/>
        </w:rPr>
        <w:t>Data basis</w:t>
      </w:r>
    </w:p>
    <w:p>
      <w:pPr>
        <w:spacing w:after="80"/>
      </w:pPr>
      <w:r>
        <w:rPr>
          <w:rFonts w:ascii="Arial" w:hAnsi="Arial"/>
          <w:b w:val="0"/>
          <w:i w:val="0"/>
          <w:sz w:val="19"/>
        </w:rPr>
        <w:t>Largely synthetic data with realistic structure. Real-telemetry exceptions are called out: the solar telemetry rollup (PR ~0.80) and three measured battery dispatches. Measured / Modeled / Prospect / Estimated tags keep real and modelled figures distinct.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6066"/>
        <w:sz w:val="16"/>
      </w:rPr>
      <w:t xml:space="preserve">EnergyLens - Report Technical Documentation   -   Page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