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08A5A"/>
          <w:sz w:val="68"/>
        </w:rPr>
        <w:t>EnergyLens</w:t>
      </w:r>
    </w:p>
    <w:p>
      <w:pPr>
        <w:jc w:val="center"/>
      </w:pPr>
      <w:r>
        <w:rPr>
          <w:rFonts w:ascii="Arial" w:hAnsi="Arial"/>
          <w:color w:val="121C24"/>
          <w:sz w:val="36"/>
        </w:rPr>
        <w:t>Power BI Report - Technical Documentation</w:t>
      </w:r>
    </w:p>
    <w:p>
      <w:pPr>
        <w:jc w:val="center"/>
      </w:pPr>
      <w:r>
        <w:rPr>
          <w:rFonts w:ascii="Arial" w:hAnsi="Arial"/>
          <w:i/>
          <w:color w:val="556066"/>
          <w:sz w:val="24"/>
        </w:rPr>
        <w:t>Calculation methods, assumptions, data sources and energy logic for all 10 report pages</w:t>
      </w:r>
    </w:p>
    <w:p/>
    <w:p/>
    <w:p/>
    <w:p/>
    <w:p/>
    <w:p/>
    <w:p/>
    <w:p/>
    <w:p>
      <w:pPr>
        <w:jc w:val="center"/>
      </w:pPr>
      <w:r>
        <w:rPr>
          <w:rFonts w:ascii="Arial" w:hAnsi="Arial"/>
          <w:color w:val="556066"/>
          <w:sz w:val="22"/>
        </w:rPr>
        <w:t>Energy Copilot Platform for Commercial Buildings</w:t>
      </w:r>
    </w:p>
    <w:p>
      <w:pPr>
        <w:jc w:val="center"/>
      </w:pPr>
      <w:r>
        <w:rPr>
          <w:rFonts w:ascii="Arial" w:hAnsi="Arial"/>
          <w:color w:val="556066"/>
          <w:sz w:val="22"/>
        </w:rPr>
        <w:t>Microsoft Fabric - Medallion (Bronze/Silver/Gold) - DirectLake semantic model EnergyCopilotModel</w:t>
      </w:r>
    </w:p>
    <w:p>
      <w:pPr>
        <w:jc w:val="center"/>
      </w:pPr>
      <w:r>
        <w:rPr>
          <w:rFonts w:ascii="Arial" w:hAnsi="Arial"/>
          <w:color w:val="556066"/>
          <w:sz w:val="22"/>
        </w:rPr>
        <w:t>Version: 2026-06-22</w:t>
      </w:r>
    </w:p>
    <w:p>
      <w:r>
        <w:br w:type="page"/>
      </w:r>
    </w:p>
    <w:p>
      <w:pPr>
        <w:pStyle w:val="Heading1"/>
        <w:spacing w:before="280" w:after="120"/>
      </w:pPr>
      <w:r>
        <w:rPr>
          <w:rFonts w:ascii="Arial" w:hAnsi="Arial"/>
          <w:b/>
          <w:color w:val="121C24"/>
          <w:sz w:val="30"/>
        </w:rPr>
        <w:t>Contents</w:t>
      </w:r>
    </w:p>
    <w:p>
      <w:r>
        <w:fldChar w:fldCharType="begin"/>
        <w:instrText xml:space="preserve">TOC \o "1-2" \h \z \u</w:instrText>
        <w:fldChar w:fldCharType="separate"/>
        <w:t>Right-click -&gt; Update Field to build the table of contents.</w:t>
        <w:fldChar w:fldCharType="end"/>
      </w:r>
    </w:p>
    <w:p>
      <w:r>
        <w:br w:type="page"/>
      </w:r>
    </w:p>
    <w:p>
      <w:pPr>
        <w:pStyle w:val="Heading1"/>
        <w:spacing w:before="280" w:after="120"/>
      </w:pPr>
      <w:r>
        <w:rPr>
          <w:rFonts w:ascii="Arial" w:hAnsi="Arial"/>
          <w:b/>
          <w:color w:val="121C24"/>
          <w:sz w:val="30"/>
        </w:rPr>
        <w:t>1.  About this document</w:t>
      </w:r>
    </w:p>
    <w:p>
      <w:pPr>
        <w:spacing w:after="120"/>
      </w:pPr>
      <w:r>
        <w:rPr>
          <w:rFonts w:ascii="Arial" w:hAnsi="Arial"/>
          <w:b w:val="0"/>
          <w:i w:val="0"/>
          <w:sz w:val="21"/>
        </w:rPr>
        <w:t>This document explains what every page and every key visual of the EnergyLens Power BI report is built on: the calculation method, the assumptions and thresholds, the data source (gold table and measure), and the underlying energy logic. It is the single reference for the question 'what is this number, and how was it derived?'.</w:t>
      </w:r>
    </w:p>
    <w:p>
      <w:pPr>
        <w:spacing w:after="120"/>
      </w:pPr>
      <w:r>
        <w:rPr>
          <w:rFonts w:ascii="Arial" w:hAnsi="Arial"/>
          <w:b w:val="0"/>
          <w:i w:val="0"/>
          <w:sz w:val="21"/>
        </w:rPr>
        <w:t>It serves two purposes: a refresher of the platform's own logic, and a decision-grade reference to show when the methodology is questioned.</w:t>
      </w:r>
    </w:p>
    <w:p>
      <w:pPr>
        <w:pStyle w:val="Heading2"/>
        <w:spacing w:before="200" w:after="80"/>
      </w:pPr>
      <w:r>
        <w:rPr>
          <w:rFonts w:ascii="Arial" w:hAnsi="Arial"/>
          <w:b/>
          <w:color w:val="108A5A"/>
          <w:sz w:val="24"/>
        </w:rPr>
        <w:t>How to read the source column</w:t>
      </w:r>
    </w:p>
    <w:p>
      <w:pPr>
        <w:spacing w:after="120"/>
      </w:pPr>
      <w:r>
        <w:rPr>
          <w:rFonts w:ascii="Arial" w:hAnsi="Arial"/>
          <w:b w:val="0"/>
          <w:i w:val="0"/>
          <w:sz w:val="21"/>
        </w:rPr>
        <w:t>Each visual cites its gold table and the DAX measure name in square brackets, e.g. gold_kpi_daily - [Avg Solar PR Pct]. Measures live in the DirectLake semantic model EnergyCopilotModel; gold tables are produced by Fabric notebooks under the medallion architecture.</w:t>
      </w:r>
    </w:p>
    <w:p>
      <w:pPr>
        <w:pStyle w:val="Heading2"/>
        <w:spacing w:before="200" w:after="80"/>
      </w:pPr>
      <w:r>
        <w:rPr>
          <w:rFonts w:ascii="Arial" w:hAnsi="Arial"/>
          <w:b/>
          <w:color w:val="108A5A"/>
          <w:sz w:val="24"/>
        </w:rPr>
        <w:t>Data-basis legend (honesty layer)</w:t>
      </w:r>
    </w:p>
    <w:p>
      <w:pPr>
        <w:spacing w:after="40"/>
      </w:pPr>
      <w:r>
        <w:rPr>
          <w:rFonts w:ascii="Arial" w:hAnsi="Arial"/>
          <w:b/>
          <w:color w:val="108A5A"/>
          <w:sz w:val="21"/>
        </w:rPr>
        <w:t xml:space="preserve">Measured - </w:t>
      </w:r>
      <w:r>
        <w:rPr>
          <w:rFonts w:ascii="Arial" w:hAnsi="Arial"/>
          <w:sz w:val="21"/>
        </w:rPr>
        <w:t>computed from real telemetry/dispatch.</w:t>
      </w:r>
    </w:p>
    <w:p>
      <w:pPr>
        <w:spacing w:after="40"/>
      </w:pPr>
      <w:r>
        <w:rPr>
          <w:rFonts w:ascii="Arial" w:hAnsi="Arial"/>
          <w:b/>
          <w:color w:val="108A5A"/>
          <w:sz w:val="21"/>
        </w:rPr>
        <w:t xml:space="preserve">Modeled - </w:t>
      </w:r>
      <w:r>
        <w:rPr>
          <w:rFonts w:ascii="Arial" w:hAnsi="Arial"/>
          <w:sz w:val="21"/>
        </w:rPr>
        <w:t>derived from a physics or statistical model.</w:t>
      </w:r>
    </w:p>
    <w:p>
      <w:pPr>
        <w:spacing w:after="40"/>
      </w:pPr>
      <w:r>
        <w:rPr>
          <w:rFonts w:ascii="Arial" w:hAnsi="Arial"/>
          <w:b/>
          <w:color w:val="108A5A"/>
          <w:sz w:val="21"/>
        </w:rPr>
        <w:t xml:space="preserve">Prospect - </w:t>
      </w:r>
      <w:r>
        <w:rPr>
          <w:rFonts w:ascii="Arial" w:hAnsi="Arial"/>
          <w:sz w:val="21"/>
        </w:rPr>
        <w:t>a 'what-if' for an asset the building does not yet have.</w:t>
      </w:r>
    </w:p>
    <w:p>
      <w:pPr>
        <w:spacing w:after="40"/>
      </w:pPr>
      <w:r>
        <w:rPr>
          <w:rFonts w:ascii="Arial" w:hAnsi="Arial"/>
          <w:b/>
          <w:color w:val="108A5A"/>
          <w:sz w:val="21"/>
        </w:rPr>
        <w:t xml:space="preserve">Estimated (Est.) - </w:t>
      </w:r>
      <w:r>
        <w:rPr>
          <w:rFonts w:ascii="Arial" w:hAnsi="Arial"/>
          <w:sz w:val="21"/>
        </w:rPr>
        <w:t>a screening figure on a provisional baseline; disappears once metered data arrives.</w:t>
      </w:r>
    </w:p>
    <w:p>
      <w:pPr>
        <w:spacing w:after="160"/>
      </w:pPr>
      <w:r>
        <w:rPr>
          <w:rFonts w:ascii="Arial" w:hAnsi="Arial"/>
          <w:b/>
          <w:color w:val="108A5A"/>
          <w:sz w:val="20"/>
        </w:rPr>
        <w:t xml:space="preserve">Current data basis: </w:t>
      </w:r>
      <w:r>
        <w:rPr>
          <w:rFonts w:ascii="Arial" w:hAnsi="Arial"/>
          <w:i/>
          <w:color w:val="556066"/>
          <w:sz w:val="20"/>
        </w:rPr>
        <w:t>The platform today runs largely on synthetic data with realistic structure. Where a figure is real-telemetry-derived (e.g. the solar telemetry rollup, three measured battery dispatches) it is called out on the page. Section 15 details what is real vs synthetic.</w:t>
      </w:r>
    </w:p>
    <w:p>
      <w:r>
        <w:br w:type="page"/>
      </w:r>
    </w:p>
    <w:p>
      <w:pPr>
        <w:pStyle w:val="Heading1"/>
        <w:spacing w:before="280" w:after="120"/>
      </w:pPr>
      <w:r>
        <w:rPr>
          <w:rFonts w:ascii="Arial" w:hAnsi="Arial"/>
          <w:b/>
          <w:color w:val="121C24"/>
          <w:sz w:val="30"/>
        </w:rPr>
        <w:t>2.  Architecture &amp; data foundation</w:t>
      </w:r>
    </w:p>
    <w:p>
      <w:pPr>
        <w:spacing w:after="120"/>
      </w:pPr>
      <w:r>
        <w:rPr>
          <w:rFonts w:ascii="Arial" w:hAnsi="Arial"/>
          <w:b w:val="0"/>
          <w:i w:val="0"/>
          <w:sz w:val="21"/>
        </w:rPr>
        <w:t>The platform follows a medallion architecture on Microsoft Fabric:</w:t>
      </w:r>
    </w:p>
    <w:p>
      <w:pPr>
        <w:pStyle w:val="ListBullet"/>
        <w:spacing w:after="40"/>
      </w:pPr>
      <w:r>
        <w:rPr>
          <w:rFonts w:ascii="Arial" w:hAnsi="Arial"/>
          <w:sz w:val="21"/>
        </w:rPr>
        <w:t>Bronze - protocol-native raw ingestion (meters, weather, IoT/SCADA, solar, battery).</w:t>
      </w:r>
    </w:p>
    <w:p>
      <w:pPr>
        <w:pStyle w:val="ListBullet"/>
        <w:spacing w:after="40"/>
      </w:pPr>
      <w:r>
        <w:rPr>
          <w:rFonts w:ascii="Arial" w:hAnsi="Arial"/>
          <w:sz w:val="21"/>
        </w:rPr>
        <w:t>Silver - cleaned, conformed, unit-normalised tables (e.g. silver_building_master, silver_weather_clean).</w:t>
      </w:r>
    </w:p>
    <w:p>
      <w:pPr>
        <w:pStyle w:val="ListBullet"/>
        <w:spacing w:after="40"/>
      </w:pPr>
      <w:r>
        <w:rPr>
          <w:rFonts w:ascii="Arial" w:hAnsi="Arial"/>
          <w:sz w:val="21"/>
        </w:rPr>
        <w:t>Gold - business-logic tables the report reads (gold_kpi_daily/hourly/monthly, gold_anomaly_log, gold_recommendations, gold_ghg_scope, gold_hvac_analytics, gold_iot_*, gold_battery_*, gold_solar_daily, gold_consumption_forecast).</w:t>
      </w:r>
    </w:p>
    <w:p>
      <w:pPr>
        <w:pStyle w:val="ListBullet"/>
        <w:spacing w:after="40"/>
      </w:pPr>
      <w:r>
        <w:rPr>
          <w:rFonts w:ascii="Arial" w:hAnsi="Arial"/>
          <w:sz w:val="21"/>
        </w:rPr>
        <w:t>Semantic model - a DirectLake model (EnergyCopilotModel) over the gold tables; ~213 measures; the 10 report pages bind to these measures.</w:t>
      </w:r>
    </w:p>
    <w:p>
      <w:pPr>
        <w:spacing w:after="120"/>
      </w:pPr>
      <w:r>
        <w:rPr>
          <w:rFonts w:ascii="Arial" w:hAnsi="Arial"/>
          <w:b w:val="0"/>
          <w:i w:val="0"/>
          <w:sz w:val="21"/>
        </w:rPr>
        <w:t>Gold tables are mirrored to Supabase materialised views (mv_*) so the web application can read the same numbers without a live Fabric connection. Reads are pg-first with a Fabric fallback.</w:t>
      </w:r>
    </w:p>
    <w:p>
      <w:pPr>
        <w:spacing w:after="160"/>
      </w:pPr>
      <w:r>
        <w:rPr>
          <w:rFonts w:ascii="Arial" w:hAnsi="Arial"/>
          <w:b/>
          <w:color w:val="108A5A"/>
          <w:sz w:val="20"/>
        </w:rPr>
        <w:t xml:space="preserve">Refresh path: </w:t>
      </w:r>
      <w:r>
        <w:rPr>
          <w:rFonts w:ascii="Arial" w:hAnsi="Arial"/>
          <w:i/>
          <w:color w:val="556066"/>
          <w:sz w:val="20"/>
        </w:rPr>
        <w:t>A gold change requires re-running the notebook, refreshing the mv mirror (50_materialize), then refreshing the semantic model. A new gold column needs schema evolution (autoMerge) or an overwrite, since MERGE does not add columns.</w:t>
      </w:r>
    </w:p>
    <w:p>
      <w:r>
        <w:br w:type="page"/>
      </w:r>
    </w:p>
    <w:p>
      <w:pPr>
        <w:pStyle w:val="Heading1"/>
        <w:spacing w:before="280" w:after="120"/>
      </w:pPr>
      <w:r>
        <w:rPr>
          <w:rFonts w:ascii="Arial" w:hAnsi="Arial"/>
          <w:b/>
          <w:color w:val="121C24"/>
          <w:sz w:val="30"/>
        </w:rPr>
        <w:t>3.  Global assumptions, thresholds &amp; factors</w:t>
      </w:r>
    </w:p>
    <w:p>
      <w:pPr>
        <w:spacing w:after="120"/>
      </w:pPr>
      <w:r>
        <w:rPr>
          <w:rFonts w:ascii="Arial" w:hAnsi="Arial"/>
          <w:b w:val="0"/>
          <w:i w:val="0"/>
          <w:sz w:val="21"/>
        </w:rPr>
        <w:t>Energy thresholds quoted across the report are screening-grade and were product-owner approved (2026-06-18). They are intended to triage attention, not to replace an audit.</w:t>
      </w:r>
    </w:p>
    <w:tbl>
      <w:tblPr>
        <w:tblStyle w:val="TableGrid"/>
        <w:tblW w:type="auto" w:w="0"/>
        <w:jc w:val="center"/>
        <w:tblLook w:firstColumn="1" w:firstRow="1" w:lastColumn="0" w:lastRow="0" w:noHBand="0" w:noVBand="1" w:val="04A0"/>
      </w:tblPr>
      <w:tblGrid>
        <w:gridCol w:w="4680"/>
        <w:gridCol w:w="4680"/>
      </w:tblGrid>
      <w:tr>
        <w:tc>
          <w:tcPr>
            <w:tcW w:type="dxa" w:w="2400"/>
            <w:tcW w:w="2400" w:type="dxa"/>
            <w:shd w:val="clear" w:color="auto" w:fill="10885A"/>
          </w:tcPr>
          <w:p>
            <w:pPr>
              <w:spacing w:after="20" w:before="20"/>
            </w:pPr>
            <w:r/>
            <w:r>
              <w:rPr>
                <w:rFonts w:ascii="Arial" w:hAnsi="Arial"/>
                <w:b/>
                <w:i w:val="0"/>
                <w:color w:val="FFFFFF"/>
                <w:sz w:val="18"/>
              </w:rPr>
              <w:t>Domain</w:t>
            </w:r>
          </w:p>
        </w:tc>
        <w:tc>
          <w:tcPr>
            <w:tcW w:type="dxa" w:w="6960"/>
            <w:tcW w:w="6960" w:type="dxa"/>
            <w:shd w:val="clear" w:color="auto" w:fill="10885A"/>
          </w:tcPr>
          <w:p>
            <w:pPr>
              <w:spacing w:after="20" w:before="20"/>
            </w:pPr>
            <w:r/>
            <w:r>
              <w:rPr>
                <w:rFonts w:ascii="Arial" w:hAnsi="Arial"/>
                <w:b/>
                <w:i w:val="0"/>
                <w:color w:val="FFFFFF"/>
                <w:sz w:val="18"/>
              </w:rPr>
              <w:t>Approved screening threshold / factor</w:t>
            </w:r>
          </w:p>
        </w:tc>
      </w:tr>
      <w:tr>
        <w:tc>
          <w:tcPr>
            <w:tcW w:type="dxa" w:w="2400"/>
            <w:tcW w:w="2400" w:type="dxa"/>
          </w:tcPr>
          <w:p>
            <w:pPr>
              <w:spacing w:after="20" w:before="20"/>
            </w:pPr>
            <w:r/>
            <w:r>
              <w:rPr>
                <w:rFonts w:ascii="Arial" w:hAnsi="Arial"/>
                <w:b/>
                <w:i w:val="0"/>
                <w:sz w:val="18"/>
              </w:rPr>
              <w:t>EUI bands</w:t>
            </w:r>
          </w:p>
        </w:tc>
        <w:tc>
          <w:tcPr>
            <w:tcW w:type="dxa" w:w="6960"/>
            <w:tcW w:w="6960" w:type="dxa"/>
          </w:tcPr>
          <w:p>
            <w:pPr>
              <w:spacing w:after="20" w:before="20"/>
            </w:pPr>
            <w:r/>
            <w:r>
              <w:rPr>
                <w:rFonts w:ascii="Arial" w:hAnsi="Arial"/>
                <w:b w:val="0"/>
                <w:i w:val="0"/>
                <w:sz w:val="18"/>
              </w:rPr>
              <w:t>GEG Anlage 10 (residential basis, approximate for commercial). Type benchmarks: Office 120-220, Hotel/Healthcare ~130, Logistics ~60 kWh/m2/yr; data centre not EUI-modelled.</w:t>
            </w:r>
          </w:p>
        </w:tc>
      </w:tr>
      <w:tr>
        <w:tc>
          <w:tcPr>
            <w:tcW w:type="dxa" w:w="2400"/>
            <w:tcW w:w="2400" w:type="dxa"/>
            <w:shd w:val="clear" w:color="auto" w:fill="EAF3EF"/>
          </w:tcPr>
          <w:p>
            <w:pPr>
              <w:spacing w:after="20" w:before="20"/>
            </w:pPr>
            <w:r/>
            <w:r>
              <w:rPr>
                <w:rFonts w:ascii="Arial" w:hAnsi="Arial"/>
                <w:b/>
                <w:i w:val="0"/>
                <w:sz w:val="18"/>
              </w:rPr>
              <w:t>Base-load ratio</w:t>
            </w:r>
          </w:p>
        </w:tc>
        <w:tc>
          <w:tcPr>
            <w:tcW w:type="dxa" w:w="6960"/>
            <w:tcW w:w="6960" w:type="dxa"/>
            <w:shd w:val="clear" w:color="auto" w:fill="EAF3EF"/>
          </w:tcPr>
          <w:p>
            <w:pPr>
              <w:spacing w:after="20" w:before="20"/>
            </w:pPr>
            <w:r/>
            <w:r>
              <w:rPr>
                <w:rFonts w:ascii="Arial" w:hAnsi="Arial"/>
                <w:b w:val="0"/>
                <w:i w:val="0"/>
                <w:sz w:val="18"/>
              </w:rPr>
              <w:t>&lt;30% lean - 30-50% typical - &gt;50% investigate.</w:t>
            </w:r>
          </w:p>
        </w:tc>
      </w:tr>
      <w:tr>
        <w:tc>
          <w:tcPr>
            <w:tcW w:type="dxa" w:w="2400"/>
            <w:tcW w:w="2400" w:type="dxa"/>
          </w:tcPr>
          <w:p>
            <w:pPr>
              <w:spacing w:after="20" w:before="20"/>
            </w:pPr>
            <w:r/>
            <w:r>
              <w:rPr>
                <w:rFonts w:ascii="Arial" w:hAnsi="Arial"/>
                <w:b/>
                <w:i w:val="0"/>
                <w:sz w:val="18"/>
              </w:rPr>
              <w:t>Anomaly spike</w:t>
            </w:r>
          </w:p>
        </w:tc>
        <w:tc>
          <w:tcPr>
            <w:tcW w:type="dxa" w:w="6960"/>
            <w:tcW w:w="6960" w:type="dxa"/>
          </w:tcPr>
          <w:p>
            <w:pPr>
              <w:spacing w:after="20" w:before="20"/>
            </w:pPr>
            <w:r/>
            <w:r>
              <w:rPr>
                <w:rFonts w:ascii="Arial" w:hAnsi="Arial"/>
                <w:b w:val="0"/>
                <w:i w:val="0"/>
                <w:sz w:val="18"/>
              </w:rPr>
              <w:t>demand &gt; ~120% baseline / 2.5x rolling average; solar PR drop &lt; 0.65.</w:t>
            </w:r>
          </w:p>
        </w:tc>
      </w:tr>
      <w:tr>
        <w:tc>
          <w:tcPr>
            <w:tcW w:type="dxa" w:w="2400"/>
            <w:tcW w:w="2400" w:type="dxa"/>
            <w:shd w:val="clear" w:color="auto" w:fill="EAF3EF"/>
          </w:tcPr>
          <w:p>
            <w:pPr>
              <w:spacing w:after="20" w:before="20"/>
            </w:pPr>
            <w:r/>
            <w:r>
              <w:rPr>
                <w:rFonts w:ascii="Arial" w:hAnsi="Arial"/>
                <w:b/>
                <w:i w:val="0"/>
                <w:sz w:val="18"/>
              </w:rPr>
              <w:t>Payback</w:t>
            </w:r>
          </w:p>
        </w:tc>
        <w:tc>
          <w:tcPr>
            <w:tcW w:type="dxa" w:w="6960"/>
            <w:tcW w:w="6960" w:type="dxa"/>
            <w:shd w:val="clear" w:color="auto" w:fill="EAF3EF"/>
          </w:tcPr>
          <w:p>
            <w:pPr>
              <w:spacing w:after="20" w:before="20"/>
            </w:pPr>
            <w:r/>
            <w:r>
              <w:rPr>
                <w:rFonts w:ascii="Arial" w:hAnsi="Arial"/>
                <w:b w:val="0"/>
                <w:i w:val="0"/>
                <w:sz w:val="18"/>
              </w:rPr>
              <w:t>&lt;3 yr quick win - 3-7 yr standard - &gt;7 yr strategic.</w:t>
            </w:r>
          </w:p>
        </w:tc>
      </w:tr>
      <w:tr>
        <w:tc>
          <w:tcPr>
            <w:tcW w:type="dxa" w:w="2400"/>
            <w:tcW w:w="2400" w:type="dxa"/>
          </w:tcPr>
          <w:p>
            <w:pPr>
              <w:spacing w:after="20" w:before="20"/>
            </w:pPr>
            <w:r/>
            <w:r>
              <w:rPr>
                <w:rFonts w:ascii="Arial" w:hAnsi="Arial"/>
                <w:b/>
                <w:i w:val="0"/>
                <w:sz w:val="18"/>
              </w:rPr>
              <w:t>PV performance ratio</w:t>
            </w:r>
          </w:p>
        </w:tc>
        <w:tc>
          <w:tcPr>
            <w:tcW w:type="dxa" w:w="6960"/>
            <w:tcW w:w="6960" w:type="dxa"/>
          </w:tcPr>
          <w:p>
            <w:pPr>
              <w:spacing w:after="20" w:before="20"/>
            </w:pPr>
            <w:r/>
            <w:r>
              <w:rPr>
                <w:rFonts w:ascii="Arial" w:hAnsi="Arial"/>
                <w:b w:val="0"/>
                <w:i w:val="0"/>
                <w:sz w:val="18"/>
              </w:rPr>
              <w:t>healthy 0.75-0.85 - &lt;0.70 fault - &gt;1.0 data error. DE specific yield ~900-1050 kWh/kWp/yr.</w:t>
            </w:r>
          </w:p>
        </w:tc>
      </w:tr>
      <w:tr>
        <w:tc>
          <w:tcPr>
            <w:tcW w:type="dxa" w:w="2400"/>
            <w:tcW w:w="2400" w:type="dxa"/>
            <w:shd w:val="clear" w:color="auto" w:fill="EAF3EF"/>
          </w:tcPr>
          <w:p>
            <w:pPr>
              <w:spacing w:after="20" w:before="20"/>
            </w:pPr>
            <w:r/>
            <w:r>
              <w:rPr>
                <w:rFonts w:ascii="Arial" w:hAnsi="Arial"/>
                <w:b/>
                <w:i w:val="0"/>
                <w:sz w:val="18"/>
              </w:rPr>
              <w:t>HVAC</w:t>
            </w:r>
          </w:p>
        </w:tc>
        <w:tc>
          <w:tcPr>
            <w:tcW w:type="dxa" w:w="6960"/>
            <w:tcW w:w="6960" w:type="dxa"/>
            <w:shd w:val="clear" w:color="auto" w:fill="EAF3EF"/>
          </w:tcPr>
          <w:p>
            <w:pPr>
              <w:spacing w:after="20" w:before="20"/>
            </w:pPr>
            <w:r/>
            <w:r>
              <w:rPr>
                <w:rFonts w:ascii="Arial" w:hAnsi="Arial"/>
                <w:b w:val="0"/>
                <w:i w:val="0"/>
                <w:sz w:val="18"/>
              </w:rPr>
              <w:t>heating delta-T 10-20 K - cooling delta-T 5-7 K - COP/JAZ ~3.0 floor.</w:t>
            </w:r>
          </w:p>
        </w:tc>
      </w:tr>
      <w:tr>
        <w:tc>
          <w:tcPr>
            <w:tcW w:type="dxa" w:w="2400"/>
            <w:tcW w:w="2400" w:type="dxa"/>
          </w:tcPr>
          <w:p>
            <w:pPr>
              <w:spacing w:after="20" w:before="20"/>
            </w:pPr>
            <w:r/>
            <w:r>
              <w:rPr>
                <w:rFonts w:ascii="Arial" w:hAnsi="Arial"/>
                <w:b/>
                <w:i w:val="0"/>
                <w:sz w:val="18"/>
              </w:rPr>
              <w:t>Comfort / air</w:t>
            </w:r>
          </w:p>
        </w:tc>
        <w:tc>
          <w:tcPr>
            <w:tcW w:type="dxa" w:w="6960"/>
            <w:tcW w:w="6960" w:type="dxa"/>
          </w:tcPr>
          <w:p>
            <w:pPr>
              <w:spacing w:after="20" w:before="20"/>
            </w:pPr>
            <w:r/>
            <w:r>
              <w:rPr>
                <w:rFonts w:ascii="Arial" w:hAnsi="Arial"/>
                <w:b w:val="0"/>
                <w:i w:val="0"/>
                <w:sz w:val="18"/>
              </w:rPr>
              <w:t>20-24 degC occupied - CO2 &lt;800 good / 800-1500 fair / &gt;1500 poor.</w:t>
            </w:r>
          </w:p>
        </w:tc>
      </w:tr>
      <w:tr>
        <w:tc>
          <w:tcPr>
            <w:tcW w:type="dxa" w:w="2400"/>
            <w:tcW w:w="2400" w:type="dxa"/>
            <w:shd w:val="clear" w:color="auto" w:fill="EAF3EF"/>
          </w:tcPr>
          <w:p>
            <w:pPr>
              <w:spacing w:after="20" w:before="20"/>
            </w:pPr>
            <w:r/>
            <w:r>
              <w:rPr>
                <w:rFonts w:ascii="Arial" w:hAnsi="Arial"/>
                <w:b/>
                <w:i w:val="0"/>
                <w:sz w:val="18"/>
              </w:rPr>
              <w:t>Grid emission factors</w:t>
            </w:r>
          </w:p>
        </w:tc>
        <w:tc>
          <w:tcPr>
            <w:tcW w:type="dxa" w:w="6960"/>
            <w:tcW w:w="6960" w:type="dxa"/>
            <w:shd w:val="clear" w:color="auto" w:fill="EAF3EF"/>
          </w:tcPr>
          <w:p>
            <w:pPr>
              <w:spacing w:after="20" w:before="20"/>
            </w:pPr>
            <w:r/>
            <w:r>
              <w:rPr>
                <w:rFonts w:ascii="Arial" w:hAnsi="Arial"/>
                <w:b w:val="0"/>
                <w:i w:val="0"/>
                <w:sz w:val="18"/>
              </w:rPr>
              <w:t>DE 0.363 location / 0.725 residual-market - TR ~0.442 kgCO2/kWh (year-indexed).</w:t>
            </w:r>
          </w:p>
        </w:tc>
      </w:tr>
      <w:tr>
        <w:tc>
          <w:tcPr>
            <w:tcW w:type="dxa" w:w="2400"/>
            <w:tcW w:w="2400" w:type="dxa"/>
          </w:tcPr>
          <w:p>
            <w:pPr>
              <w:spacing w:after="20" w:before="20"/>
            </w:pPr>
            <w:r/>
            <w:r>
              <w:rPr>
                <w:rFonts w:ascii="Arial" w:hAnsi="Arial"/>
                <w:b/>
                <w:i w:val="0"/>
                <w:sz w:val="18"/>
              </w:rPr>
              <w:t>Electricity price</w:t>
            </w:r>
          </w:p>
        </w:tc>
        <w:tc>
          <w:tcPr>
            <w:tcW w:type="dxa" w:w="6960"/>
            <w:tcW w:w="6960" w:type="dxa"/>
          </w:tcPr>
          <w:p>
            <w:pPr>
              <w:spacing w:after="20" w:before="20"/>
            </w:pPr>
            <w:r/>
            <w:r>
              <w:rPr>
                <w:rFonts w:ascii="Arial" w:hAnsi="Arial"/>
                <w:b w:val="0"/>
                <w:i w:val="0"/>
                <w:sz w:val="18"/>
              </w:rPr>
              <w:t>DE ~0.20-0.30 - TR ~0.14 EUR/kWh (country-indexed).</w:t>
            </w:r>
          </w:p>
        </w:tc>
      </w:tr>
      <w:tr>
        <w:tc>
          <w:tcPr>
            <w:tcW w:type="dxa" w:w="2400"/>
            <w:tcW w:w="2400" w:type="dxa"/>
            <w:shd w:val="clear" w:color="auto" w:fill="EAF3EF"/>
          </w:tcPr>
          <w:p>
            <w:pPr>
              <w:spacing w:after="20" w:before="20"/>
            </w:pPr>
            <w:r/>
            <w:r>
              <w:rPr>
                <w:rFonts w:ascii="Arial" w:hAnsi="Arial"/>
                <w:b/>
                <w:i w:val="0"/>
                <w:sz w:val="18"/>
              </w:rPr>
              <w:t>MEPS / EPBD</w:t>
            </w:r>
          </w:p>
        </w:tc>
        <w:tc>
          <w:tcPr>
            <w:tcW w:type="dxa" w:w="6960"/>
            <w:tcW w:w="6960" w:type="dxa"/>
            <w:shd w:val="clear" w:color="auto" w:fill="EAF3EF"/>
          </w:tcPr>
          <w:p>
            <w:pPr>
              <w:spacing w:after="20" w:before="20"/>
            </w:pPr>
            <w:r/>
            <w:r>
              <w:rPr>
                <w:rFonts w:ascii="Arial" w:hAnsi="Arial"/>
                <w:b w:val="0"/>
                <w:i w:val="0"/>
                <w:sz w:val="18"/>
              </w:rPr>
              <w:t>worst 15% / EPC G by 2030 - EPC F by 2033.</w:t>
            </w:r>
          </w:p>
        </w:tc>
      </w:tr>
      <w:tr>
        <w:tc>
          <w:tcPr>
            <w:tcW w:type="dxa" w:w="2400"/>
            <w:tcW w:w="2400" w:type="dxa"/>
          </w:tcPr>
          <w:p>
            <w:pPr>
              <w:spacing w:after="20" w:before="20"/>
            </w:pPr>
            <w:r/>
            <w:r>
              <w:rPr>
                <w:rFonts w:ascii="Arial" w:hAnsi="Arial"/>
                <w:b/>
                <w:i w:val="0"/>
                <w:sz w:val="18"/>
              </w:rPr>
              <w:t>PV install ROI</w:t>
            </w:r>
          </w:p>
        </w:tc>
        <w:tc>
          <w:tcPr>
            <w:tcW w:type="dxa" w:w="6960"/>
            <w:tcW w:w="6960" w:type="dxa"/>
          </w:tcPr>
          <w:p>
            <w:pPr>
              <w:spacing w:after="20" w:before="20"/>
            </w:pPr>
            <w:r/>
            <w:r>
              <w:rPr>
                <w:rFonts w:ascii="Arial" w:hAnsi="Arial"/>
                <w:b w:val="0"/>
                <w:i w:val="0"/>
                <w:sz w:val="18"/>
              </w:rPr>
              <w:t>capex 1050 EUR/kWp - DE feed-in ~0.075 EUR/kWh - fallback yield 950 kWh/kWp - NPV annuity factor 12 (~20 yr @ ~5%).</w:t>
            </w:r>
          </w:p>
        </w:tc>
      </w:tr>
      <w:tr>
        <w:tc>
          <w:tcPr>
            <w:tcW w:type="dxa" w:w="2400"/>
            <w:tcW w:w="2400" w:type="dxa"/>
            <w:shd w:val="clear" w:color="auto" w:fill="EAF3EF"/>
          </w:tcPr>
          <w:p>
            <w:pPr>
              <w:spacing w:after="20" w:before="20"/>
            </w:pPr>
            <w:r/>
            <w:r>
              <w:rPr>
                <w:rFonts w:ascii="Arial" w:hAnsi="Arial"/>
                <w:b/>
                <w:i w:val="0"/>
                <w:sz w:val="18"/>
              </w:rPr>
              <w:t>Battery</w:t>
            </w:r>
          </w:p>
        </w:tc>
        <w:tc>
          <w:tcPr>
            <w:tcW w:type="dxa" w:w="6960"/>
            <w:tcW w:w="6960" w:type="dxa"/>
            <w:shd w:val="clear" w:color="auto" w:fill="EAF3EF"/>
          </w:tcPr>
          <w:p>
            <w:pPr>
              <w:spacing w:after="20" w:before="20"/>
            </w:pPr>
            <w:r/>
            <w:r>
              <w:rPr>
                <w:rFonts w:ascii="Arial" w:hAnsi="Arial"/>
                <w:b w:val="0"/>
                <w:i w:val="0"/>
                <w:sz w:val="18"/>
              </w:rPr>
              <w:t>EU Battery Regulation 2023/1542; payback indicative, tariff- and self-consumption-dependent.</w:t>
            </w:r>
          </w:p>
        </w:tc>
      </w:tr>
    </w:tbl>
    <w:p>
      <w:r>
        <w:br w:type="page"/>
      </w:r>
    </w:p>
    <w:p>
      <w:pPr>
        <w:pStyle w:val="Heading1"/>
        <w:spacing w:before="280" w:after="120"/>
      </w:pPr>
      <w:r>
        <w:rPr>
          <w:rFonts w:ascii="Arial" w:hAnsi="Arial"/>
          <w:b/>
          <w:color w:val="121C24"/>
          <w:sz w:val="30"/>
        </w:rPr>
        <w:t>Page 1.  Portfolio Overview</w:t>
      </w:r>
    </w:p>
    <w:p>
      <w:pPr>
        <w:spacing w:after="120"/>
      </w:pPr>
      <w:r>
        <w:rPr>
          <w:rFonts w:ascii="Arial" w:hAnsi="Arial"/>
          <w:b/>
          <w:sz w:val="19"/>
        </w:rPr>
        <w:t xml:space="preserve">Module gate: </w:t>
      </w:r>
      <w:r>
        <w:rPr>
          <w:rFonts w:ascii="Arial" w:hAnsi="Arial"/>
          <w:sz w:val="19"/>
        </w:rPr>
        <w:t xml:space="preserve">meters (always on)      </w:t>
      </w:r>
      <w:r>
        <w:rPr>
          <w:rFonts w:ascii="Arial" w:hAnsi="Arial"/>
          <w:b/>
          <w:sz w:val="19"/>
        </w:rPr>
        <w:t xml:space="preserve">Data source: </w:t>
      </w:r>
      <w:r>
        <w:rPr>
          <w:rFonts w:ascii="Arial" w:hAnsi="Arial"/>
          <w:i/>
          <w:sz w:val="19"/>
        </w:rPr>
        <w:t>gold_kpi_daily, gold_kpi_monthly  -  DirectLake semantic model EnergyCopilotModel</w:t>
      </w:r>
    </w:p>
    <w:p>
      <w:pPr>
        <w:spacing w:after="120"/>
      </w:pPr>
      <w:r>
        <w:rPr>
          <w:rFonts w:ascii="Arial" w:hAnsi="Arial"/>
          <w:b w:val="0"/>
          <w:i w:val="0"/>
          <w:sz w:val="21"/>
        </w:rPr>
        <w:t>The whole portfolio at a glance - total energy, cost and CO2, and how buildings rank against one another. The first question it answers is where the savings sit.</w:t>
      </w:r>
    </w:p>
    <w:p>
      <w:pPr>
        <w:spacing w:after="160"/>
      </w:pPr>
      <w:r>
        <w:rPr>
          <w:rFonts w:ascii="Arial" w:hAnsi="Arial"/>
          <w:b/>
          <w:color w:val="108A5A"/>
          <w:sz w:val="20"/>
        </w:rPr>
        <w:t xml:space="preserve">Look at first: </w:t>
      </w:r>
      <w:r>
        <w:rPr>
          <w:rFonts w:ascii="Arial" w:hAnsi="Arial"/>
          <w:i/>
          <w:color w:val="556066"/>
          <w:sz w:val="20"/>
        </w:rPr>
        <w:t>The worst-ranked buildings on the EUI benchmark - that is where most of the savings are.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EUI benchmark by building</w:t>
            </w:r>
          </w:p>
        </w:tc>
        <w:tc>
          <w:tcPr>
            <w:tcW w:type="dxa" w:w="2250"/>
            <w:tcW w:w="2250" w:type="dxa"/>
          </w:tcPr>
          <w:p>
            <w:pPr>
              <w:spacing w:after="20" w:before="20"/>
            </w:pPr>
            <w:r/>
            <w:r>
              <w:rPr>
                <w:rFonts w:ascii="Arial" w:hAnsi="Arial"/>
                <w:b w:val="0"/>
                <w:i w:val="0"/>
                <w:sz w:val="17"/>
              </w:rPr>
              <w:t>Energy Use Intensity (annual kWh per m2) for each building vs the portfolio, so the least-efficient buildings stand out.</w:t>
            </w:r>
          </w:p>
        </w:tc>
        <w:tc>
          <w:tcPr>
            <w:tcW w:type="dxa" w:w="3360"/>
            <w:tcW w:w="3360" w:type="dxa"/>
          </w:tcPr>
          <w:p>
            <w:pPr>
              <w:spacing w:after="20" w:before="20"/>
            </w:pPr>
            <w:r/>
            <w:r>
              <w:rPr>
                <w:rFonts w:ascii="Arial" w:hAnsi="Arial"/>
                <w:b w:val="0"/>
                <w:i w:val="0"/>
                <w:sz w:val="17"/>
              </w:rPr>
              <w:t>EUI = total_consumption_kWh / conditioned_area_m2, annualised. Area-weighted at portfolio level.</w:t>
            </w:r>
          </w:p>
          <w:p>
            <w:pPr>
              <w:spacing w:after="20" w:before="20"/>
            </w:pPr>
            <w:r>
              <w:rPr>
                <w:rFonts w:ascii="Arial" w:hAnsi="Arial"/>
                <w:b w:val="0"/>
                <w:i w:val="0"/>
                <w:sz w:val="17"/>
              </w:rPr>
              <w:t>Source: gold_kpi_daily - [P1 Building EUI], [P1 EUI Type Benchmark], [Avg EUI Area-Weighted].</w:t>
            </w:r>
          </w:p>
        </w:tc>
        <w:tc>
          <w:tcPr>
            <w:tcW w:type="dxa" w:w="2250"/>
            <w:tcW w:w="2250" w:type="dxa"/>
          </w:tcPr>
          <w:p>
            <w:pPr>
              <w:spacing w:after="20" w:before="20"/>
            </w:pPr>
            <w:r/>
            <w:r>
              <w:rPr>
                <w:rFonts w:ascii="Arial" w:hAnsi="Arial"/>
                <w:b w:val="0"/>
                <w:i w:val="0"/>
                <w:sz w:val="17"/>
              </w:rPr>
              <w:t>GEG Anlage 10 bands (residential basis, approximate for commercial). Type benchmarks: Office 120-220, Hotel/Healthcare ~130, Logistics ~60 kWh/m2/yr; data centre not EUI-modelled. Bars to the right = least efficient.</w:t>
            </w:r>
          </w:p>
        </w:tc>
      </w:tr>
      <w:tr>
        <w:tc>
          <w:tcPr>
            <w:tcW w:type="dxa" w:w="1500"/>
            <w:tcW w:w="1500" w:type="dxa"/>
            <w:shd w:val="clear" w:color="auto" w:fill="EAF3EF"/>
          </w:tcPr>
          <w:p>
            <w:pPr>
              <w:spacing w:after="20" w:before="20"/>
            </w:pPr>
            <w:r/>
            <w:r>
              <w:rPr>
                <w:rFonts w:ascii="Arial" w:hAnsi="Arial"/>
                <w:b/>
                <w:i w:val="0"/>
                <w:sz w:val="17"/>
              </w:rPr>
              <w:t>Consumption trend (current vs prior year)</w:t>
            </w:r>
          </w:p>
        </w:tc>
        <w:tc>
          <w:tcPr>
            <w:tcW w:type="dxa" w:w="2250"/>
            <w:tcW w:w="2250" w:type="dxa"/>
            <w:shd w:val="clear" w:color="auto" w:fill="EAF3EF"/>
          </w:tcPr>
          <w:p>
            <w:pPr>
              <w:spacing w:after="20" w:before="20"/>
            </w:pPr>
            <w:r/>
            <w:r>
              <w:rPr>
                <w:rFonts w:ascii="Arial" w:hAnsi="Arial"/>
                <w:b w:val="0"/>
                <w:i w:val="0"/>
                <w:sz w:val="17"/>
              </w:rPr>
              <w:t>Year-over-year direction of total consumption; rising while floor area is flat signals creeping waste.</w:t>
            </w:r>
          </w:p>
        </w:tc>
        <w:tc>
          <w:tcPr>
            <w:tcW w:type="dxa" w:w="3360"/>
            <w:tcW w:w="3360" w:type="dxa"/>
            <w:shd w:val="clear" w:color="auto" w:fill="EAF3EF"/>
          </w:tcPr>
          <w:p>
            <w:pPr>
              <w:spacing w:after="20" w:before="20"/>
            </w:pPr>
            <w:r/>
            <w:r>
              <w:rPr>
                <w:rFonts w:ascii="Arial" w:hAnsi="Arial"/>
                <w:b w:val="0"/>
                <w:i w:val="0"/>
                <w:sz w:val="17"/>
              </w:rPr>
              <w:t>Period SUM with a prior-year comparison.</w:t>
            </w:r>
          </w:p>
          <w:p>
            <w:pPr>
              <w:spacing w:after="20" w:before="20"/>
            </w:pPr>
            <w:r>
              <w:rPr>
                <w:rFonts w:ascii="Arial" w:hAnsi="Arial"/>
                <w:b w:val="0"/>
                <w:i w:val="0"/>
                <w:sz w:val="17"/>
              </w:rPr>
              <w:t>Source: gold_kpi_daily - [Total Consumption kWh], [Previous Period Consumption kWh], [Consumption Change Pct].</w:t>
            </w:r>
          </w:p>
        </w:tc>
        <w:tc>
          <w:tcPr>
            <w:tcW w:type="dxa" w:w="2250"/>
            <w:tcW w:w="2250" w:type="dxa"/>
            <w:shd w:val="clear" w:color="auto" w:fill="EAF3EF"/>
          </w:tcPr>
          <w:p>
            <w:pPr>
              <w:spacing w:after="20" w:before="20"/>
            </w:pPr>
            <w:r/>
            <w:r>
              <w:rPr>
                <w:rFonts w:ascii="Arial" w:hAnsi="Arial"/>
                <w:b w:val="0"/>
                <w:i w:val="0"/>
                <w:sz w:val="17"/>
              </w:rPr>
              <w:t>Compared like-for-like (same calendar window). Direction matters more than the absolute in screening.</w:t>
            </w:r>
          </w:p>
        </w:tc>
      </w:tr>
      <w:tr>
        <w:tc>
          <w:tcPr>
            <w:tcW w:type="dxa" w:w="1500"/>
            <w:tcW w:w="1500" w:type="dxa"/>
          </w:tcPr>
          <w:p>
            <w:pPr>
              <w:spacing w:after="20" w:before="20"/>
            </w:pPr>
            <w:r/>
            <w:r>
              <w:rPr>
                <w:rFonts w:ascii="Arial" w:hAnsi="Arial"/>
                <w:b/>
                <w:i w:val="0"/>
                <w:sz w:val="17"/>
              </w:rPr>
              <w:t>Cost &amp; CO2 totals</w:t>
            </w:r>
          </w:p>
        </w:tc>
        <w:tc>
          <w:tcPr>
            <w:tcW w:type="dxa" w:w="2250"/>
            <w:tcW w:w="2250" w:type="dxa"/>
          </w:tcPr>
          <w:p>
            <w:pPr>
              <w:spacing w:after="20" w:before="20"/>
            </w:pPr>
            <w:r/>
            <w:r>
              <w:rPr>
                <w:rFonts w:ascii="Arial" w:hAnsi="Arial"/>
                <w:b w:val="0"/>
                <w:i w:val="0"/>
                <w:sz w:val="17"/>
              </w:rPr>
              <w:t>The portfolio's financial and carbon exposure. CO2 drives CRREM/EPC risk even where the bill still looks acceptable.</w:t>
            </w:r>
          </w:p>
        </w:tc>
        <w:tc>
          <w:tcPr>
            <w:tcW w:type="dxa" w:w="3360"/>
            <w:tcW w:w="3360" w:type="dxa"/>
          </w:tcPr>
          <w:p>
            <w:pPr>
              <w:spacing w:after="20" w:before="20"/>
            </w:pPr>
            <w:r/>
            <w:r>
              <w:rPr>
                <w:rFonts w:ascii="Arial" w:hAnsi="Arial"/>
                <w:b w:val="0"/>
                <w:i w:val="0"/>
                <w:sz w:val="17"/>
              </w:rPr>
              <w:t>Electricity cost = net_grid_kWh x country tariff; CO2 = net_grid_kWh x year-indexed grid factor.</w:t>
            </w:r>
          </w:p>
          <w:p>
            <w:pPr>
              <w:spacing w:after="20" w:before="20"/>
            </w:pPr>
            <w:r>
              <w:rPr>
                <w:rFonts w:ascii="Arial" w:hAnsi="Arial"/>
                <w:b w:val="0"/>
                <w:i w:val="0"/>
                <w:sz w:val="17"/>
              </w:rPr>
              <w:t>Source: gold_kpi_daily - [Total Energy Cost EUR], [Total CO2 Emissions tCO2].</w:t>
            </w:r>
          </w:p>
        </w:tc>
        <w:tc>
          <w:tcPr>
            <w:tcW w:type="dxa" w:w="2250"/>
            <w:tcW w:w="2250" w:type="dxa"/>
          </w:tcPr>
          <w:p>
            <w:pPr>
              <w:spacing w:after="20" w:before="20"/>
            </w:pPr>
            <w:r/>
            <w:r>
              <w:rPr>
                <w:rFonts w:ascii="Arial" w:hAnsi="Arial"/>
                <w:b w:val="0"/>
                <w:i w:val="0"/>
                <w:sz w:val="17"/>
              </w:rPr>
              <w:t>KPI totals use a plain Card + SUM (not AVERAGE). EUI cards use AVERAGE deliberately - mixing the two is the classic card bug avoided here.</w:t>
            </w:r>
          </w:p>
        </w:tc>
      </w:tr>
      <w:tr>
        <w:tc>
          <w:tcPr>
            <w:tcW w:type="dxa" w:w="1500"/>
            <w:tcW w:w="1500" w:type="dxa"/>
            <w:shd w:val="clear" w:color="auto" w:fill="EAF3EF"/>
          </w:tcPr>
          <w:p>
            <w:pPr>
              <w:spacing w:after="20" w:before="20"/>
            </w:pPr>
            <w:r/>
            <w:r>
              <w:rPr>
                <w:rFonts w:ascii="Arial" w:hAnsi="Arial"/>
                <w:b/>
                <w:i w:val="0"/>
                <w:sz w:val="17"/>
              </w:rPr>
              <w:t>Building summary table</w:t>
            </w:r>
          </w:p>
        </w:tc>
        <w:tc>
          <w:tcPr>
            <w:tcW w:type="dxa" w:w="2250"/>
            <w:tcW w:w="2250" w:type="dxa"/>
            <w:shd w:val="clear" w:color="auto" w:fill="EAF3EF"/>
          </w:tcPr>
          <w:p>
            <w:pPr>
              <w:spacing w:after="20" w:before="20"/>
            </w:pPr>
            <w:r/>
            <w:r>
              <w:rPr>
                <w:rFonts w:ascii="Arial" w:hAnsi="Arial"/>
                <w:b w:val="0"/>
                <w:i w:val="0"/>
                <w:sz w:val="17"/>
              </w:rPr>
              <w:t>Per-building EUI, cost and EPC class - a triage list for where to spend attention first.</w:t>
            </w:r>
          </w:p>
        </w:tc>
        <w:tc>
          <w:tcPr>
            <w:tcW w:type="dxa" w:w="3360"/>
            <w:tcW w:w="3360" w:type="dxa"/>
            <w:shd w:val="clear" w:color="auto" w:fill="EAF3EF"/>
          </w:tcPr>
          <w:p>
            <w:pPr>
              <w:spacing w:after="20" w:before="20"/>
            </w:pPr>
            <w:r/>
            <w:r>
              <w:rPr>
                <w:rFonts w:ascii="Arial" w:hAnsi="Arial"/>
                <w:b w:val="0"/>
                <w:i w:val="0"/>
                <w:sz w:val="17"/>
              </w:rPr>
              <w:t>Row context per building over the selected period.</w:t>
            </w:r>
          </w:p>
          <w:p>
            <w:pPr>
              <w:spacing w:after="20" w:before="20"/>
            </w:pPr>
            <w:r>
              <w:rPr>
                <w:rFonts w:ascii="Arial" w:hAnsi="Arial"/>
                <w:b w:val="0"/>
                <w:i w:val="0"/>
                <w:sz w:val="17"/>
              </w:rPr>
              <w:t>Source: gold_kpi_daily + silver_building_master / silver_epc_ratings.</w:t>
            </w:r>
          </w:p>
        </w:tc>
        <w:tc>
          <w:tcPr>
            <w:tcW w:type="dxa" w:w="2250"/>
            <w:tcW w:w="2250" w:type="dxa"/>
            <w:shd w:val="clear" w:color="auto" w:fill="EAF3EF"/>
          </w:tcPr>
          <w:p>
            <w:pPr>
              <w:spacing w:after="20" w:before="20"/>
            </w:pPr>
            <w:r/>
            <w:r>
              <w:rPr>
                <w:rFonts w:ascii="Arial" w:hAnsi="Arial"/>
                <w:b w:val="0"/>
                <w:i w:val="0"/>
                <w:sz w:val="17"/>
              </w:rPr>
              <w:t>EPC class from area-weighted EPC score. Estimated rows are flagged where consumption is a provisional baseline, not metered.</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EUI is the primary efficiency screen: it normalises consumption by floor area so a small inefficient building and a large efficient one can be compared fairly.</w:t>
      </w:r>
    </w:p>
    <w:p>
      <w:pPr>
        <w:pStyle w:val="ListBullet"/>
        <w:spacing w:after="40"/>
      </w:pPr>
      <w:r>
        <w:rPr>
          <w:rFonts w:ascii="Arial" w:hAnsi="Arial"/>
          <w:sz w:val="20"/>
        </w:rPr>
        <w:t>Portfolio carbon, not just cost, is surfaced because EU compliance (CRREM stranding, EPC/MEPS) is carbon-driven - a building can have a tolerable bill yet be a stranding risk.</w:t>
      </w:r>
    </w:p>
    <w:p>
      <w:pPr>
        <w:spacing w:after="160"/>
      </w:pPr>
      <w:r>
        <w:rPr>
          <w:rFonts w:ascii="Arial" w:hAnsi="Arial"/>
          <w:b/>
          <w:color w:val="108A5A"/>
          <w:sz w:val="20"/>
        </w:rPr>
        <w:t xml:space="preserve">Data basis: </w:t>
      </w:r>
      <w:r>
        <w:rPr>
          <w:rFonts w:ascii="Arial" w:hAnsi="Arial"/>
          <w:i/>
          <w:color w:val="556066"/>
          <w:sz w:val="20"/>
        </w:rPr>
        <w:t>Built on synthetic meter data. Ground-truth scale used for sanity checks: the data-centre building dominates at ~15M kWh/yr; portfolio ~32M kWh/yr. Where a building has no metered consumption, a provisional type-based baseline EUI range is shown and clearly marked Estimated.</w:t>
      </w:r>
    </w:p>
    <w:p>
      <w:r>
        <w:br w:type="page"/>
      </w:r>
    </w:p>
    <w:p>
      <w:pPr>
        <w:pStyle w:val="Heading1"/>
        <w:spacing w:before="280" w:after="120"/>
      </w:pPr>
      <w:r>
        <w:rPr>
          <w:rFonts w:ascii="Arial" w:hAnsi="Arial"/>
          <w:b/>
          <w:color w:val="121C24"/>
          <w:sz w:val="30"/>
        </w:rPr>
        <w:t>Page 2.  Building Detail</w:t>
      </w:r>
    </w:p>
    <w:p>
      <w:pPr>
        <w:spacing w:after="120"/>
      </w:pPr>
      <w:r>
        <w:rPr>
          <w:rFonts w:ascii="Arial" w:hAnsi="Arial"/>
          <w:b/>
          <w:sz w:val="19"/>
        </w:rPr>
        <w:t xml:space="preserve">Module gate: </w:t>
      </w:r>
      <w:r>
        <w:rPr>
          <w:rFonts w:ascii="Arial" w:hAnsi="Arial"/>
          <w:sz w:val="19"/>
        </w:rPr>
        <w:t xml:space="preserve">meters (always on)      </w:t>
      </w:r>
      <w:r>
        <w:rPr>
          <w:rFonts w:ascii="Arial" w:hAnsi="Arial"/>
          <w:b/>
          <w:sz w:val="19"/>
        </w:rPr>
        <w:t xml:space="preserve">Data source: </w:t>
      </w:r>
      <w:r>
        <w:rPr>
          <w:rFonts w:ascii="Arial" w:hAnsi="Arial"/>
          <w:i/>
          <w:sz w:val="19"/>
        </w:rPr>
        <w:t>gold_kpi_daily, gold_kpi_hourly</w:t>
      </w:r>
    </w:p>
    <w:p>
      <w:pPr>
        <w:spacing w:after="120"/>
      </w:pPr>
      <w:r>
        <w:rPr>
          <w:rFonts w:ascii="Arial" w:hAnsi="Arial"/>
          <w:b w:val="0"/>
          <w:i w:val="0"/>
          <w:sz w:val="21"/>
        </w:rPr>
        <w:t>One building's energy, cost and carbon over time, plus the core efficiency metrics that say whether it is run well.</w:t>
      </w:r>
    </w:p>
    <w:p>
      <w:pPr>
        <w:spacing w:after="160"/>
      </w:pPr>
      <w:r>
        <w:rPr>
          <w:rFonts w:ascii="Arial" w:hAnsi="Arial"/>
          <w:b/>
          <w:color w:val="108A5A"/>
          <w:sz w:val="20"/>
        </w:rPr>
        <w:t xml:space="preserve">Look at first: </w:t>
      </w:r>
      <w:r>
        <w:rPr>
          <w:rFonts w:ascii="Arial" w:hAnsi="Arial"/>
          <w:i/>
          <w:color w:val="556066"/>
          <w:sz w:val="20"/>
        </w:rPr>
        <w:t>Actual demand vs the baseline line - the gap above baseline is avoidable spend.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EUI gauge</w:t>
            </w:r>
          </w:p>
        </w:tc>
        <w:tc>
          <w:tcPr>
            <w:tcW w:type="dxa" w:w="2250"/>
            <w:tcW w:w="2250" w:type="dxa"/>
          </w:tcPr>
          <w:p>
            <w:pPr>
              <w:spacing w:after="20" w:before="20"/>
            </w:pPr>
            <w:r/>
            <w:r>
              <w:rPr>
                <w:rFonts w:ascii="Arial" w:hAnsi="Arial"/>
                <w:b w:val="0"/>
                <w:i w:val="0"/>
                <w:sz w:val="17"/>
              </w:rPr>
              <w:t>The headline 'is this building efficient?' number against typical bands.</w:t>
            </w:r>
          </w:p>
        </w:tc>
        <w:tc>
          <w:tcPr>
            <w:tcW w:type="dxa" w:w="3360"/>
            <w:tcW w:w="3360" w:type="dxa"/>
          </w:tcPr>
          <w:p>
            <w:pPr>
              <w:spacing w:after="20" w:before="20"/>
            </w:pPr>
            <w:r/>
            <w:r>
              <w:rPr>
                <w:rFonts w:ascii="Arial" w:hAnsi="Arial"/>
                <w:b w:val="0"/>
                <w:i w:val="0"/>
                <w:sz w:val="17"/>
              </w:rPr>
              <w:t>EUI = consumption / conditioned area, annualised.</w:t>
            </w:r>
          </w:p>
          <w:p>
            <w:pPr>
              <w:spacing w:after="20" w:before="20"/>
            </w:pPr>
            <w:r>
              <w:rPr>
                <w:rFonts w:ascii="Arial" w:hAnsi="Arial"/>
                <w:b w:val="0"/>
                <w:i w:val="0"/>
                <w:sz w:val="17"/>
              </w:rPr>
              <w:t>Source: gold_kpi_daily - [P2 EUI Gauge ...], [Building EUI (kWh/m2, period)].</w:t>
            </w:r>
          </w:p>
        </w:tc>
        <w:tc>
          <w:tcPr>
            <w:tcW w:type="dxa" w:w="2250"/>
            <w:tcW w:w="2250" w:type="dxa"/>
          </w:tcPr>
          <w:p>
            <w:pPr>
              <w:spacing w:after="20" w:before="20"/>
            </w:pPr>
            <w:r/>
            <w:r>
              <w:rPr>
                <w:rFonts w:ascii="Arial" w:hAnsi="Arial"/>
                <w:b w:val="0"/>
                <w:i w:val="0"/>
                <w:sz w:val="17"/>
              </w:rPr>
              <w:t>Fair/Poor = retrofit candidate. Commercial bands are approximate (GEG residential basis).</w:t>
            </w:r>
          </w:p>
        </w:tc>
      </w:tr>
      <w:tr>
        <w:tc>
          <w:tcPr>
            <w:tcW w:type="dxa" w:w="1500"/>
            <w:tcW w:w="1500" w:type="dxa"/>
            <w:shd w:val="clear" w:color="auto" w:fill="EAF3EF"/>
          </w:tcPr>
          <w:p>
            <w:pPr>
              <w:spacing w:after="20" w:before="20"/>
            </w:pPr>
            <w:r/>
            <w:r>
              <w:rPr>
                <w:rFonts w:ascii="Arial" w:hAnsi="Arial"/>
                <w:b/>
                <w:i w:val="0"/>
                <w:sz w:val="17"/>
              </w:rPr>
              <w:t>Consumption vs outdoor temperature</w:t>
            </w:r>
          </w:p>
        </w:tc>
        <w:tc>
          <w:tcPr>
            <w:tcW w:type="dxa" w:w="2250"/>
            <w:tcW w:w="2250" w:type="dxa"/>
            <w:shd w:val="clear" w:color="auto" w:fill="EAF3EF"/>
          </w:tcPr>
          <w:p>
            <w:pPr>
              <w:spacing w:after="20" w:before="20"/>
            </w:pPr>
            <w:r/>
            <w:r>
              <w:rPr>
                <w:rFonts w:ascii="Arial" w:hAnsi="Arial"/>
                <w:b w:val="0"/>
                <w:i w:val="0"/>
                <w:sz w:val="17"/>
              </w:rPr>
              <w:t>How weather-driven the building is. A steep slope means heating/cooling dominates; flat means plug/process loads.</w:t>
            </w:r>
          </w:p>
        </w:tc>
        <w:tc>
          <w:tcPr>
            <w:tcW w:type="dxa" w:w="3360"/>
            <w:tcW w:w="3360" w:type="dxa"/>
            <w:shd w:val="clear" w:color="auto" w:fill="EAF3EF"/>
          </w:tcPr>
          <w:p>
            <w:pPr>
              <w:spacing w:after="20" w:before="20"/>
            </w:pPr>
            <w:r/>
            <w:r>
              <w:rPr>
                <w:rFonts w:ascii="Arial" w:hAnsi="Arial"/>
                <w:b w:val="0"/>
                <w:i w:val="0"/>
                <w:sz w:val="17"/>
              </w:rPr>
              <w:t>Daily consumption plotted against avg outdoor temperature.</w:t>
            </w:r>
          </w:p>
          <w:p>
            <w:pPr>
              <w:spacing w:after="20" w:before="20"/>
            </w:pPr>
            <w:r>
              <w:rPr>
                <w:rFonts w:ascii="Arial" w:hAnsi="Arial"/>
                <w:b w:val="0"/>
                <w:i w:val="0"/>
                <w:sz w:val="17"/>
              </w:rPr>
              <w:t>Source: gold_kpi_daily - [Total Consumption kWh], [Avg Temperature C].</w:t>
            </w:r>
          </w:p>
        </w:tc>
        <w:tc>
          <w:tcPr>
            <w:tcW w:type="dxa" w:w="2250"/>
            <w:tcW w:w="2250" w:type="dxa"/>
            <w:shd w:val="clear" w:color="auto" w:fill="EAF3EF"/>
          </w:tcPr>
          <w:p>
            <w:pPr>
              <w:spacing w:after="20" w:before="20"/>
            </w:pPr>
            <w:r/>
            <w:r>
              <w:rPr>
                <w:rFonts w:ascii="Arial" w:hAnsi="Arial"/>
                <w:b w:val="0"/>
                <w:i w:val="0"/>
                <w:sz w:val="17"/>
              </w:rPr>
              <w:t>Steep slope -&gt; envelope + HVAC levers. Flat -&gt; equipment/process levers.</w:t>
            </w:r>
          </w:p>
        </w:tc>
      </w:tr>
      <w:tr>
        <w:tc>
          <w:tcPr>
            <w:tcW w:type="dxa" w:w="1500"/>
            <w:tcW w:w="1500" w:type="dxa"/>
          </w:tcPr>
          <w:p>
            <w:pPr>
              <w:spacing w:after="20" w:before="20"/>
            </w:pPr>
            <w:r/>
            <w:r>
              <w:rPr>
                <w:rFonts w:ascii="Arial" w:hAnsi="Arial"/>
                <w:b/>
                <w:i w:val="0"/>
                <w:sz w:val="17"/>
              </w:rPr>
              <w:t>Daily load profile (24h)</w:t>
            </w:r>
          </w:p>
        </w:tc>
        <w:tc>
          <w:tcPr>
            <w:tcW w:type="dxa" w:w="2250"/>
            <w:tcW w:w="2250" w:type="dxa"/>
          </w:tcPr>
          <w:p>
            <w:pPr>
              <w:spacing w:after="20" w:before="20"/>
            </w:pPr>
            <w:r/>
            <w:r>
              <w:rPr>
                <w:rFonts w:ascii="Arial" w:hAnsi="Arial"/>
                <w:b w:val="0"/>
                <w:i w:val="0"/>
                <w:sz w:val="17"/>
              </w:rPr>
              <w:t>When the building peaks, and the always-on overnight floor.</w:t>
            </w:r>
          </w:p>
        </w:tc>
        <w:tc>
          <w:tcPr>
            <w:tcW w:type="dxa" w:w="3360"/>
            <w:tcW w:w="3360" w:type="dxa"/>
          </w:tcPr>
          <w:p>
            <w:pPr>
              <w:spacing w:after="20" w:before="20"/>
            </w:pPr>
            <w:r/>
            <w:r>
              <w:rPr>
                <w:rFonts w:ascii="Arial" w:hAnsi="Arial"/>
                <w:b w:val="0"/>
                <w:i w:val="0"/>
                <w:sz w:val="17"/>
              </w:rPr>
              <w:t>Average demand by hour of day.</w:t>
            </w:r>
          </w:p>
          <w:p>
            <w:pPr>
              <w:spacing w:after="20" w:before="20"/>
            </w:pPr>
            <w:r>
              <w:rPr>
                <w:rFonts w:ascii="Arial" w:hAnsi="Arial"/>
                <w:b w:val="0"/>
                <w:i w:val="0"/>
                <w:sz w:val="17"/>
              </w:rPr>
              <w:t>Source: gold_kpi_hourly - [Profile Avg Demand by Hour kW].</w:t>
            </w:r>
          </w:p>
        </w:tc>
        <w:tc>
          <w:tcPr>
            <w:tcW w:type="dxa" w:w="2250"/>
            <w:tcW w:w="2250" w:type="dxa"/>
          </w:tcPr>
          <w:p>
            <w:pPr>
              <w:spacing w:after="20" w:before="20"/>
            </w:pPr>
            <w:r/>
            <w:r>
              <w:rPr>
                <w:rFonts w:ascii="Arial" w:hAnsi="Arial"/>
                <w:b w:val="0"/>
                <w:i w:val="0"/>
                <w:sz w:val="17"/>
              </w:rPr>
              <w:t>A high overnight floor is base load that scheduling can often trim without capex.</w:t>
            </w:r>
          </w:p>
        </w:tc>
      </w:tr>
      <w:tr>
        <w:tc>
          <w:tcPr>
            <w:tcW w:type="dxa" w:w="1500"/>
            <w:tcW w:w="1500" w:type="dxa"/>
            <w:shd w:val="clear" w:color="auto" w:fill="EAF3EF"/>
          </w:tcPr>
          <w:p>
            <w:pPr>
              <w:spacing w:after="20" w:before="20"/>
            </w:pPr>
            <w:r/>
            <w:r>
              <w:rPr>
                <w:rFonts w:ascii="Arial" w:hAnsi="Arial"/>
                <w:b/>
                <w:i w:val="0"/>
                <w:sz w:val="17"/>
              </w:rPr>
              <w:t>Base load ratio</w:t>
            </w:r>
          </w:p>
        </w:tc>
        <w:tc>
          <w:tcPr>
            <w:tcW w:type="dxa" w:w="2250"/>
            <w:tcW w:w="2250" w:type="dxa"/>
            <w:shd w:val="clear" w:color="auto" w:fill="EAF3EF"/>
          </w:tcPr>
          <w:p>
            <w:pPr>
              <w:spacing w:after="20" w:before="20"/>
            </w:pPr>
            <w:r/>
            <w:r>
              <w:rPr>
                <w:rFonts w:ascii="Arial" w:hAnsi="Arial"/>
                <w:b w:val="0"/>
                <w:i w:val="0"/>
                <w:sz w:val="17"/>
              </w:rPr>
              <w:t>Share of energy used when the building is effectively empty.</w:t>
            </w:r>
          </w:p>
        </w:tc>
        <w:tc>
          <w:tcPr>
            <w:tcW w:type="dxa" w:w="3360"/>
            <w:tcW w:w="3360" w:type="dxa"/>
            <w:shd w:val="clear" w:color="auto" w:fill="EAF3EF"/>
          </w:tcPr>
          <w:p>
            <w:pPr>
              <w:spacing w:after="20" w:before="20"/>
            </w:pPr>
            <w:r/>
            <w:r>
              <w:rPr>
                <w:rFonts w:ascii="Arial" w:hAnsi="Arial"/>
                <w:b w:val="0"/>
                <w:i w:val="0"/>
                <w:sz w:val="17"/>
              </w:rPr>
              <w:t>base (overnight/empty) demand / peak demand.</w:t>
            </w:r>
          </w:p>
          <w:p>
            <w:pPr>
              <w:spacing w:after="20" w:before="20"/>
            </w:pPr>
            <w:r>
              <w:rPr>
                <w:rFonts w:ascii="Arial" w:hAnsi="Arial"/>
                <w:b w:val="0"/>
                <w:i w:val="0"/>
                <w:sz w:val="17"/>
              </w:rPr>
              <w:t>Source: gold_kpi_hourly - [Base Load Ratio Pct].</w:t>
            </w:r>
          </w:p>
        </w:tc>
        <w:tc>
          <w:tcPr>
            <w:tcW w:type="dxa" w:w="2250"/>
            <w:tcW w:w="2250" w:type="dxa"/>
            <w:shd w:val="clear" w:color="auto" w:fill="EAF3EF"/>
          </w:tcPr>
          <w:p>
            <w:pPr>
              <w:spacing w:after="20" w:before="20"/>
            </w:pPr>
            <w:r/>
            <w:r>
              <w:rPr>
                <w:rFonts w:ascii="Arial" w:hAnsi="Arial"/>
                <w:b w:val="0"/>
                <w:i w:val="0"/>
                <w:sz w:val="17"/>
              </w:rPr>
              <w:t>Indicative: &lt;30% lean - 30-50% typical - &gt;50% investigate (higher is normal for refrigerated/logistics).</w:t>
            </w:r>
          </w:p>
        </w:tc>
      </w:tr>
      <w:tr>
        <w:tc>
          <w:tcPr>
            <w:tcW w:type="dxa" w:w="1500"/>
            <w:tcW w:w="1500" w:type="dxa"/>
          </w:tcPr>
          <w:p>
            <w:pPr>
              <w:spacing w:after="20" w:before="20"/>
            </w:pPr>
            <w:r/>
            <w:r>
              <w:rPr>
                <w:rFonts w:ascii="Arial" w:hAnsi="Arial"/>
                <w:b/>
                <w:i w:val="0"/>
                <w:sz w:val="17"/>
              </w:rPr>
              <w:t>HDD / CDD vs consumption</w:t>
            </w:r>
          </w:p>
        </w:tc>
        <w:tc>
          <w:tcPr>
            <w:tcW w:type="dxa" w:w="2250"/>
            <w:tcW w:w="2250" w:type="dxa"/>
          </w:tcPr>
          <w:p>
            <w:pPr>
              <w:spacing w:after="20" w:before="20"/>
            </w:pPr>
            <w:r/>
            <w:r>
              <w:rPr>
                <w:rFonts w:ascii="Arial" w:hAnsi="Arial"/>
                <w:b w:val="0"/>
                <w:i w:val="0"/>
                <w:sz w:val="17"/>
              </w:rPr>
              <w:t>Sensitivity to heating- and cooling-degree-days; tight cluster = predictable, outliers = possible anomalies.</w:t>
            </w:r>
          </w:p>
        </w:tc>
        <w:tc>
          <w:tcPr>
            <w:tcW w:type="dxa" w:w="3360"/>
            <w:tcW w:w="3360" w:type="dxa"/>
          </w:tcPr>
          <w:p>
            <w:pPr>
              <w:spacing w:after="20" w:before="20"/>
            </w:pPr>
            <w:r/>
            <w:r>
              <w:rPr>
                <w:rFonts w:ascii="Arial" w:hAnsi="Arial"/>
                <w:b w:val="0"/>
                <w:i w:val="0"/>
                <w:sz w:val="17"/>
              </w:rPr>
              <w:t>Heating/cooling degree-days vs consumption.</w:t>
            </w:r>
          </w:p>
          <w:p>
            <w:pPr>
              <w:spacing w:after="20" w:before="20"/>
            </w:pPr>
            <w:r>
              <w:rPr>
                <w:rFonts w:ascii="Arial" w:hAnsi="Arial"/>
                <w:b w:val="0"/>
                <w:i w:val="0"/>
                <w:sz w:val="17"/>
              </w:rPr>
              <w:t>Source: gold_kpi_daily - [Total HDD], [Total CDD].</w:t>
            </w:r>
          </w:p>
        </w:tc>
        <w:tc>
          <w:tcPr>
            <w:tcW w:type="dxa" w:w="2250"/>
            <w:tcW w:w="2250" w:type="dxa"/>
          </w:tcPr>
          <w:p>
            <w:pPr>
              <w:spacing w:after="20" w:before="20"/>
            </w:pPr>
            <w:r/>
            <w:r>
              <w:rPr>
                <w:rFonts w:ascii="Arial" w:hAnsi="Arial"/>
                <w:b w:val="0"/>
                <w:i w:val="0"/>
                <w:sz w:val="17"/>
              </w:rPr>
              <w:t>Degree-day base aligns with the climate-adjusted EUI normalisation used elsewhere.</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The baseline line is the expected demand; sustained operation above it is the avoidable component a facility manager can act on.</w:t>
      </w:r>
    </w:p>
    <w:p>
      <w:pPr>
        <w:pStyle w:val="ListBullet"/>
        <w:spacing w:after="40"/>
      </w:pPr>
      <w:r>
        <w:rPr>
          <w:rFonts w:ascii="Arial" w:hAnsi="Arial"/>
          <w:sz w:val="20"/>
        </w:rPr>
        <w:t>Climate-adjusted EUI (ratio method on HDD+CDD) lets a mild year and a cold year be compared without crediting the weather.</w:t>
      </w:r>
    </w:p>
    <w:p>
      <w:pPr>
        <w:spacing w:after="160"/>
      </w:pPr>
      <w:r>
        <w:rPr>
          <w:rFonts w:ascii="Arial" w:hAnsi="Arial"/>
          <w:b/>
          <w:color w:val="108A5A"/>
          <w:sz w:val="20"/>
        </w:rPr>
        <w:t xml:space="preserve">Data basis: </w:t>
      </w:r>
      <w:r>
        <w:rPr>
          <w:rFonts w:ascii="Arial" w:hAnsi="Arial"/>
          <w:i/>
          <w:color w:val="556066"/>
          <w:sz w:val="20"/>
        </w:rPr>
        <w:t>Synthetic meter + weather data. Hourly profiles are modelled; when live IoT is connected (Page 8) the 24h profile can be driven by real readings.</w:t>
      </w:r>
    </w:p>
    <w:p>
      <w:r>
        <w:br w:type="page"/>
      </w:r>
    </w:p>
    <w:p>
      <w:pPr>
        <w:pStyle w:val="Heading1"/>
        <w:spacing w:before="280" w:after="120"/>
      </w:pPr>
      <w:r>
        <w:rPr>
          <w:rFonts w:ascii="Arial" w:hAnsi="Arial"/>
          <w:b/>
          <w:color w:val="121C24"/>
          <w:sz w:val="30"/>
        </w:rPr>
        <w:t>Page 3.  Anomalies &amp; Alerts</w:t>
      </w:r>
    </w:p>
    <w:p>
      <w:pPr>
        <w:spacing w:after="120"/>
      </w:pPr>
      <w:r>
        <w:rPr>
          <w:rFonts w:ascii="Arial" w:hAnsi="Arial"/>
          <w:b/>
          <w:sz w:val="19"/>
        </w:rPr>
        <w:t xml:space="preserve">Module gate: </w:t>
      </w:r>
      <w:r>
        <w:rPr>
          <w:rFonts w:ascii="Arial" w:hAnsi="Arial"/>
          <w:sz w:val="19"/>
        </w:rPr>
        <w:t xml:space="preserve">meters (always on)      </w:t>
      </w:r>
      <w:r>
        <w:rPr>
          <w:rFonts w:ascii="Arial" w:hAnsi="Arial"/>
          <w:b/>
          <w:sz w:val="19"/>
        </w:rPr>
        <w:t xml:space="preserve">Data source: </w:t>
      </w:r>
      <w:r>
        <w:rPr>
          <w:rFonts w:ascii="Arial" w:hAnsi="Arial"/>
          <w:i/>
          <w:sz w:val="19"/>
        </w:rPr>
        <w:t>gold_anomaly_log  -  rules in 03_gold_kpi_engine (section 8) + anomaly_detection.py</w:t>
      </w:r>
    </w:p>
    <w:p>
      <w:pPr>
        <w:spacing w:after="120"/>
      </w:pPr>
      <w:r>
        <w:rPr>
          <w:rFonts w:ascii="Arial" w:hAnsi="Arial"/>
          <w:b w:val="0"/>
          <w:i w:val="0"/>
          <w:sz w:val="21"/>
        </w:rPr>
        <w:t>Detected irregularities - spikes, drifts and faults that usually mean wasted energy - ranked so the costly ones surface first.</w:t>
      </w:r>
    </w:p>
    <w:p>
      <w:pPr>
        <w:spacing w:after="160"/>
      </w:pPr>
      <w:r>
        <w:rPr>
          <w:rFonts w:ascii="Arial" w:hAnsi="Arial"/>
          <w:b/>
          <w:color w:val="108A5A"/>
          <w:sz w:val="20"/>
        </w:rPr>
        <w:t xml:space="preserve">Look at first: </w:t>
      </w:r>
      <w:r>
        <w:rPr>
          <w:rFonts w:ascii="Arial" w:hAnsi="Arial"/>
          <w:i/>
          <w:color w:val="556066"/>
          <w:sz w:val="20"/>
        </w:rPr>
        <w:t>Critical and high anomalies first; each unresolved one is live, costed waste.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Anomaly list by severity</w:t>
            </w:r>
          </w:p>
        </w:tc>
        <w:tc>
          <w:tcPr>
            <w:tcW w:type="dxa" w:w="2250"/>
            <w:tcW w:w="2250" w:type="dxa"/>
          </w:tcPr>
          <w:p>
            <w:pPr>
              <w:spacing w:after="20" w:before="20"/>
            </w:pPr>
            <w:r/>
            <w:r>
              <w:rPr>
                <w:rFonts w:ascii="Arial" w:hAnsi="Arial"/>
                <w:b w:val="0"/>
                <w:i w:val="0"/>
                <w:sz w:val="17"/>
              </w:rPr>
              <w:t>Every detected event with severity, location and an estimated cost.</w:t>
            </w:r>
          </w:p>
        </w:tc>
        <w:tc>
          <w:tcPr>
            <w:tcW w:type="dxa" w:w="3360"/>
            <w:tcW w:w="3360" w:type="dxa"/>
          </w:tcPr>
          <w:p>
            <w:pPr>
              <w:spacing w:after="20" w:before="20"/>
            </w:pPr>
            <w:r/>
            <w:r>
              <w:rPr>
                <w:rFonts w:ascii="Arial" w:hAnsi="Arial"/>
                <w:b w:val="0"/>
                <w:i w:val="0"/>
                <w:sz w:val="17"/>
              </w:rPr>
              <w:t>Counts and rollups over gold_anomaly_log.</w:t>
            </w:r>
          </w:p>
          <w:p>
            <w:pPr>
              <w:spacing w:after="20" w:before="20"/>
            </w:pPr>
            <w:r>
              <w:rPr>
                <w:rFonts w:ascii="Arial" w:hAnsi="Arial"/>
                <w:b w:val="0"/>
                <w:i w:val="0"/>
                <w:sz w:val="17"/>
              </w:rPr>
              <w:t>Source: [P3 Critical/High/Medium/Low Anomaly Count], [P3 Total Anomaly Count], [P3 Resolution Rate Pct].</w:t>
            </w:r>
          </w:p>
        </w:tc>
        <w:tc>
          <w:tcPr>
            <w:tcW w:type="dxa" w:w="2250"/>
            <w:tcW w:w="2250" w:type="dxa"/>
          </w:tcPr>
          <w:p>
            <w:pPr>
              <w:spacing w:after="20" w:before="20"/>
            </w:pPr>
            <w:r/>
            <w:r>
              <w:rPr>
                <w:rFonts w:ascii="Arial" w:hAnsi="Arial"/>
                <w:b w:val="0"/>
                <w:i w:val="0"/>
                <w:sz w:val="17"/>
              </w:rPr>
              <w:t>Critical/high first. Severity is rule-specific (e.g. PR drop critical &lt;0.50, high &lt;0.60).</w:t>
            </w:r>
          </w:p>
        </w:tc>
      </w:tr>
      <w:tr>
        <w:tc>
          <w:tcPr>
            <w:tcW w:type="dxa" w:w="1500"/>
            <w:tcW w:w="1500" w:type="dxa"/>
            <w:shd w:val="clear" w:color="auto" w:fill="EAF3EF"/>
          </w:tcPr>
          <w:p>
            <w:pPr>
              <w:spacing w:after="20" w:before="20"/>
            </w:pPr>
            <w:r/>
            <w:r>
              <w:rPr>
                <w:rFonts w:ascii="Arial" w:hAnsi="Arial"/>
                <w:b/>
                <w:i w:val="0"/>
                <w:sz w:val="17"/>
              </w:rPr>
              <w:t>Detection rules (6)</w:t>
            </w:r>
          </w:p>
        </w:tc>
        <w:tc>
          <w:tcPr>
            <w:tcW w:type="dxa" w:w="2250"/>
            <w:tcW w:w="2250" w:type="dxa"/>
            <w:shd w:val="clear" w:color="auto" w:fill="EAF3EF"/>
          </w:tcPr>
          <w:p>
            <w:pPr>
              <w:spacing w:after="20" w:before="20"/>
            </w:pPr>
            <w:r/>
            <w:r>
              <w:rPr>
                <w:rFonts w:ascii="Arial" w:hAnsi="Arial"/>
                <w:b w:val="0"/>
                <w:i w:val="0"/>
                <w:sz w:val="17"/>
              </w:rPr>
              <w:t>The rule set that generates the log.</w:t>
            </w:r>
          </w:p>
        </w:tc>
        <w:tc>
          <w:tcPr>
            <w:tcW w:type="dxa" w:w="3360"/>
            <w:tcW w:w="3360" w:type="dxa"/>
            <w:shd w:val="clear" w:color="auto" w:fill="EAF3EF"/>
          </w:tcPr>
          <w:p>
            <w:pPr>
              <w:spacing w:after="20" w:before="20"/>
            </w:pPr>
            <w:r/>
            <w:r>
              <w:rPr>
                <w:rFonts w:ascii="Arial" w:hAnsi="Arial"/>
                <w:b w:val="0"/>
                <w:i w:val="0"/>
                <w:sz w:val="17"/>
              </w:rPr>
              <w:t>CONSUMPTION_SPIKE (demand &gt; ~120% baseline / 2.5x rolling avg); NIGHT_OVERCONSUMPTION; SOLAR_PR_DROP (hourly PR &lt; 0.65 while irradiance &gt; 50 W/m2); BATTERY_OVERDISCHARGE (SoC &lt; 10%); BATTERY_OVERCHARGE; DATA_QUALITY_GAP.</w:t>
            </w:r>
          </w:p>
        </w:tc>
        <w:tc>
          <w:tcPr>
            <w:tcW w:type="dxa" w:w="2250"/>
            <w:tcW w:w="2250" w:type="dxa"/>
            <w:shd w:val="clear" w:color="auto" w:fill="EAF3EF"/>
          </w:tcPr>
          <w:p>
            <w:pPr>
              <w:spacing w:after="20" w:before="20"/>
            </w:pPr>
            <w:r/>
            <w:r>
              <w:rPr>
                <w:rFonts w:ascii="Arial" w:hAnsi="Arial"/>
                <w:b w:val="0"/>
                <w:i w:val="0"/>
                <w:sz w:val="17"/>
              </w:rPr>
              <w:t>Thresholds are screening-grade and configurable (MIN_PR_THRESHOLD 0.65, spike 2.5x, SoC 10%).</w:t>
            </w:r>
          </w:p>
        </w:tc>
      </w:tr>
      <w:tr>
        <w:tc>
          <w:tcPr>
            <w:tcW w:type="dxa" w:w="1500"/>
            <w:tcW w:w="1500" w:type="dxa"/>
          </w:tcPr>
          <w:p>
            <w:pPr>
              <w:spacing w:after="20" w:before="20"/>
            </w:pPr>
            <w:r/>
            <w:r>
              <w:rPr>
                <w:rFonts w:ascii="Arial" w:hAnsi="Arial"/>
                <w:b/>
                <w:i w:val="0"/>
                <w:sz w:val="17"/>
              </w:rPr>
              <w:t>Spike vs baseline / drift</w:t>
            </w:r>
          </w:p>
        </w:tc>
        <w:tc>
          <w:tcPr>
            <w:tcW w:type="dxa" w:w="2250"/>
            <w:tcW w:w="2250" w:type="dxa"/>
          </w:tcPr>
          <w:p>
            <w:pPr>
              <w:spacing w:after="20" w:before="20"/>
            </w:pPr>
            <w:r/>
            <w:r>
              <w:rPr>
                <w:rFonts w:ascii="Arial" w:hAnsi="Arial"/>
                <w:b w:val="0"/>
                <w:i w:val="0"/>
                <w:sz w:val="17"/>
              </w:rPr>
              <w:t>One-off spikes (control fault, manual override) vs a slow upward creep (degrading equipment, loosened setpoints).</w:t>
            </w:r>
          </w:p>
        </w:tc>
        <w:tc>
          <w:tcPr>
            <w:tcW w:type="dxa" w:w="3360"/>
            <w:tcW w:w="3360" w:type="dxa"/>
          </w:tcPr>
          <w:p>
            <w:pPr>
              <w:spacing w:after="20" w:before="20"/>
            </w:pPr>
            <w:r/>
            <w:r>
              <w:rPr>
                <w:rFonts w:ascii="Arial" w:hAnsi="Arial"/>
                <w:b w:val="0"/>
                <w:i w:val="0"/>
                <w:sz w:val="17"/>
              </w:rPr>
              <w:t>Event deviation vs rolling baseline.</w:t>
            </w:r>
          </w:p>
          <w:p>
            <w:pPr>
              <w:spacing w:after="20" w:before="20"/>
            </w:pPr>
            <w:r>
              <w:rPr>
                <w:rFonts w:ascii="Arial" w:hAnsi="Arial"/>
                <w:b w:val="0"/>
                <w:i w:val="0"/>
                <w:sz w:val="17"/>
              </w:rPr>
              <w:t>Source: gold_anomaly_log - [P3 Anomaly Deviation Pct].</w:t>
            </w:r>
          </w:p>
        </w:tc>
        <w:tc>
          <w:tcPr>
            <w:tcW w:type="dxa" w:w="2250"/>
            <w:tcW w:w="2250" w:type="dxa"/>
          </w:tcPr>
          <w:p>
            <w:pPr>
              <w:spacing w:after="20" w:before="20"/>
            </w:pPr>
            <w:r/>
            <w:r>
              <w:rPr>
                <w:rFonts w:ascii="Arial" w:hAnsi="Arial"/>
                <w:b w:val="0"/>
                <w:i w:val="0"/>
                <w:sz w:val="17"/>
              </w:rPr>
              <w:t>Spike &gt; ~120% baseline flags an event; sustained drift is the more expensive pattern.</w:t>
            </w:r>
          </w:p>
        </w:tc>
      </w:tr>
      <w:tr>
        <w:tc>
          <w:tcPr>
            <w:tcW w:type="dxa" w:w="1500"/>
            <w:tcW w:w="1500" w:type="dxa"/>
            <w:shd w:val="clear" w:color="auto" w:fill="EAF3EF"/>
          </w:tcPr>
          <w:p>
            <w:pPr>
              <w:spacing w:after="20" w:before="20"/>
            </w:pPr>
            <w:r/>
            <w:r>
              <w:rPr>
                <w:rFonts w:ascii="Arial" w:hAnsi="Arial"/>
                <w:b/>
                <w:i w:val="0"/>
                <w:sz w:val="17"/>
              </w:rPr>
              <w:t>Estimated EUR impact</w:t>
            </w:r>
          </w:p>
        </w:tc>
        <w:tc>
          <w:tcPr>
            <w:tcW w:type="dxa" w:w="2250"/>
            <w:tcW w:w="2250" w:type="dxa"/>
            <w:shd w:val="clear" w:color="auto" w:fill="EAF3EF"/>
          </w:tcPr>
          <w:p>
            <w:pPr>
              <w:spacing w:after="20" w:before="20"/>
            </w:pPr>
            <w:r/>
            <w:r>
              <w:rPr>
                <w:rFonts w:ascii="Arial" w:hAnsi="Arial"/>
                <w:b w:val="0"/>
                <w:i w:val="0"/>
                <w:sz w:val="17"/>
              </w:rPr>
              <w:t>A rough cost for each unresolved anomaly, used only to prioritise.</w:t>
            </w:r>
          </w:p>
        </w:tc>
        <w:tc>
          <w:tcPr>
            <w:tcW w:type="dxa" w:w="3360"/>
            <w:tcW w:w="3360" w:type="dxa"/>
            <w:shd w:val="clear" w:color="auto" w:fill="EAF3EF"/>
          </w:tcPr>
          <w:p>
            <w:pPr>
              <w:spacing w:after="20" w:before="20"/>
            </w:pPr>
            <w:r/>
            <w:r>
              <w:rPr>
                <w:rFonts w:ascii="Arial" w:hAnsi="Arial"/>
                <w:b w:val="0"/>
                <w:i w:val="0"/>
                <w:sz w:val="17"/>
              </w:rPr>
              <w:t>cost = duration_h x power_waste_kW x grid_price.</w:t>
            </w:r>
          </w:p>
          <w:p>
            <w:pPr>
              <w:spacing w:after="20" w:before="20"/>
            </w:pPr>
            <w:r>
              <w:rPr>
                <w:rFonts w:ascii="Arial" w:hAnsi="Arial"/>
                <w:b w:val="0"/>
                <w:i w:val="0"/>
                <w:sz w:val="17"/>
              </w:rPr>
              <w:t>Source: gold_anomaly_log cost columns.</w:t>
            </w:r>
          </w:p>
        </w:tc>
        <w:tc>
          <w:tcPr>
            <w:tcW w:type="dxa" w:w="2250"/>
            <w:tcW w:w="2250" w:type="dxa"/>
            <w:shd w:val="clear" w:color="auto" w:fill="EAF3EF"/>
          </w:tcPr>
          <w:p>
            <w:pPr>
              <w:spacing w:after="20" w:before="20"/>
            </w:pPr>
            <w:r/>
            <w:r>
              <w:rPr>
                <w:rFonts w:ascii="Arial" w:hAnsi="Arial"/>
                <w:b w:val="0"/>
                <w:i w:val="0"/>
                <w:sz w:val="17"/>
              </w:rPr>
              <w:t>Always shown as 'Est.'. Grid price DE ~0.20 / TR ~0.14 EUR/kWh by building country.</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The engine separates transient spikes from persistent drift on purpose: a spike is an event to investigate; a drift is a maintenance trend that compounds.</w:t>
      </w:r>
    </w:p>
    <w:p>
      <w:pPr>
        <w:pStyle w:val="ListBullet"/>
        <w:spacing w:after="40"/>
      </w:pPr>
      <w:r>
        <w:rPr>
          <w:rFonts w:ascii="Arial" w:hAnsi="Arial"/>
          <w:sz w:val="20"/>
        </w:rPr>
        <w:t>SOLAR_PR_DROP is computed only above 50 W/m2 irradiance so that night/low-sun noise does not generate false faults.</w:t>
      </w:r>
    </w:p>
    <w:p>
      <w:pPr>
        <w:spacing w:after="160"/>
      </w:pPr>
      <w:r>
        <w:rPr>
          <w:rFonts w:ascii="Arial" w:hAnsi="Arial"/>
          <w:b/>
          <w:color w:val="108A5A"/>
          <w:sz w:val="20"/>
        </w:rPr>
        <w:t xml:space="preserve">Data basis: </w:t>
      </w:r>
      <w:r>
        <w:rPr>
          <w:rFonts w:ascii="Arial" w:hAnsi="Arial"/>
          <w:i/>
          <w:color w:val="556066"/>
          <w:sz w:val="20"/>
        </w:rPr>
        <w:t>Synthetic data with deliberately injected anomalies (e.g. a B001 August PR drop) used to verify each rule fires. Cost figures are estimates.</w:t>
      </w:r>
    </w:p>
    <w:p>
      <w:r>
        <w:br w:type="page"/>
      </w:r>
    </w:p>
    <w:p>
      <w:pPr>
        <w:pStyle w:val="Heading1"/>
        <w:spacing w:before="280" w:after="120"/>
      </w:pPr>
      <w:r>
        <w:rPr>
          <w:rFonts w:ascii="Arial" w:hAnsi="Arial"/>
          <w:b/>
          <w:color w:val="121C24"/>
          <w:sz w:val="30"/>
        </w:rPr>
        <w:t>Page 4.  Forecast &amp; Recommendations</w:t>
      </w:r>
    </w:p>
    <w:p>
      <w:pPr>
        <w:spacing w:after="120"/>
      </w:pPr>
      <w:r>
        <w:rPr>
          <w:rFonts w:ascii="Arial" w:hAnsi="Arial"/>
          <w:b/>
          <w:sz w:val="19"/>
        </w:rPr>
        <w:t xml:space="preserve">Module gate: </w:t>
      </w:r>
      <w:r>
        <w:rPr>
          <w:rFonts w:ascii="Arial" w:hAnsi="Arial"/>
          <w:sz w:val="19"/>
        </w:rPr>
        <w:t xml:space="preserve">meters (always on)      </w:t>
      </w:r>
      <w:r>
        <w:rPr>
          <w:rFonts w:ascii="Arial" w:hAnsi="Arial"/>
          <w:b/>
          <w:sz w:val="19"/>
        </w:rPr>
        <w:t xml:space="preserve">Data source: </w:t>
      </w:r>
      <w:r>
        <w:rPr>
          <w:rFonts w:ascii="Arial" w:hAnsi="Arial"/>
          <w:i/>
          <w:sz w:val="19"/>
        </w:rPr>
        <w:t>gold_consumption_forecast (forecast) + gold_recommendations (measures)</w:t>
      </w:r>
    </w:p>
    <w:p>
      <w:pPr>
        <w:spacing w:after="120"/>
      </w:pPr>
      <w:r>
        <w:rPr>
          <w:rFonts w:ascii="Arial" w:hAnsi="Arial"/>
          <w:b w:val="0"/>
          <w:i w:val="0"/>
          <w:sz w:val="21"/>
        </w:rPr>
        <w:t>Where energy and cost are heading on current behaviour, plus the recommended measures to bend the curve - ranked by economic and compliance merit.</w:t>
      </w:r>
    </w:p>
    <w:p>
      <w:pPr>
        <w:spacing w:after="160"/>
      </w:pPr>
      <w:r>
        <w:rPr>
          <w:rFonts w:ascii="Arial" w:hAnsi="Arial"/>
          <w:b/>
          <w:color w:val="108A5A"/>
          <w:sz w:val="20"/>
        </w:rPr>
        <w:t xml:space="preserve">Look at first: </w:t>
      </w:r>
      <w:r>
        <w:rPr>
          <w:rFonts w:ascii="Arial" w:hAnsi="Arial"/>
          <w:i/>
          <w:color w:val="556066"/>
          <w:sz w:val="20"/>
        </w:rPr>
        <w:t>The measures ranked by saving vs payback - start at the top.</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Consumption / cost forecast</w:t>
            </w:r>
          </w:p>
        </w:tc>
        <w:tc>
          <w:tcPr>
            <w:tcW w:type="dxa" w:w="2250"/>
            <w:tcW w:w="2250" w:type="dxa"/>
          </w:tcPr>
          <w:p>
            <w:pPr>
              <w:spacing w:after="20" w:before="20"/>
            </w:pPr>
            <w:r/>
            <w:r>
              <w:rPr>
                <w:rFonts w:ascii="Arial" w:hAnsi="Arial"/>
                <w:b w:val="0"/>
                <w:i w:val="0"/>
                <w:sz w:val="17"/>
              </w:rPr>
              <w:t>The 'do nothing' trajectory to beat, with a confidence band.</w:t>
            </w:r>
          </w:p>
        </w:tc>
        <w:tc>
          <w:tcPr>
            <w:tcW w:type="dxa" w:w="3360"/>
            <w:tcW w:w="3360" w:type="dxa"/>
          </w:tcPr>
          <w:p>
            <w:pPr>
              <w:spacing w:after="20" w:before="20"/>
            </w:pPr>
            <w:r/>
            <w:r>
              <w:rPr>
                <w:rFonts w:ascii="Arial" w:hAnsi="Arial"/>
                <w:b w:val="0"/>
                <w:i w:val="0"/>
                <w:sz w:val="17"/>
              </w:rPr>
              <w:t>Pre-computed time-series forecast with prediction interval.</w:t>
            </w:r>
          </w:p>
          <w:p>
            <w:pPr>
              <w:spacing w:after="20" w:before="20"/>
            </w:pPr>
            <w:r>
              <w:rPr>
                <w:rFonts w:ascii="Arial" w:hAnsi="Arial"/>
                <w:b w:val="0"/>
                <w:i w:val="0"/>
                <w:sz w:val="17"/>
              </w:rPr>
              <w:t>Source: gold_consumption_forecast - [Forecast Predicted kWh], [Forecast Lower/Upper Bound kWh].</w:t>
            </w:r>
          </w:p>
        </w:tc>
        <w:tc>
          <w:tcPr>
            <w:tcW w:type="dxa" w:w="2250"/>
            <w:tcW w:w="2250" w:type="dxa"/>
          </w:tcPr>
          <w:p>
            <w:pPr>
              <w:spacing w:after="20" w:before="20"/>
            </w:pPr>
            <w:r/>
            <w:r>
              <w:rPr>
                <w:rFonts w:ascii="Arial" w:hAnsi="Arial"/>
                <w:b w:val="0"/>
                <w:i w:val="0"/>
                <w:sz w:val="17"/>
              </w:rPr>
              <w:t>Forecast is precomputed in the forecast notebook; the measures simply read the predicted and bound columns.</w:t>
            </w:r>
          </w:p>
        </w:tc>
      </w:tr>
      <w:tr>
        <w:tc>
          <w:tcPr>
            <w:tcW w:type="dxa" w:w="1500"/>
            <w:tcW w:w="1500" w:type="dxa"/>
            <w:shd w:val="clear" w:color="auto" w:fill="EAF3EF"/>
          </w:tcPr>
          <w:p>
            <w:pPr>
              <w:spacing w:after="20" w:before="20"/>
            </w:pPr>
            <w:r/>
            <w:r>
              <w:rPr>
                <w:rFonts w:ascii="Arial" w:hAnsi="Arial"/>
                <w:b/>
                <w:i w:val="0"/>
                <w:sz w:val="17"/>
              </w:rPr>
              <w:t>Measures ranked by saving vs payback</w:t>
            </w:r>
          </w:p>
        </w:tc>
        <w:tc>
          <w:tcPr>
            <w:tcW w:type="dxa" w:w="2250"/>
            <w:tcW w:w="2250" w:type="dxa"/>
            <w:shd w:val="clear" w:color="auto" w:fill="EAF3EF"/>
          </w:tcPr>
          <w:p>
            <w:pPr>
              <w:spacing w:after="20" w:before="20"/>
            </w:pPr>
            <w:r/>
            <w:r>
              <w:rPr>
                <w:rFonts w:ascii="Arial" w:hAnsi="Arial"/>
                <w:b w:val="0"/>
                <w:i w:val="0"/>
                <w:sz w:val="17"/>
              </w:rPr>
              <w:t>Each retrofit/operational measure scored and ranked per building.</w:t>
            </w:r>
          </w:p>
        </w:tc>
        <w:tc>
          <w:tcPr>
            <w:tcW w:type="dxa" w:w="3360"/>
            <w:tcW w:w="3360" w:type="dxa"/>
            <w:shd w:val="clear" w:color="auto" w:fill="EAF3EF"/>
          </w:tcPr>
          <w:p>
            <w:pPr>
              <w:spacing w:after="20" w:before="20"/>
            </w:pPr>
            <w:r/>
            <w:r>
              <w:rPr>
                <w:rFonts w:ascii="Arial" w:hAnsi="Arial"/>
                <w:b w:val="0"/>
                <w:i w:val="0"/>
                <w:sz w:val="17"/>
              </w:rPr>
              <w:t>priority_score = 0.35 x compliance_urgency + 0.30 x financial(NPV/200k) + 0.20 x CO2_impact + 0.15 x payback_speed.</w:t>
            </w:r>
          </w:p>
          <w:p>
            <w:pPr>
              <w:spacing w:after="20" w:before="20"/>
            </w:pPr>
            <w:r>
              <w:rPr>
                <w:rFonts w:ascii="Arial" w:hAnsi="Arial"/>
                <w:b w:val="0"/>
                <w:i w:val="0"/>
                <w:sz w:val="17"/>
              </w:rPr>
              <w:t>Source: gold_recommendations - [Priority Sort Order], [Avg Payback Years].</w:t>
            </w:r>
          </w:p>
        </w:tc>
        <w:tc>
          <w:tcPr>
            <w:tcW w:type="dxa" w:w="2250"/>
            <w:tcW w:w="2250" w:type="dxa"/>
            <w:shd w:val="clear" w:color="auto" w:fill="EAF3EF"/>
          </w:tcPr>
          <w:p>
            <w:pPr>
              <w:spacing w:after="20" w:before="20"/>
            </w:pPr>
            <w:r/>
            <w:r>
              <w:rPr>
                <w:rFonts w:ascii="Arial" w:hAnsi="Arial"/>
                <w:b w:val="0"/>
                <w:i w:val="0"/>
                <w:sz w:val="17"/>
              </w:rPr>
              <w:t>Labels: CRITICAL &gt;=80 - HIGH &gt;=65 - MEDIUM &gt;=45 - LOW &gt;=25 - INFORMATIONAL &lt;25. Payback: &lt;3 quick - 3-7 standard - &gt;7 strategic yr.</w:t>
            </w:r>
          </w:p>
        </w:tc>
      </w:tr>
      <w:tr>
        <w:tc>
          <w:tcPr>
            <w:tcW w:type="dxa" w:w="1500"/>
            <w:tcW w:w="1500" w:type="dxa"/>
          </w:tcPr>
          <w:p>
            <w:pPr>
              <w:spacing w:after="20" w:before="20"/>
            </w:pPr>
            <w:r/>
            <w:r>
              <w:rPr>
                <w:rFonts w:ascii="Arial" w:hAnsi="Arial"/>
                <w:b/>
                <w:i w:val="0"/>
                <w:sz w:val="17"/>
              </w:rPr>
              <w:t>Economic viability gate (NPV)</w:t>
            </w:r>
          </w:p>
        </w:tc>
        <w:tc>
          <w:tcPr>
            <w:tcW w:type="dxa" w:w="2250"/>
            <w:tcW w:w="2250" w:type="dxa"/>
          </w:tcPr>
          <w:p>
            <w:pPr>
              <w:spacing w:after="20" w:before="20"/>
            </w:pPr>
            <w:r/>
            <w:r>
              <w:rPr>
                <w:rFonts w:ascii="Arial" w:hAnsi="Arial"/>
                <w:b w:val="0"/>
                <w:i w:val="0"/>
                <w:sz w:val="17"/>
              </w:rPr>
              <w:t>An optional investment that loses money is not presented as an opportunity.</w:t>
            </w:r>
          </w:p>
        </w:tc>
        <w:tc>
          <w:tcPr>
            <w:tcW w:type="dxa" w:w="3360"/>
            <w:tcW w:w="3360" w:type="dxa"/>
          </w:tcPr>
          <w:p>
            <w:pPr>
              <w:spacing w:after="20" w:before="20"/>
            </w:pPr>
            <w:r/>
            <w:r>
              <w:rPr>
                <w:rFonts w:ascii="Arial" w:hAnsi="Arial"/>
                <w:b w:val="0"/>
                <w:i w:val="0"/>
                <w:sz w:val="17"/>
              </w:rPr>
              <w:t>If npv_eur &lt;= 0 and the action is optional, priority is capped to INFORMATIONAL. Applied AFTER the savings cap so it uses the final NPV.</w:t>
            </w:r>
          </w:p>
          <w:p>
            <w:pPr>
              <w:spacing w:after="20" w:before="20"/>
            </w:pPr>
            <w:r>
              <w:rPr>
                <w:rFonts w:ascii="Arial" w:hAnsi="Arial"/>
                <w:b w:val="0"/>
                <w:i w:val="0"/>
                <w:sz w:val="17"/>
              </w:rPr>
              <w:t>Source: gold_recommendations section 9c.</w:t>
            </w:r>
          </w:p>
        </w:tc>
        <w:tc>
          <w:tcPr>
            <w:tcW w:type="dxa" w:w="2250"/>
            <w:tcW w:w="2250" w:type="dxa"/>
          </w:tcPr>
          <w:p>
            <w:pPr>
              <w:spacing w:after="20" w:before="20"/>
            </w:pPr>
            <w:r/>
            <w:r>
              <w:rPr>
                <w:rFonts w:ascii="Arial" w:hAnsi="Arial"/>
                <w:b w:val="0"/>
                <w:i w:val="0"/>
                <w:sz w:val="17"/>
              </w:rPr>
              <w:t>Compliance-mandated retrofits (heat pump, insulation, deep retrofit, audit) are EXEMPT - legal duty outranks ROI. With annuity factor 12, NPV&lt;=0 is equivalent to payback &gt;= 12 yr.</w:t>
            </w:r>
          </w:p>
        </w:tc>
      </w:tr>
      <w:tr>
        <w:tc>
          <w:tcPr>
            <w:tcW w:type="dxa" w:w="1500"/>
            <w:tcW w:w="1500" w:type="dxa"/>
            <w:shd w:val="clear" w:color="auto" w:fill="EAF3EF"/>
          </w:tcPr>
          <w:p>
            <w:pPr>
              <w:spacing w:after="20" w:before="20"/>
            </w:pPr>
            <w:r/>
            <w:r>
              <w:rPr>
                <w:rFonts w:ascii="Arial" w:hAnsi="Arial"/>
                <w:b/>
                <w:i w:val="0"/>
                <w:sz w:val="17"/>
              </w:rPr>
              <w:t>Saving potential per measure</w:t>
            </w:r>
          </w:p>
        </w:tc>
        <w:tc>
          <w:tcPr>
            <w:tcW w:type="dxa" w:w="2250"/>
            <w:tcW w:w="2250" w:type="dxa"/>
            <w:shd w:val="clear" w:color="auto" w:fill="EAF3EF"/>
          </w:tcPr>
          <w:p>
            <w:pPr>
              <w:spacing w:after="20" w:before="20"/>
            </w:pPr>
            <w:r/>
            <w:r>
              <w:rPr>
                <w:rFonts w:ascii="Arial" w:hAnsi="Arial"/>
                <w:b w:val="0"/>
                <w:i w:val="0"/>
                <w:sz w:val="17"/>
              </w:rPr>
              <w:t>Estimated annual EUR / kWh / CO2 for each measure.</w:t>
            </w:r>
          </w:p>
        </w:tc>
        <w:tc>
          <w:tcPr>
            <w:tcW w:type="dxa" w:w="3360"/>
            <w:tcW w:w="3360" w:type="dxa"/>
            <w:shd w:val="clear" w:color="auto" w:fill="EAF3EF"/>
          </w:tcPr>
          <w:p>
            <w:pPr>
              <w:spacing w:after="20" w:before="20"/>
            </w:pPr>
            <w:r/>
            <w:r>
              <w:rPr>
                <w:rFonts w:ascii="Arial" w:hAnsi="Arial"/>
                <w:b w:val="0"/>
                <w:i w:val="0"/>
                <w:sz w:val="17"/>
              </w:rPr>
              <w:t>Measure-specific sizing (e.g. INSTALL_SOLAR: roof area x yield x tariff; capex = kWp x 1050 EUR).</w:t>
            </w:r>
          </w:p>
          <w:p>
            <w:pPr>
              <w:spacing w:after="20" w:before="20"/>
            </w:pPr>
            <w:r>
              <w:rPr>
                <w:rFonts w:ascii="Arial" w:hAnsi="Arial"/>
                <w:b w:val="0"/>
                <w:i w:val="0"/>
                <w:sz w:val="17"/>
              </w:rPr>
              <w:t>Source: gold_recommendations.</w:t>
            </w:r>
          </w:p>
        </w:tc>
        <w:tc>
          <w:tcPr>
            <w:tcW w:type="dxa" w:w="2250"/>
            <w:tcW w:w="2250" w:type="dxa"/>
            <w:shd w:val="clear" w:color="auto" w:fill="EAF3EF"/>
          </w:tcPr>
          <w:p>
            <w:pPr>
              <w:spacing w:after="20" w:before="20"/>
            </w:pPr>
            <w:r/>
            <w:r>
              <w:rPr>
                <w:rFonts w:ascii="Arial" w:hAnsi="Arial"/>
                <w:b w:val="0"/>
                <w:i w:val="0"/>
                <w:sz w:val="17"/>
              </w:rPr>
              <w:t>Screening-grade - confirm with an audit before capex. A portfolio-realism cap scales a building's stacked savings to &lt;=65% of its energy cost / 75% of emissions so totals stay physical.</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Scoring is deliberately compliance-weighted (0.55 of the score) because EU MEPS/EPBD are forcing functions independent of ROI - but the NPV gate stops a money-losing OPTIONAL measure from masquerading as an opportunity.</w:t>
      </w:r>
    </w:p>
    <w:p>
      <w:pPr>
        <w:pStyle w:val="ListBullet"/>
        <w:spacing w:after="40"/>
      </w:pPr>
      <w:r>
        <w:rPr>
          <w:rFonts w:ascii="Arial" w:hAnsi="Arial"/>
          <w:sz w:val="20"/>
        </w:rPr>
        <w:t>The savings cap prevents the double-count that occurs when several measures each claim the same kWh off the same baseline.</w:t>
      </w:r>
    </w:p>
    <w:p>
      <w:pPr>
        <w:pStyle w:val="ListBullet"/>
        <w:spacing w:after="40"/>
      </w:pPr>
      <w:r>
        <w:rPr>
          <w:rFonts w:ascii="Arial" w:hAnsi="Arial"/>
          <w:sz w:val="20"/>
        </w:rPr>
        <w:t>A capex realism floor keeps paybacks physical: engineered capex is sized per m2 while savings scale with kWh, so energy-dense buildings (data centre, hospital) produced impossible sub-year paybacks. Capex is floored to a realistic minimum implied by the building's own saving (no measure pays back faster than MIN_PLAUSIBLE_PAYBACK_YR, default 1.5 yr, once soft costs are included); because the floor scales with the saving it only corrects the distorted high-intensity cases. Per-measure savings percentages were also separated so different measures stop returning identical euro figures.</w:t>
      </w:r>
    </w:p>
    <w:p>
      <w:pPr>
        <w:spacing w:after="160"/>
      </w:pPr>
      <w:r>
        <w:rPr>
          <w:rFonts w:ascii="Arial" w:hAnsi="Arial"/>
          <w:b/>
          <w:color w:val="108A5A"/>
          <w:sz w:val="20"/>
        </w:rPr>
        <w:t xml:space="preserve">Data basis: </w:t>
      </w:r>
      <w:r>
        <w:rPr>
          <w:rFonts w:ascii="Arial" w:hAnsi="Arial"/>
          <w:i/>
          <w:color w:val="556066"/>
          <w:sz w:val="20"/>
        </w:rPr>
        <w:t>Recommendation economics use real tariffs/feed-in and standard annuity assumptions; savings are screening estimates on synthetic baselines.</w:t>
      </w:r>
    </w:p>
    <w:p>
      <w:r>
        <w:br w:type="page"/>
      </w:r>
    </w:p>
    <w:p>
      <w:pPr>
        <w:pStyle w:val="Heading1"/>
        <w:spacing w:before="280" w:after="120"/>
      </w:pPr>
      <w:r>
        <w:rPr>
          <w:rFonts w:ascii="Arial" w:hAnsi="Arial"/>
          <w:b/>
          <w:color w:val="121C24"/>
          <w:sz w:val="30"/>
        </w:rPr>
        <w:t>Page 5.  Occupancy Analysis</w:t>
      </w:r>
    </w:p>
    <w:p>
      <w:pPr>
        <w:spacing w:after="120"/>
      </w:pPr>
      <w:r>
        <w:rPr>
          <w:rFonts w:ascii="Arial" w:hAnsi="Arial"/>
          <w:b/>
          <w:sz w:val="19"/>
        </w:rPr>
        <w:t xml:space="preserve">Module gate: </w:t>
      </w:r>
      <w:r>
        <w:rPr>
          <w:rFonts w:ascii="Arial" w:hAnsi="Arial"/>
          <w:sz w:val="19"/>
        </w:rPr>
        <w:t xml:space="preserve">meters (always on)      </w:t>
      </w:r>
      <w:r>
        <w:rPr>
          <w:rFonts w:ascii="Arial" w:hAnsi="Arial"/>
          <w:b/>
          <w:sz w:val="19"/>
        </w:rPr>
        <w:t xml:space="preserve">Data source: </w:t>
      </w:r>
      <w:r>
        <w:rPr>
          <w:rFonts w:ascii="Arial" w:hAnsi="Arial"/>
          <w:i/>
          <w:sz w:val="19"/>
        </w:rPr>
        <w:t>gold_occupancy_profile</w:t>
      </w:r>
    </w:p>
    <w:p>
      <w:pPr>
        <w:spacing w:after="120"/>
      </w:pPr>
      <w:r>
        <w:rPr>
          <w:rFonts w:ascii="Arial" w:hAnsi="Arial"/>
          <w:b w:val="0"/>
          <w:i w:val="0"/>
          <w:sz w:val="21"/>
        </w:rPr>
        <w:t>How occupancy drives energy use - separating base (empty) load from occupied load to expose the cheapest, no-capex savings.</w:t>
      </w:r>
    </w:p>
    <w:p>
      <w:pPr>
        <w:spacing w:after="160"/>
      </w:pPr>
      <w:r>
        <w:rPr>
          <w:rFonts w:ascii="Arial" w:hAnsi="Arial"/>
          <w:b/>
          <w:color w:val="108A5A"/>
          <w:sz w:val="20"/>
        </w:rPr>
        <w:t xml:space="preserve">Look at first: </w:t>
      </w:r>
      <w:r>
        <w:rPr>
          <w:rFonts w:ascii="Arial" w:hAnsi="Arial"/>
          <w:i/>
          <w:color w:val="556066"/>
          <w:sz w:val="20"/>
        </w:rPr>
        <w:t>High load when the building is empty - a scheduling / controls opportunity.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Base (empty) vs occupied load</w:t>
            </w:r>
          </w:p>
        </w:tc>
        <w:tc>
          <w:tcPr>
            <w:tcW w:type="dxa" w:w="2250"/>
            <w:tcW w:w="2250" w:type="dxa"/>
          </w:tcPr>
          <w:p>
            <w:pPr>
              <w:spacing w:after="20" w:before="20"/>
            </w:pPr>
            <w:r/>
            <w:r>
              <w:rPr>
                <w:rFonts w:ascii="Arial" w:hAnsi="Arial"/>
                <w:b w:val="0"/>
                <w:i w:val="0"/>
                <w:sz w:val="17"/>
              </w:rPr>
              <w:t>What runs when nobody is in the building.</w:t>
            </w:r>
          </w:p>
        </w:tc>
        <w:tc>
          <w:tcPr>
            <w:tcW w:type="dxa" w:w="3360"/>
            <w:tcW w:w="3360" w:type="dxa"/>
          </w:tcPr>
          <w:p>
            <w:pPr>
              <w:spacing w:after="20" w:before="20"/>
            </w:pPr>
            <w:r/>
            <w:r>
              <w:rPr>
                <w:rFonts w:ascii="Arial" w:hAnsi="Arial"/>
                <w:b w:val="0"/>
                <w:i w:val="0"/>
                <w:sz w:val="17"/>
              </w:rPr>
              <w:t>Empty-hour demand vs occupied-hour demand.</w:t>
            </w:r>
          </w:p>
          <w:p>
            <w:pPr>
              <w:spacing w:after="20" w:before="20"/>
            </w:pPr>
            <w:r>
              <w:rPr>
                <w:rFonts w:ascii="Arial" w:hAnsi="Arial"/>
                <w:b w:val="0"/>
                <w:i w:val="0"/>
                <w:sz w:val="17"/>
              </w:rPr>
              <w:t>Source: gold_occupancy_profile - [Ghost Load Risk Pct], [Ghost Load Annual Cost EUR].</w:t>
            </w:r>
          </w:p>
        </w:tc>
        <w:tc>
          <w:tcPr>
            <w:tcW w:type="dxa" w:w="2250"/>
            <w:tcW w:w="2250" w:type="dxa"/>
          </w:tcPr>
          <w:p>
            <w:pPr>
              <w:spacing w:after="20" w:before="20"/>
            </w:pPr>
            <w:r/>
            <w:r>
              <w:rPr>
                <w:rFonts w:ascii="Arial" w:hAnsi="Arial"/>
                <w:b w:val="0"/>
                <w:i w:val="0"/>
                <w:sz w:val="17"/>
              </w:rPr>
              <w:t>A high empty load (&gt;~50% of peak) is the cheapest fix - scheduling, not capex.</w:t>
            </w:r>
          </w:p>
        </w:tc>
      </w:tr>
      <w:tr>
        <w:tc>
          <w:tcPr>
            <w:tcW w:type="dxa" w:w="1500"/>
            <w:tcW w:w="1500" w:type="dxa"/>
            <w:shd w:val="clear" w:color="auto" w:fill="EAF3EF"/>
          </w:tcPr>
          <w:p>
            <w:pPr>
              <w:spacing w:after="20" w:before="20"/>
            </w:pPr>
            <w:r/>
            <w:r>
              <w:rPr>
                <w:rFonts w:ascii="Arial" w:hAnsi="Arial"/>
                <w:b/>
                <w:i w:val="0"/>
                <w:sz w:val="17"/>
              </w:rPr>
              <w:t>Load vs occupancy hours</w:t>
            </w:r>
          </w:p>
        </w:tc>
        <w:tc>
          <w:tcPr>
            <w:tcW w:type="dxa" w:w="2250"/>
            <w:tcW w:w="2250" w:type="dxa"/>
            <w:shd w:val="clear" w:color="auto" w:fill="EAF3EF"/>
          </w:tcPr>
          <w:p>
            <w:pPr>
              <w:spacing w:after="20" w:before="20"/>
            </w:pPr>
            <w:r/>
            <w:r>
              <w:rPr>
                <w:rFonts w:ascii="Arial" w:hAnsi="Arial"/>
                <w:b w:val="0"/>
                <w:i w:val="0"/>
                <w:sz w:val="17"/>
              </w:rPr>
              <w:t>Whether consumption actually falls after hours.</w:t>
            </w:r>
          </w:p>
        </w:tc>
        <w:tc>
          <w:tcPr>
            <w:tcW w:type="dxa" w:w="3360"/>
            <w:tcW w:w="3360" w:type="dxa"/>
            <w:shd w:val="clear" w:color="auto" w:fill="EAF3EF"/>
          </w:tcPr>
          <w:p>
            <w:pPr>
              <w:spacing w:after="20" w:before="20"/>
            </w:pPr>
            <w:r/>
            <w:r>
              <w:rPr>
                <w:rFonts w:ascii="Arial" w:hAnsi="Arial"/>
                <w:b w:val="0"/>
                <w:i w:val="0"/>
                <w:sz w:val="17"/>
              </w:rPr>
              <w:t>Consumption aligned to occupancy schedule.</w:t>
            </w:r>
          </w:p>
          <w:p>
            <w:pPr>
              <w:spacing w:after="20" w:before="20"/>
            </w:pPr>
            <w:r>
              <w:rPr>
                <w:rFonts w:ascii="Arial" w:hAnsi="Arial"/>
                <w:b w:val="0"/>
                <w:i w:val="0"/>
                <w:sz w:val="17"/>
              </w:rPr>
              <w:t>Source: gold_occupancy_profile - occupancy-by-hour measures.</w:t>
            </w:r>
          </w:p>
        </w:tc>
        <w:tc>
          <w:tcPr>
            <w:tcW w:type="dxa" w:w="2250"/>
            <w:tcW w:w="2250" w:type="dxa"/>
            <w:shd w:val="clear" w:color="auto" w:fill="EAF3EF"/>
          </w:tcPr>
          <w:p>
            <w:pPr>
              <w:spacing w:after="20" w:before="20"/>
            </w:pPr>
            <w:r/>
            <w:r>
              <w:rPr>
                <w:rFonts w:ascii="Arial" w:hAnsi="Arial"/>
                <w:b w:val="0"/>
                <w:i w:val="0"/>
                <w:sz w:val="17"/>
              </w:rPr>
              <w:t>If load does not drop after hours, timers/controls are the lever.</w:t>
            </w:r>
          </w:p>
        </w:tc>
      </w:tr>
      <w:tr>
        <w:tc>
          <w:tcPr>
            <w:tcW w:type="dxa" w:w="1500"/>
            <w:tcW w:w="1500" w:type="dxa"/>
          </w:tcPr>
          <w:p>
            <w:pPr>
              <w:spacing w:after="20" w:before="20"/>
            </w:pPr>
            <w:r/>
            <w:r>
              <w:rPr>
                <w:rFonts w:ascii="Arial" w:hAnsi="Arial"/>
                <w:b/>
                <w:i w:val="0"/>
                <w:sz w:val="17"/>
              </w:rPr>
              <w:t>Weekday / weekend pattern</w:t>
            </w:r>
          </w:p>
        </w:tc>
        <w:tc>
          <w:tcPr>
            <w:tcW w:type="dxa" w:w="2250"/>
            <w:tcW w:w="2250" w:type="dxa"/>
          </w:tcPr>
          <w:p>
            <w:pPr>
              <w:spacing w:after="20" w:before="20"/>
            </w:pPr>
            <w:r/>
            <w:r>
              <w:rPr>
                <w:rFonts w:ascii="Arial" w:hAnsi="Arial"/>
                <w:b w:val="0"/>
                <w:i w:val="0"/>
                <w:sz w:val="17"/>
              </w:rPr>
              <w:t>Always-on equipment shows up as weekend use near weekday levels.</w:t>
            </w:r>
          </w:p>
        </w:tc>
        <w:tc>
          <w:tcPr>
            <w:tcW w:type="dxa" w:w="3360"/>
            <w:tcW w:w="3360" w:type="dxa"/>
          </w:tcPr>
          <w:p>
            <w:pPr>
              <w:spacing w:after="20" w:before="20"/>
            </w:pPr>
            <w:r/>
            <w:r>
              <w:rPr>
                <w:rFonts w:ascii="Arial" w:hAnsi="Arial"/>
                <w:b w:val="0"/>
                <w:i w:val="0"/>
                <w:sz w:val="17"/>
              </w:rPr>
              <w:t>Avg occupancy by day-type.</w:t>
            </w:r>
          </w:p>
          <w:p>
            <w:pPr>
              <w:spacing w:after="20" w:before="20"/>
            </w:pPr>
            <w:r>
              <w:rPr>
                <w:rFonts w:ascii="Arial" w:hAnsi="Arial"/>
                <w:b w:val="0"/>
                <w:i w:val="0"/>
                <w:sz w:val="17"/>
              </w:rPr>
              <w:t>Source: [Avg Weekday/Weekend Occupancy Pct].</w:t>
            </w:r>
          </w:p>
        </w:tc>
        <w:tc>
          <w:tcPr>
            <w:tcW w:type="dxa" w:w="2250"/>
            <w:tcW w:w="2250" w:type="dxa"/>
          </w:tcPr>
          <w:p>
            <w:pPr>
              <w:spacing w:after="20" w:before="20"/>
            </w:pPr>
            <w:r/>
            <w:r>
              <w:rPr>
                <w:rFonts w:ascii="Arial" w:hAnsi="Arial"/>
                <w:b w:val="0"/>
                <w:i w:val="0"/>
                <w:sz w:val="17"/>
              </w:rPr>
              <w:t>Confidence shown via [Avg Profile Confidence] / [Calibrated Buildings Count].</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Ghost load (energy with the building empty) is framed in EUR/yr because it converts a controls problem into a budget line a manager can prioritise.</w:t>
      </w:r>
    </w:p>
    <w:p>
      <w:pPr>
        <w:spacing w:after="160"/>
      </w:pPr>
      <w:r>
        <w:rPr>
          <w:rFonts w:ascii="Arial" w:hAnsi="Arial"/>
          <w:b/>
          <w:color w:val="108A5A"/>
          <w:sz w:val="20"/>
        </w:rPr>
        <w:t xml:space="preserve">Data basis: </w:t>
      </w:r>
      <w:r>
        <w:rPr>
          <w:rFonts w:ascii="Arial" w:hAnsi="Arial"/>
          <w:i/>
          <w:color w:val="556066"/>
          <w:sz w:val="20"/>
        </w:rPr>
        <w:t>Occupancy is modelled/calibrated from load shape and headcount inputs, not from turnstile data - treat as indicative.</w:t>
      </w:r>
    </w:p>
    <w:p>
      <w:r>
        <w:br w:type="page"/>
      </w:r>
    </w:p>
    <w:p>
      <w:pPr>
        <w:pStyle w:val="Heading1"/>
        <w:spacing w:before="280" w:after="120"/>
      </w:pPr>
      <w:r>
        <w:rPr>
          <w:rFonts w:ascii="Arial" w:hAnsi="Arial"/>
          <w:b/>
          <w:color w:val="121C24"/>
          <w:sz w:val="30"/>
        </w:rPr>
        <w:t>Page 6.  Sustainability Compliance</w:t>
      </w:r>
    </w:p>
    <w:p>
      <w:pPr>
        <w:spacing w:after="120"/>
      </w:pPr>
      <w:r>
        <w:rPr>
          <w:rFonts w:ascii="Arial" w:hAnsi="Arial"/>
          <w:b/>
          <w:sz w:val="19"/>
        </w:rPr>
        <w:t xml:space="preserve">Module gate: </w:t>
      </w:r>
      <w:r>
        <w:rPr>
          <w:rFonts w:ascii="Arial" w:hAnsi="Arial"/>
          <w:sz w:val="19"/>
        </w:rPr>
        <w:t xml:space="preserve">meters (always on)      </w:t>
      </w:r>
      <w:r>
        <w:rPr>
          <w:rFonts w:ascii="Arial" w:hAnsi="Arial"/>
          <w:b/>
          <w:sz w:val="19"/>
        </w:rPr>
        <w:t xml:space="preserve">Data source: </w:t>
      </w:r>
      <w:r>
        <w:rPr>
          <w:rFonts w:ascii="Arial" w:hAnsi="Arial"/>
          <w:i/>
          <w:sz w:val="19"/>
        </w:rPr>
        <w:t>gold_ghg_scope + gold_compliance_results</w:t>
      </w:r>
    </w:p>
    <w:p>
      <w:pPr>
        <w:spacing w:after="120"/>
      </w:pPr>
      <w:r>
        <w:rPr>
          <w:rFonts w:ascii="Arial" w:hAnsi="Arial"/>
          <w:b w:val="0"/>
          <w:i w:val="0"/>
          <w:sz w:val="21"/>
        </w:rPr>
        <w:t>The building's carbon footprint and where it stands against the EU compliance lines (CRREM, EPC/MEPS, CSRD/ESRS).</w:t>
      </w:r>
    </w:p>
    <w:p>
      <w:pPr>
        <w:spacing w:after="160"/>
      </w:pPr>
      <w:r>
        <w:rPr>
          <w:rFonts w:ascii="Arial" w:hAnsi="Arial"/>
          <w:b/>
          <w:color w:val="108A5A"/>
          <w:sz w:val="20"/>
        </w:rPr>
        <w:t xml:space="preserve">Look at first: </w:t>
      </w:r>
      <w:r>
        <w:rPr>
          <w:rFonts w:ascii="Arial" w:hAnsi="Arial"/>
          <w:i/>
          <w:color w:val="556066"/>
          <w:sz w:val="20"/>
        </w:rPr>
        <w:t>The Scope 1/2 split and the EPC / MEPS position.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Scope 1 / 2 split</w:t>
            </w:r>
          </w:p>
        </w:tc>
        <w:tc>
          <w:tcPr>
            <w:tcW w:type="dxa" w:w="2250"/>
            <w:tcW w:w="2250" w:type="dxa"/>
          </w:tcPr>
          <w:p>
            <w:pPr>
              <w:spacing w:after="20" w:before="20"/>
            </w:pPr>
            <w:r/>
            <w:r>
              <w:rPr>
                <w:rFonts w:ascii="Arial" w:hAnsi="Arial"/>
                <w:b w:val="0"/>
                <w:i w:val="0"/>
                <w:sz w:val="17"/>
              </w:rPr>
              <w:t>On-site combustion vs purchased electricity - the split says whether to electrify or green the supply.</w:t>
            </w:r>
          </w:p>
        </w:tc>
        <w:tc>
          <w:tcPr>
            <w:tcW w:type="dxa" w:w="3360"/>
            <w:tcW w:w="3360" w:type="dxa"/>
          </w:tcPr>
          <w:p>
            <w:pPr>
              <w:spacing w:after="20" w:before="20"/>
            </w:pPr>
            <w:r/>
            <w:r>
              <w:rPr>
                <w:rFonts w:ascii="Arial" w:hAnsi="Arial"/>
                <w:b w:val="0"/>
                <w:i w:val="0"/>
                <w:sz w:val="17"/>
              </w:rPr>
              <w:t>Scope 1 = fuel x combustion factors; Scope 2 = electricity x grid factor.</w:t>
            </w:r>
          </w:p>
          <w:p>
            <w:pPr>
              <w:spacing w:after="20" w:before="20"/>
            </w:pPr>
            <w:r>
              <w:rPr>
                <w:rFonts w:ascii="Arial" w:hAnsi="Arial"/>
                <w:b w:val="0"/>
                <w:i w:val="0"/>
                <w:sz w:val="17"/>
              </w:rPr>
              <w:t>Source: gold_ghg_scope - [Scope 1 tCO2], [Scope 2 Location/Market tCO2e], [Scope 1 Share Pct].</w:t>
            </w:r>
          </w:p>
        </w:tc>
        <w:tc>
          <w:tcPr>
            <w:tcW w:type="dxa" w:w="2250"/>
            <w:tcW w:w="2250" w:type="dxa"/>
          </w:tcPr>
          <w:p>
            <w:pPr>
              <w:spacing w:after="20" w:before="20"/>
            </w:pPr>
            <w:r/>
            <w:r>
              <w:rPr>
                <w:rFonts w:ascii="Arial" w:hAnsi="Arial"/>
                <w:b w:val="0"/>
                <w:i w:val="0"/>
                <w:sz w:val="17"/>
              </w:rPr>
              <w:t>Scope 2 method (location vs market) materially moves the number - disclosed explicitly.</w:t>
            </w:r>
          </w:p>
        </w:tc>
      </w:tr>
      <w:tr>
        <w:tc>
          <w:tcPr>
            <w:tcW w:type="dxa" w:w="1500"/>
            <w:tcW w:w="1500" w:type="dxa"/>
            <w:shd w:val="clear" w:color="auto" w:fill="EAF3EF"/>
          </w:tcPr>
          <w:p>
            <w:pPr>
              <w:spacing w:after="20" w:before="20"/>
            </w:pPr>
            <w:r/>
            <w:r>
              <w:rPr>
                <w:rFonts w:ascii="Arial" w:hAnsi="Arial"/>
                <w:b/>
                <w:i w:val="0"/>
                <w:sz w:val="17"/>
              </w:rPr>
              <w:t>Carbon intensity vs CRREM</w:t>
            </w:r>
          </w:p>
        </w:tc>
        <w:tc>
          <w:tcPr>
            <w:tcW w:type="dxa" w:w="2250"/>
            <w:tcW w:w="2250" w:type="dxa"/>
            <w:shd w:val="clear" w:color="auto" w:fill="EAF3EF"/>
          </w:tcPr>
          <w:p>
            <w:pPr>
              <w:spacing w:after="20" w:before="20"/>
            </w:pPr>
            <w:r/>
            <w:r>
              <w:rPr>
                <w:rFonts w:ascii="Arial" w:hAnsi="Arial"/>
                <w:b w:val="0"/>
                <w:i w:val="0"/>
                <w:sz w:val="17"/>
              </w:rPr>
              <w:t>kgCO2/m2/yr against the 2C decarbonisation pathway; the crossing year is the 'stranding' year.</w:t>
            </w:r>
          </w:p>
        </w:tc>
        <w:tc>
          <w:tcPr>
            <w:tcW w:type="dxa" w:w="3360"/>
            <w:tcW w:w="3360" w:type="dxa"/>
            <w:shd w:val="clear" w:color="auto" w:fill="EAF3EF"/>
          </w:tcPr>
          <w:p>
            <w:pPr>
              <w:spacing w:after="20" w:before="20"/>
            </w:pPr>
            <w:r/>
            <w:r>
              <w:rPr>
                <w:rFonts w:ascii="Arial" w:hAnsi="Arial"/>
                <w:b w:val="0"/>
                <w:i w:val="0"/>
                <w:sz w:val="17"/>
              </w:rPr>
              <w:t>Carbon intensity vs CRREM pathway.</w:t>
            </w:r>
          </w:p>
          <w:p>
            <w:pPr>
              <w:spacing w:after="20" w:before="20"/>
            </w:pPr>
            <w:r>
              <w:rPr>
                <w:rFonts w:ascii="Arial" w:hAnsi="Arial"/>
                <w:b w:val="0"/>
                <w:i w:val="0"/>
                <w:sz w:val="17"/>
              </w:rPr>
              <w:t>Source: [Carbon Intensity S1S2 kgCO2 m2 yr], [CRREM Pathway 2C], [CRREM Stranding Gap/Status].</w:t>
            </w:r>
          </w:p>
        </w:tc>
        <w:tc>
          <w:tcPr>
            <w:tcW w:type="dxa" w:w="2250"/>
            <w:tcW w:w="2250" w:type="dxa"/>
            <w:shd w:val="clear" w:color="auto" w:fill="EAF3EF"/>
          </w:tcPr>
          <w:p>
            <w:pPr>
              <w:spacing w:after="20" w:before="20"/>
            </w:pPr>
            <w:r/>
            <w:r>
              <w:rPr>
                <w:rFonts w:ascii="Arial" w:hAnsi="Arial"/>
                <w:b w:val="0"/>
                <w:i w:val="0"/>
                <w:sz w:val="17"/>
              </w:rPr>
              <w:t>Stranding = the year the building crosses the tightening pathway.</w:t>
            </w:r>
          </w:p>
        </w:tc>
      </w:tr>
      <w:tr>
        <w:tc>
          <w:tcPr>
            <w:tcW w:type="dxa" w:w="1500"/>
            <w:tcW w:w="1500" w:type="dxa"/>
          </w:tcPr>
          <w:p>
            <w:pPr>
              <w:spacing w:after="20" w:before="20"/>
            </w:pPr>
            <w:r/>
            <w:r>
              <w:rPr>
                <w:rFonts w:ascii="Arial" w:hAnsi="Arial"/>
                <w:b/>
                <w:i w:val="0"/>
                <w:sz w:val="17"/>
              </w:rPr>
              <w:t>EPC / MEPS position</w:t>
            </w:r>
          </w:p>
        </w:tc>
        <w:tc>
          <w:tcPr>
            <w:tcW w:type="dxa" w:w="2250"/>
            <w:tcW w:w="2250" w:type="dxa"/>
          </w:tcPr>
          <w:p>
            <w:pPr>
              <w:spacing w:after="20" w:before="20"/>
            </w:pPr>
            <w:r/>
            <w:r>
              <w:rPr>
                <w:rFonts w:ascii="Arial" w:hAnsi="Arial"/>
                <w:b w:val="0"/>
                <w:i w:val="0"/>
                <w:sz w:val="17"/>
              </w:rPr>
              <w:t>Where the building sits against EU renovation deadlines.</w:t>
            </w:r>
          </w:p>
        </w:tc>
        <w:tc>
          <w:tcPr>
            <w:tcW w:type="dxa" w:w="3360"/>
            <w:tcW w:w="3360" w:type="dxa"/>
          </w:tcPr>
          <w:p>
            <w:pPr>
              <w:spacing w:after="20" w:before="20"/>
            </w:pPr>
            <w:r/>
            <w:r>
              <w:rPr>
                <w:rFonts w:ascii="Arial" w:hAnsi="Arial"/>
                <w:b w:val="0"/>
                <w:i w:val="0"/>
                <w:sz w:val="17"/>
              </w:rPr>
              <w:t>Area-weighted EPC.</w:t>
            </w:r>
          </w:p>
          <w:p>
            <w:pPr>
              <w:spacing w:after="20" w:before="20"/>
            </w:pPr>
            <w:r>
              <w:rPr>
                <w:rFonts w:ascii="Arial" w:hAnsi="Arial"/>
                <w:b w:val="0"/>
                <w:i w:val="0"/>
                <w:sz w:val="17"/>
              </w:rPr>
              <w:t>Source: [EPC Score/Class Area-Weighted].</w:t>
            </w:r>
          </w:p>
        </w:tc>
        <w:tc>
          <w:tcPr>
            <w:tcW w:type="dxa" w:w="2250"/>
            <w:tcW w:w="2250" w:type="dxa"/>
          </w:tcPr>
          <w:p>
            <w:pPr>
              <w:spacing w:after="20" w:before="20"/>
            </w:pPr>
            <w:r/>
            <w:r>
              <w:rPr>
                <w:rFonts w:ascii="Arial" w:hAnsi="Arial"/>
                <w:b w:val="0"/>
                <w:i w:val="0"/>
                <w:sz w:val="17"/>
              </w:rPr>
              <w:t>MEPS: worst 15% / EPC G by 2030, EPC F by 2033. EPC F/G/H = renovation watch.</w:t>
            </w:r>
          </w:p>
        </w:tc>
      </w:tr>
      <w:tr>
        <w:tc>
          <w:tcPr>
            <w:tcW w:type="dxa" w:w="1500"/>
            <w:tcW w:w="1500" w:type="dxa"/>
            <w:shd w:val="clear" w:color="auto" w:fill="EAF3EF"/>
          </w:tcPr>
          <w:p>
            <w:pPr>
              <w:spacing w:after="20" w:before="20"/>
            </w:pPr>
            <w:r/>
            <w:r>
              <w:rPr>
                <w:rFonts w:ascii="Arial" w:hAnsi="Arial"/>
                <w:b/>
                <w:i w:val="0"/>
                <w:sz w:val="17"/>
              </w:rPr>
              <w:t>Grid factor used</w:t>
            </w:r>
          </w:p>
        </w:tc>
        <w:tc>
          <w:tcPr>
            <w:tcW w:type="dxa" w:w="2250"/>
            <w:tcW w:w="2250" w:type="dxa"/>
            <w:shd w:val="clear" w:color="auto" w:fill="EAF3EF"/>
          </w:tcPr>
          <w:p>
            <w:pPr>
              <w:spacing w:after="20" w:before="20"/>
            </w:pPr>
            <w:r/>
            <w:r>
              <w:rPr>
                <w:rFonts w:ascii="Arial" w:hAnsi="Arial"/>
                <w:b w:val="0"/>
                <w:i w:val="0"/>
                <w:sz w:val="17"/>
              </w:rPr>
              <w:t>Which emission factor underlies Scope 2.</w:t>
            </w:r>
          </w:p>
        </w:tc>
        <w:tc>
          <w:tcPr>
            <w:tcW w:type="dxa" w:w="3360"/>
            <w:tcW w:w="3360" w:type="dxa"/>
            <w:shd w:val="clear" w:color="auto" w:fill="EAF3EF"/>
          </w:tcPr>
          <w:p>
            <w:pPr>
              <w:spacing w:after="20" w:before="20"/>
            </w:pPr>
            <w:r/>
            <w:r>
              <w:rPr>
                <w:rFonts w:ascii="Arial" w:hAnsi="Arial"/>
                <w:b w:val="0"/>
                <w:i w:val="0"/>
                <w:sz w:val="17"/>
              </w:rPr>
              <w:t>Year-indexed factor from ref_grid_emission_factors.</w:t>
            </w:r>
          </w:p>
          <w:p>
            <w:pPr>
              <w:spacing w:after="20" w:before="20"/>
            </w:pPr>
            <w:r>
              <w:rPr>
                <w:rFonts w:ascii="Arial" w:hAnsi="Arial"/>
                <w:b w:val="0"/>
                <w:i w:val="0"/>
                <w:sz w:val="17"/>
              </w:rPr>
              <w:t>Source: gold_ghg_scope.</w:t>
            </w:r>
          </w:p>
        </w:tc>
        <w:tc>
          <w:tcPr>
            <w:tcW w:type="dxa" w:w="2250"/>
            <w:tcW w:w="2250" w:type="dxa"/>
            <w:shd w:val="clear" w:color="auto" w:fill="EAF3EF"/>
          </w:tcPr>
          <w:p>
            <w:pPr>
              <w:spacing w:after="20" w:before="20"/>
            </w:pPr>
            <w:r/>
            <w:r>
              <w:rPr>
                <w:rFonts w:ascii="Arial" w:hAnsi="Arial"/>
                <w:b w:val="0"/>
                <w:i w:val="0"/>
                <w:sz w:val="17"/>
              </w:rPr>
              <w:t>DE location-based ~0.363 vs residual-mix ~0.725 kgCO2/kWh; TR grid ~0.442. The choice moves Scope 2 a lot.</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Scope split is the decision tool: a Scope-1-heavy building wants electrification (heat pump); a Scope-2-heavy building wants a greener supply contract or on-site PV.</w:t>
      </w:r>
    </w:p>
    <w:p>
      <w:pPr>
        <w:pStyle w:val="ListBullet"/>
        <w:spacing w:after="40"/>
      </w:pPr>
      <w:r>
        <w:rPr>
          <w:rFonts w:ascii="Arial" w:hAnsi="Arial"/>
          <w:sz w:val="20"/>
        </w:rPr>
        <w:t>Legal framing is deliberate: the platform reports 'ESRS-E1-aligned' figures, not 'CSRD-compliant' certification.</w:t>
      </w:r>
    </w:p>
    <w:p>
      <w:pPr>
        <w:spacing w:after="160"/>
      </w:pPr>
      <w:r>
        <w:rPr>
          <w:rFonts w:ascii="Arial" w:hAnsi="Arial"/>
          <w:b/>
          <w:color w:val="108A5A"/>
          <w:sz w:val="20"/>
        </w:rPr>
        <w:t xml:space="preserve">Data basis: </w:t>
      </w:r>
      <w:r>
        <w:rPr>
          <w:rFonts w:ascii="Arial" w:hAnsi="Arial"/>
          <w:i/>
          <w:color w:val="556066"/>
          <w:sz w:val="20"/>
        </w:rPr>
        <w:t>Gas/fuel data is not metered in the synthetic set; Scope 1 uses a proxy. A prior B009 carbon-levy artefact (~166k EUR synthetic) was corrected to the real GHG basis.</w:t>
      </w:r>
    </w:p>
    <w:p>
      <w:r>
        <w:br w:type="page"/>
      </w:r>
    </w:p>
    <w:p>
      <w:pPr>
        <w:pStyle w:val="Heading1"/>
        <w:spacing w:before="280" w:after="120"/>
      </w:pPr>
      <w:r>
        <w:rPr>
          <w:rFonts w:ascii="Arial" w:hAnsi="Arial"/>
          <w:b/>
          <w:color w:val="121C24"/>
          <w:sz w:val="30"/>
        </w:rPr>
        <w:t>Page 7.  HVAC Analysis</w:t>
      </w:r>
    </w:p>
    <w:p>
      <w:pPr>
        <w:spacing w:after="120"/>
      </w:pPr>
      <w:r>
        <w:rPr>
          <w:rFonts w:ascii="Arial" w:hAnsi="Arial"/>
          <w:b/>
          <w:sz w:val="19"/>
        </w:rPr>
        <w:t xml:space="preserve">Module gate: </w:t>
      </w:r>
      <w:r>
        <w:rPr>
          <w:rFonts w:ascii="Arial" w:hAnsi="Arial"/>
          <w:sz w:val="19"/>
        </w:rPr>
        <w:t xml:space="preserve">meters (always on)      </w:t>
      </w:r>
      <w:r>
        <w:rPr>
          <w:rFonts w:ascii="Arial" w:hAnsi="Arial"/>
          <w:b/>
          <w:sz w:val="19"/>
        </w:rPr>
        <w:t xml:space="preserve">Data source: </w:t>
      </w:r>
      <w:r>
        <w:rPr>
          <w:rFonts w:ascii="Arial" w:hAnsi="Arial"/>
          <w:i/>
          <w:sz w:val="19"/>
        </w:rPr>
        <w:t>gold_hvac_analytics (mirrored to mv_hvac_analytics)</w:t>
      </w:r>
    </w:p>
    <w:p>
      <w:pPr>
        <w:spacing w:after="120"/>
      </w:pPr>
      <w:r>
        <w:rPr>
          <w:rFonts w:ascii="Arial" w:hAnsi="Arial"/>
          <w:b w:val="0"/>
          <w:i w:val="0"/>
          <w:sz w:val="21"/>
        </w:rPr>
        <w:t>Heating, cooling and ventilation performance - usually the single biggest consumer and the richest source of cheap savings.</w:t>
      </w:r>
    </w:p>
    <w:p>
      <w:pPr>
        <w:spacing w:after="160"/>
      </w:pPr>
      <w:r>
        <w:rPr>
          <w:rFonts w:ascii="Arial" w:hAnsi="Arial"/>
          <w:b/>
          <w:color w:val="108A5A"/>
          <w:sz w:val="20"/>
        </w:rPr>
        <w:t xml:space="preserve">Look at first: </w:t>
      </w:r>
      <w:r>
        <w:rPr>
          <w:rFonts w:ascii="Arial" w:hAnsi="Arial"/>
          <w:i/>
          <w:color w:val="556066"/>
          <w:sz w:val="20"/>
        </w:rPr>
        <w:t>Supply-return delta-T and runtime vs occupancy - over-conditioning is common.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Supply-return delta-T</w:t>
            </w:r>
          </w:p>
        </w:tc>
        <w:tc>
          <w:tcPr>
            <w:tcW w:type="dxa" w:w="2250"/>
            <w:tcW w:w="2250" w:type="dxa"/>
          </w:tcPr>
          <w:p>
            <w:pPr>
              <w:spacing w:after="20" w:before="20"/>
            </w:pPr>
            <w:r/>
            <w:r>
              <w:rPr>
                <w:rFonts w:ascii="Arial" w:hAnsi="Arial"/>
                <w:b w:val="0"/>
                <w:i w:val="0"/>
                <w:sz w:val="17"/>
              </w:rPr>
              <w:t>The temperature difference across the coil - a health check on heat transfer and pumping.</w:t>
            </w:r>
          </w:p>
        </w:tc>
        <w:tc>
          <w:tcPr>
            <w:tcW w:type="dxa" w:w="3360"/>
            <w:tcW w:w="3360" w:type="dxa"/>
          </w:tcPr>
          <w:p>
            <w:pPr>
              <w:spacing w:after="20" w:before="20"/>
            </w:pPr>
            <w:r/>
            <w:r>
              <w:rPr>
                <w:rFonts w:ascii="Arial" w:hAnsi="Arial"/>
                <w:b w:val="0"/>
                <w:i w:val="0"/>
                <w:sz w:val="17"/>
              </w:rPr>
              <w:t>supply_temp - return_temp.</w:t>
            </w:r>
          </w:p>
          <w:p>
            <w:pPr>
              <w:spacing w:after="20" w:before="20"/>
            </w:pPr>
            <w:r>
              <w:rPr>
                <w:rFonts w:ascii="Arial" w:hAnsi="Arial"/>
                <w:b w:val="0"/>
                <w:i w:val="0"/>
                <w:sz w:val="17"/>
              </w:rPr>
              <w:t>Source: gold_hvac_analytics.</w:t>
            </w:r>
          </w:p>
        </w:tc>
        <w:tc>
          <w:tcPr>
            <w:tcW w:type="dxa" w:w="2250"/>
            <w:tcW w:w="2250" w:type="dxa"/>
          </w:tcPr>
          <w:p>
            <w:pPr>
              <w:spacing w:after="20" w:before="20"/>
            </w:pPr>
            <w:r/>
            <w:r>
              <w:rPr>
                <w:rFonts w:ascii="Arial" w:hAnsi="Arial"/>
                <w:b w:val="0"/>
                <w:i w:val="0"/>
                <w:sz w:val="17"/>
              </w:rPr>
              <w:t>Heating design ~10-20 K, cooling ~5-7 K. A collapsed delta-T = low-delta-T syndrome (over-pumping, poor transfer).</w:t>
            </w:r>
          </w:p>
        </w:tc>
      </w:tr>
      <w:tr>
        <w:tc>
          <w:tcPr>
            <w:tcW w:type="dxa" w:w="1500"/>
            <w:tcW w:w="1500" w:type="dxa"/>
            <w:shd w:val="clear" w:color="auto" w:fill="EAF3EF"/>
          </w:tcPr>
          <w:p>
            <w:pPr>
              <w:spacing w:after="20" w:before="20"/>
            </w:pPr>
            <w:r/>
            <w:r>
              <w:rPr>
                <w:rFonts w:ascii="Arial" w:hAnsi="Arial"/>
                <w:b/>
                <w:i w:val="0"/>
                <w:sz w:val="17"/>
              </w:rPr>
              <w:t>Runtime vs occupancy</w:t>
            </w:r>
          </w:p>
        </w:tc>
        <w:tc>
          <w:tcPr>
            <w:tcW w:type="dxa" w:w="2250"/>
            <w:tcW w:w="2250" w:type="dxa"/>
            <w:shd w:val="clear" w:color="auto" w:fill="EAF3EF"/>
          </w:tcPr>
          <w:p>
            <w:pPr>
              <w:spacing w:after="20" w:before="20"/>
            </w:pPr>
            <w:r/>
            <w:r>
              <w:rPr>
                <w:rFonts w:ascii="Arial" w:hAnsi="Arial"/>
                <w:b w:val="0"/>
                <w:i w:val="0"/>
                <w:sz w:val="17"/>
              </w:rPr>
              <w:t>Conditioning that runs outside occupied hours.</w:t>
            </w:r>
          </w:p>
        </w:tc>
        <w:tc>
          <w:tcPr>
            <w:tcW w:type="dxa" w:w="3360"/>
            <w:tcW w:w="3360" w:type="dxa"/>
            <w:shd w:val="clear" w:color="auto" w:fill="EAF3EF"/>
          </w:tcPr>
          <w:p>
            <w:pPr>
              <w:spacing w:after="20" w:before="20"/>
            </w:pPr>
            <w:r/>
            <w:r>
              <w:rPr>
                <w:rFonts w:ascii="Arial" w:hAnsi="Arial"/>
                <w:b w:val="0"/>
                <w:i w:val="0"/>
                <w:sz w:val="17"/>
              </w:rPr>
              <w:t>HVAC runtime aligned to occupancy.</w:t>
            </w:r>
          </w:p>
          <w:p>
            <w:pPr>
              <w:spacing w:after="20" w:before="20"/>
            </w:pPr>
            <w:r>
              <w:rPr>
                <w:rFonts w:ascii="Arial" w:hAnsi="Arial"/>
                <w:b w:val="0"/>
                <w:i w:val="0"/>
                <w:sz w:val="17"/>
              </w:rPr>
              <w:t>Source: gold_hvac_analytics.</w:t>
            </w:r>
          </w:p>
        </w:tc>
        <w:tc>
          <w:tcPr>
            <w:tcW w:type="dxa" w:w="2250"/>
            <w:tcW w:w="2250" w:type="dxa"/>
            <w:shd w:val="clear" w:color="auto" w:fill="EAF3EF"/>
          </w:tcPr>
          <w:p>
            <w:pPr>
              <w:spacing w:after="20" w:before="20"/>
            </w:pPr>
            <w:r/>
            <w:r>
              <w:rPr>
                <w:rFonts w:ascii="Arial" w:hAnsi="Arial"/>
                <w:b w:val="0"/>
                <w:i w:val="0"/>
                <w:sz w:val="17"/>
              </w:rPr>
              <w:t>The most common and cheapest waste to cut.</w:t>
            </w:r>
          </w:p>
        </w:tc>
      </w:tr>
      <w:tr>
        <w:tc>
          <w:tcPr>
            <w:tcW w:type="dxa" w:w="1500"/>
            <w:tcW w:w="1500" w:type="dxa"/>
          </w:tcPr>
          <w:p>
            <w:pPr>
              <w:spacing w:after="20" w:before="20"/>
            </w:pPr>
            <w:r/>
            <w:r>
              <w:rPr>
                <w:rFonts w:ascii="Arial" w:hAnsi="Arial"/>
                <w:b/>
                <w:i w:val="0"/>
                <w:sz w:val="17"/>
              </w:rPr>
              <w:t>Heat pump COP / JAZ</w:t>
            </w:r>
          </w:p>
        </w:tc>
        <w:tc>
          <w:tcPr>
            <w:tcW w:type="dxa" w:w="2250"/>
            <w:tcW w:w="2250" w:type="dxa"/>
          </w:tcPr>
          <w:p>
            <w:pPr>
              <w:spacing w:after="20" w:before="20"/>
            </w:pPr>
            <w:r/>
            <w:r>
              <w:rPr>
                <w:rFonts w:ascii="Arial" w:hAnsi="Arial"/>
                <w:b w:val="0"/>
                <w:i w:val="0"/>
                <w:sz w:val="17"/>
              </w:rPr>
              <w:t>Coefficient of performance / seasonal performance factor.</w:t>
            </w:r>
          </w:p>
        </w:tc>
        <w:tc>
          <w:tcPr>
            <w:tcW w:type="dxa" w:w="3360"/>
            <w:tcW w:w="3360" w:type="dxa"/>
          </w:tcPr>
          <w:p>
            <w:pPr>
              <w:spacing w:after="20" w:before="20"/>
            </w:pPr>
            <w:r/>
            <w:r>
              <w:rPr>
                <w:rFonts w:ascii="Arial" w:hAnsi="Arial"/>
                <w:b w:val="0"/>
                <w:i w:val="0"/>
                <w:sz w:val="17"/>
              </w:rPr>
              <w:t>Rated-COP based; degraded in cold = sizing or defrost issue.</w:t>
            </w:r>
          </w:p>
          <w:p>
            <w:pPr>
              <w:spacing w:after="20" w:before="20"/>
            </w:pPr>
            <w:r>
              <w:rPr>
                <w:rFonts w:ascii="Arial" w:hAnsi="Arial"/>
                <w:b w:val="0"/>
                <w:i w:val="0"/>
                <w:sz w:val="17"/>
              </w:rPr>
              <w:t>Source: gold_hvac_analytics - [HVAC Avg COP].</w:t>
            </w:r>
          </w:p>
        </w:tc>
        <w:tc>
          <w:tcPr>
            <w:tcW w:type="dxa" w:w="2250"/>
            <w:tcW w:w="2250" w:type="dxa"/>
          </w:tcPr>
          <w:p>
            <w:pPr>
              <w:spacing w:after="20" w:before="20"/>
            </w:pPr>
            <w:r/>
            <w:r>
              <w:rPr>
                <w:rFonts w:ascii="Arial" w:hAnsi="Arial"/>
                <w:b w:val="0"/>
                <w:i w:val="0"/>
                <w:sz w:val="17"/>
              </w:rPr>
              <w:t>~3.0 is a floor; 3.5-4.5 air-source / 4-5 ground-source is healthy.</w:t>
            </w:r>
          </w:p>
        </w:tc>
      </w:tr>
      <w:tr>
        <w:tc>
          <w:tcPr>
            <w:tcW w:type="dxa" w:w="1500"/>
            <w:tcW w:w="1500" w:type="dxa"/>
            <w:shd w:val="clear" w:color="auto" w:fill="EAF3EF"/>
          </w:tcPr>
          <w:p>
            <w:pPr>
              <w:spacing w:after="20" w:before="20"/>
            </w:pPr>
            <w:r/>
            <w:r>
              <w:rPr>
                <w:rFonts w:ascii="Arial" w:hAnsi="Arial"/>
                <w:b/>
                <w:i w:val="0"/>
                <w:sz w:val="17"/>
              </w:rPr>
              <w:t>Setpoint deviation &amp; insulation</w:t>
            </w:r>
          </w:p>
        </w:tc>
        <w:tc>
          <w:tcPr>
            <w:tcW w:type="dxa" w:w="2250"/>
            <w:tcW w:w="2250" w:type="dxa"/>
            <w:shd w:val="clear" w:color="auto" w:fill="EAF3EF"/>
          </w:tcPr>
          <w:p>
            <w:pPr>
              <w:spacing w:after="20" w:before="20"/>
            </w:pPr>
            <w:r/>
            <w:r>
              <w:rPr>
                <w:rFonts w:ascii="Arial" w:hAnsi="Arial"/>
                <w:b w:val="0"/>
                <w:i w:val="0"/>
                <w:sz w:val="17"/>
              </w:rPr>
              <w:t>Over-conditioning cost and envelope quality.</w:t>
            </w:r>
          </w:p>
        </w:tc>
        <w:tc>
          <w:tcPr>
            <w:tcW w:type="dxa" w:w="3360"/>
            <w:tcW w:w="3360" w:type="dxa"/>
            <w:shd w:val="clear" w:color="auto" w:fill="EAF3EF"/>
          </w:tcPr>
          <w:p>
            <w:pPr>
              <w:spacing w:after="20" w:before="20"/>
            </w:pPr>
            <w:r/>
            <w:r>
              <w:rPr>
                <w:rFonts w:ascii="Arial" w:hAnsi="Arial"/>
                <w:b w:val="0"/>
                <w:i w:val="0"/>
                <w:sz w:val="17"/>
              </w:rPr>
              <w:t>Each degC of over-conditioning ~ 2-5 kW extra. Insulation score recalibrated to a 0-anchor worst-stock baseline; heat-loss badge = transmission loss.</w:t>
            </w:r>
          </w:p>
          <w:p>
            <w:pPr>
              <w:spacing w:after="20" w:before="20"/>
            </w:pPr>
            <w:r>
              <w:rPr>
                <w:rFonts w:ascii="Arial" w:hAnsi="Arial"/>
                <w:b w:val="0"/>
                <w:i w:val="0"/>
                <w:sz w:val="17"/>
              </w:rPr>
              <w:t>Source: gold_hvac_analytics - [HVAC Ventilation Share Pct].</w:t>
            </w:r>
          </w:p>
        </w:tc>
        <w:tc>
          <w:tcPr>
            <w:tcW w:type="dxa" w:w="2250"/>
            <w:tcW w:w="2250" w:type="dxa"/>
            <w:shd w:val="clear" w:color="auto" w:fill="EAF3EF"/>
          </w:tcPr>
          <w:p>
            <w:pPr>
              <w:spacing w:after="20" w:before="20"/>
            </w:pPr>
            <w:r/>
            <w:r>
              <w:rPr>
                <w:rFonts w:ascii="Arial" w:hAnsi="Arial"/>
                <w:b w:val="0"/>
                <w:i w:val="0"/>
                <w:sz w:val="17"/>
              </w:rPr>
              <w:t>Small setpoint changes pay back fast. CO2 figures annualised (16.5k -&gt; 7.1k correction).</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delta-T and runtime are first because they are free to fix (controls), before any talk of equipment capex.</w:t>
      </w:r>
    </w:p>
    <w:p>
      <w:pPr>
        <w:pStyle w:val="ListBullet"/>
        <w:spacing w:after="40"/>
      </w:pPr>
      <w:r>
        <w:rPr>
          <w:rFonts w:ascii="Arial" w:hAnsi="Arial"/>
          <w:sz w:val="20"/>
        </w:rPr>
        <w:t>COP is anchored to rated performance so a healthy unit in a cold snap is not mis-flagged as failing.</w:t>
      </w:r>
    </w:p>
    <w:p>
      <w:pPr>
        <w:spacing w:after="160"/>
      </w:pPr>
      <w:r>
        <w:rPr>
          <w:rFonts w:ascii="Arial" w:hAnsi="Arial"/>
          <w:b/>
          <w:color w:val="108A5A"/>
          <w:sz w:val="20"/>
        </w:rPr>
        <w:t xml:space="preserve">Data basis: </w:t>
      </w:r>
      <w:r>
        <w:rPr>
          <w:rFonts w:ascii="Arial" w:hAnsi="Arial"/>
          <w:i/>
          <w:color w:val="556066"/>
          <w:sz w:val="20"/>
        </w:rPr>
        <w:t>Synthetic HVAC telemetry; COP/insulation recalibrated this finalisation pass for physical realism.</w:t>
      </w:r>
    </w:p>
    <w:p>
      <w:r>
        <w:br w:type="page"/>
      </w:r>
    </w:p>
    <w:p>
      <w:pPr>
        <w:pStyle w:val="Heading1"/>
        <w:spacing w:before="280" w:after="120"/>
      </w:pPr>
      <w:r>
        <w:rPr>
          <w:rFonts w:ascii="Arial" w:hAnsi="Arial"/>
          <w:b/>
          <w:color w:val="121C24"/>
          <w:sz w:val="30"/>
        </w:rPr>
        <w:t>Page 8.  IoT Monitoring</w:t>
      </w:r>
    </w:p>
    <w:p>
      <w:pPr>
        <w:spacing w:after="120"/>
      </w:pPr>
      <w:r>
        <w:rPr>
          <w:rFonts w:ascii="Arial" w:hAnsi="Arial"/>
          <w:b/>
          <w:sz w:val="19"/>
        </w:rPr>
        <w:t xml:space="preserve">Module gate: </w:t>
      </w:r>
      <w:r>
        <w:rPr>
          <w:rFonts w:ascii="Arial" w:hAnsi="Arial"/>
          <w:sz w:val="19"/>
        </w:rPr>
        <w:t xml:space="preserve">iot (gated)      </w:t>
      </w:r>
      <w:r>
        <w:rPr>
          <w:rFonts w:ascii="Arial" w:hAnsi="Arial"/>
          <w:b/>
          <w:sz w:val="19"/>
        </w:rPr>
        <w:t xml:space="preserve">Data source: </w:t>
      </w:r>
      <w:r>
        <w:rPr>
          <w:rFonts w:ascii="Arial" w:hAnsi="Arial"/>
          <w:i/>
          <w:sz w:val="19"/>
        </w:rPr>
        <w:t>gold_iot_realtime + gold_iot_fdd  -  Event Hub -&gt; EventStream -&gt; KQL + Lakehouse</w:t>
      </w:r>
    </w:p>
    <w:p>
      <w:pPr>
        <w:spacing w:after="120"/>
      </w:pPr>
      <w:r>
        <w:rPr>
          <w:rFonts w:ascii="Arial" w:hAnsi="Arial"/>
          <w:b w:val="0"/>
          <w:i w:val="0"/>
          <w:sz w:val="21"/>
        </w:rPr>
        <w:t>Live sensor readings - real-time power, comfort and air quality - for facility and energy managers.</w:t>
      </w:r>
    </w:p>
    <w:p>
      <w:pPr>
        <w:spacing w:after="160"/>
      </w:pPr>
      <w:r>
        <w:rPr>
          <w:rFonts w:ascii="Arial" w:hAnsi="Arial"/>
          <w:b/>
          <w:color w:val="108A5A"/>
          <w:sz w:val="20"/>
        </w:rPr>
        <w:t xml:space="preserve">Look at first: </w:t>
      </w:r>
      <w:r>
        <w:rPr>
          <w:rFonts w:ascii="Arial" w:hAnsi="Arial"/>
          <w:i/>
          <w:color w:val="556066"/>
          <w:sz w:val="20"/>
        </w:rPr>
        <w:t>Zones outside the comfort band, and any sensors that have gone quiet.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Live power (building + HVAC)</w:t>
            </w:r>
          </w:p>
        </w:tc>
        <w:tc>
          <w:tcPr>
            <w:tcW w:type="dxa" w:w="2250"/>
            <w:tcW w:w="2250" w:type="dxa"/>
          </w:tcPr>
          <w:p>
            <w:pPr>
              <w:spacing w:after="20" w:before="20"/>
            </w:pPr>
            <w:r/>
            <w:r>
              <w:rPr>
                <w:rFonts w:ascii="Arial" w:hAnsi="Arial"/>
                <w:b w:val="0"/>
                <w:i w:val="0"/>
                <w:sz w:val="17"/>
              </w:rPr>
              <w:t>Real-time kW vs baseline, split building-total and HVAC-only.</w:t>
            </w:r>
          </w:p>
        </w:tc>
        <w:tc>
          <w:tcPr>
            <w:tcW w:type="dxa" w:w="3360"/>
            <w:tcW w:w="3360" w:type="dxa"/>
          </w:tcPr>
          <w:p>
            <w:pPr>
              <w:spacing w:after="20" w:before="20"/>
            </w:pPr>
            <w:r/>
            <w:r>
              <w:rPr>
                <w:rFonts w:ascii="Arial" w:hAnsi="Arial"/>
                <w:b w:val="0"/>
                <w:i w:val="0"/>
                <w:sz w:val="17"/>
              </w:rPr>
              <w:t>Latest readings vs baseline, green/amber/red.</w:t>
            </w:r>
          </w:p>
          <w:p>
            <w:pPr>
              <w:spacing w:after="20" w:before="20"/>
            </w:pPr>
            <w:r>
              <w:rPr>
                <w:rFonts w:ascii="Arial" w:hAnsi="Arial"/>
                <w:b w:val="0"/>
                <w:i w:val="0"/>
                <w:sz w:val="17"/>
              </w:rPr>
              <w:t>Source: gold_iot_realtime.</w:t>
            </w:r>
          </w:p>
        </w:tc>
        <w:tc>
          <w:tcPr>
            <w:tcW w:type="dxa" w:w="2250"/>
            <w:tcW w:w="2250" w:type="dxa"/>
          </w:tcPr>
          <w:p>
            <w:pPr>
              <w:spacing w:after="20" w:before="20"/>
            </w:pPr>
            <w:r/>
            <w:r>
              <w:rPr>
                <w:rFonts w:ascii="Arial" w:hAnsi="Arial"/>
                <w:b w:val="0"/>
                <w:i w:val="0"/>
                <w:sz w:val="17"/>
              </w:rPr>
              <w:t>A sustained red is money leaking right now.</w:t>
            </w:r>
          </w:p>
        </w:tc>
      </w:tr>
      <w:tr>
        <w:tc>
          <w:tcPr>
            <w:tcW w:type="dxa" w:w="1500"/>
            <w:tcW w:w="1500" w:type="dxa"/>
            <w:shd w:val="clear" w:color="auto" w:fill="EAF3EF"/>
          </w:tcPr>
          <w:p>
            <w:pPr>
              <w:spacing w:after="20" w:before="20"/>
            </w:pPr>
            <w:r/>
            <w:r>
              <w:rPr>
                <w:rFonts w:ascii="Arial" w:hAnsi="Arial"/>
                <w:b/>
                <w:i w:val="0"/>
                <w:sz w:val="17"/>
              </w:rPr>
              <w:t>CO2 by zone</w:t>
            </w:r>
          </w:p>
        </w:tc>
        <w:tc>
          <w:tcPr>
            <w:tcW w:type="dxa" w:w="2250"/>
            <w:tcW w:w="2250" w:type="dxa"/>
            <w:shd w:val="clear" w:color="auto" w:fill="EAF3EF"/>
          </w:tcPr>
          <w:p>
            <w:pPr>
              <w:spacing w:after="20" w:before="20"/>
            </w:pPr>
            <w:r/>
            <w:r>
              <w:rPr>
                <w:rFonts w:ascii="Arial" w:hAnsi="Arial"/>
                <w:b w:val="0"/>
                <w:i w:val="0"/>
                <w:sz w:val="17"/>
              </w:rPr>
              <w:t>Air-quality / ventilation adequacy per zone.</w:t>
            </w:r>
          </w:p>
        </w:tc>
        <w:tc>
          <w:tcPr>
            <w:tcW w:type="dxa" w:w="3360"/>
            <w:tcW w:w="3360" w:type="dxa"/>
            <w:shd w:val="clear" w:color="auto" w:fill="EAF3EF"/>
          </w:tcPr>
          <w:p>
            <w:pPr>
              <w:spacing w:after="20" w:before="20"/>
            </w:pPr>
            <w:r/>
            <w:r>
              <w:rPr>
                <w:rFonts w:ascii="Arial" w:hAnsi="Arial"/>
                <w:b w:val="0"/>
                <w:i w:val="0"/>
                <w:sz w:val="17"/>
              </w:rPr>
              <w:t>Latest CO2 ppm per zone.</w:t>
            </w:r>
          </w:p>
          <w:p>
            <w:pPr>
              <w:spacing w:after="20" w:before="20"/>
            </w:pPr>
            <w:r>
              <w:rPr>
                <w:rFonts w:ascii="Arial" w:hAnsi="Arial"/>
                <w:b w:val="0"/>
                <w:i w:val="0"/>
                <w:sz w:val="17"/>
              </w:rPr>
              <w:t>Source: gold_iot_realtime.</w:t>
            </w:r>
          </w:p>
        </w:tc>
        <w:tc>
          <w:tcPr>
            <w:tcW w:type="dxa" w:w="2250"/>
            <w:tcW w:w="2250" w:type="dxa"/>
            <w:shd w:val="clear" w:color="auto" w:fill="EAF3EF"/>
          </w:tcPr>
          <w:p>
            <w:pPr>
              <w:spacing w:after="20" w:before="20"/>
            </w:pPr>
            <w:r/>
            <w:r>
              <w:rPr>
                <w:rFonts w:ascii="Arial" w:hAnsi="Arial"/>
                <w:b w:val="0"/>
                <w:i w:val="0"/>
                <w:sz w:val="17"/>
              </w:rPr>
              <w:t>&lt;800 ppm good - 800-1500 fair - &gt;1500 poor (under-ventilation or over-occupancy).</w:t>
            </w:r>
          </w:p>
        </w:tc>
      </w:tr>
      <w:tr>
        <w:tc>
          <w:tcPr>
            <w:tcW w:type="dxa" w:w="1500"/>
            <w:tcW w:w="1500" w:type="dxa"/>
          </w:tcPr>
          <w:p>
            <w:pPr>
              <w:spacing w:after="20" w:before="20"/>
            </w:pPr>
            <w:r/>
            <w:r>
              <w:rPr>
                <w:rFonts w:ascii="Arial" w:hAnsi="Arial"/>
                <w:b/>
                <w:i w:val="0"/>
                <w:sz w:val="17"/>
              </w:rPr>
              <w:t>Comfort band</w:t>
            </w:r>
          </w:p>
        </w:tc>
        <w:tc>
          <w:tcPr>
            <w:tcW w:type="dxa" w:w="2250"/>
            <w:tcW w:w="2250" w:type="dxa"/>
          </w:tcPr>
          <w:p>
            <w:pPr>
              <w:spacing w:after="20" w:before="20"/>
            </w:pPr>
            <w:r/>
            <w:r>
              <w:rPr>
                <w:rFonts w:ascii="Arial" w:hAnsi="Arial"/>
                <w:b w:val="0"/>
                <w:i w:val="0"/>
                <w:sz w:val="17"/>
              </w:rPr>
              <w:t>Zones inside/outside the occupied comfort range.</w:t>
            </w:r>
          </w:p>
        </w:tc>
        <w:tc>
          <w:tcPr>
            <w:tcW w:type="dxa" w:w="3360"/>
            <w:tcW w:w="3360" w:type="dxa"/>
          </w:tcPr>
          <w:p>
            <w:pPr>
              <w:spacing w:after="20" w:before="20"/>
            </w:pPr>
            <w:r/>
            <w:r>
              <w:rPr>
                <w:rFonts w:ascii="Arial" w:hAnsi="Arial"/>
                <w:b w:val="0"/>
                <w:i w:val="0"/>
                <w:sz w:val="17"/>
              </w:rPr>
              <w:t>Zone temperature vs setpoint band.</w:t>
            </w:r>
          </w:p>
          <w:p>
            <w:pPr>
              <w:spacing w:after="20" w:before="20"/>
            </w:pPr>
            <w:r>
              <w:rPr>
                <w:rFonts w:ascii="Arial" w:hAnsi="Arial"/>
                <w:b w:val="0"/>
                <w:i w:val="0"/>
                <w:sz w:val="17"/>
              </w:rPr>
              <w:t>Source: gold_iot_realtime.</w:t>
            </w:r>
          </w:p>
        </w:tc>
        <w:tc>
          <w:tcPr>
            <w:tcW w:type="dxa" w:w="2250"/>
            <w:tcW w:w="2250" w:type="dxa"/>
          </w:tcPr>
          <w:p>
            <w:pPr>
              <w:spacing w:after="20" w:before="20"/>
            </w:pPr>
            <w:r/>
            <w:r>
              <w:rPr>
                <w:rFonts w:ascii="Arial" w:hAnsi="Arial"/>
                <w:b w:val="0"/>
                <w:i w:val="0"/>
                <w:sz w:val="17"/>
              </w:rPr>
              <w:t>~20-24 degC occupied. Outside = complaints and usually over-conditioning.</w:t>
            </w:r>
          </w:p>
        </w:tc>
      </w:tr>
      <w:tr>
        <w:tc>
          <w:tcPr>
            <w:tcW w:type="dxa" w:w="1500"/>
            <w:tcW w:w="1500" w:type="dxa"/>
            <w:shd w:val="clear" w:color="auto" w:fill="EAF3EF"/>
          </w:tcPr>
          <w:p>
            <w:pPr>
              <w:spacing w:after="20" w:before="20"/>
            </w:pPr>
            <w:r/>
            <w:r>
              <w:rPr>
                <w:rFonts w:ascii="Arial" w:hAnsi="Arial"/>
                <w:b/>
                <w:i w:val="0"/>
                <w:sz w:val="17"/>
              </w:rPr>
              <w:t>Sensor uptime + FDD cost</w:t>
            </w:r>
          </w:p>
        </w:tc>
        <w:tc>
          <w:tcPr>
            <w:tcW w:type="dxa" w:w="2250"/>
            <w:tcW w:w="2250" w:type="dxa"/>
            <w:shd w:val="clear" w:color="auto" w:fill="EAF3EF"/>
          </w:tcPr>
          <w:p>
            <w:pPr>
              <w:spacing w:after="20" w:before="20"/>
            </w:pPr>
            <w:r/>
            <w:r>
              <w:rPr>
                <w:rFonts w:ascii="Arial" w:hAnsi="Arial"/>
                <w:b w:val="0"/>
                <w:i w:val="0"/>
                <w:sz w:val="17"/>
              </w:rPr>
              <w:t>Which sensors are reporting, and the estimated cost of detected faults.</w:t>
            </w:r>
          </w:p>
        </w:tc>
        <w:tc>
          <w:tcPr>
            <w:tcW w:type="dxa" w:w="3360"/>
            <w:tcW w:w="3360" w:type="dxa"/>
            <w:shd w:val="clear" w:color="auto" w:fill="EAF3EF"/>
          </w:tcPr>
          <w:p>
            <w:pPr>
              <w:spacing w:after="20" w:before="20"/>
            </w:pPr>
            <w:r/>
            <w:r>
              <w:rPr>
                <w:rFonts w:ascii="Arial" w:hAnsi="Arial"/>
                <w:b w:val="0"/>
                <w:i w:val="0"/>
                <w:sz w:val="17"/>
              </w:rPr>
              <w:t>Fault detection &amp; diagnosis with a cost estimate.</w:t>
            </w:r>
          </w:p>
          <w:p>
            <w:pPr>
              <w:spacing w:after="20" w:before="20"/>
            </w:pPr>
            <w:r>
              <w:rPr>
                <w:rFonts w:ascii="Arial" w:hAnsi="Arial"/>
                <w:b w:val="0"/>
                <w:i w:val="0"/>
                <w:sz w:val="17"/>
              </w:rPr>
              <w:t>Source: gold_iot_fdd - [IoT FDD Cost Today EUR], [priority_score]. Freshness = MAX(event_date).</w:t>
            </w:r>
          </w:p>
        </w:tc>
        <w:tc>
          <w:tcPr>
            <w:tcW w:type="dxa" w:w="2250"/>
            <w:tcW w:w="2250" w:type="dxa"/>
            <w:shd w:val="clear" w:color="auto" w:fill="EAF3EF"/>
          </w:tcPr>
          <w:p>
            <w:pPr>
              <w:spacing w:after="20" w:before="20"/>
            </w:pPr>
            <w:r/>
            <w:r>
              <w:rPr>
                <w:rFonts w:ascii="Arial" w:hAnsi="Arial"/>
                <w:b w:val="0"/>
                <w:i w:val="0"/>
                <w:sz w:val="17"/>
              </w:rPr>
              <w:t>Anomaly cost = duration x power_waste x grid price (HVAC 2-5 kW/degC, CO2 spike 1-3 kW; grid DE 0.20 / TR 0.14).</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Page 8 is isolated from Pages 1-7 by design (KQL hot path + Lakehouse), sharing only building_id, so the real-time stream never blocks the historical model.</w:t>
      </w:r>
    </w:p>
    <w:p>
      <w:pPr>
        <w:pStyle w:val="ListBullet"/>
        <w:spacing w:after="40"/>
      </w:pPr>
      <w:r>
        <w:rPr>
          <w:rFonts w:ascii="Arial" w:hAnsi="Arial"/>
          <w:sz w:val="20"/>
        </w:rPr>
        <w:t>FDD cost is single-sourced from gold_iot_fdd so the alert count and the EUR figure can never disagree.</w:t>
      </w:r>
    </w:p>
    <w:p>
      <w:pPr>
        <w:spacing w:after="160"/>
      </w:pPr>
      <w:r>
        <w:rPr>
          <w:rFonts w:ascii="Arial" w:hAnsi="Arial"/>
          <w:b/>
          <w:color w:val="108A5A"/>
          <w:sz w:val="20"/>
        </w:rPr>
        <w:t xml:space="preserve">Data basis: </w:t>
      </w:r>
      <w:r>
        <w:rPr>
          <w:rFonts w:ascii="Arial" w:hAnsi="Arial"/>
          <w:i/>
          <w:color w:val="556066"/>
          <w:sz w:val="20"/>
        </w:rPr>
        <w:t>Synthetic sensor stream today; the SCADA edge-agent path (Phase A) lands real Modbus/telemetry into the same schema when a customer connects hardware.</w:t>
      </w:r>
    </w:p>
    <w:p>
      <w:r>
        <w:br w:type="page"/>
      </w:r>
    </w:p>
    <w:p>
      <w:pPr>
        <w:pStyle w:val="Heading1"/>
        <w:spacing w:before="280" w:after="120"/>
      </w:pPr>
      <w:r>
        <w:rPr>
          <w:rFonts w:ascii="Arial" w:hAnsi="Arial"/>
          <w:b/>
          <w:color w:val="121C24"/>
          <w:sz w:val="30"/>
        </w:rPr>
        <w:t>Page 9.  Battery Strategy</w:t>
      </w:r>
    </w:p>
    <w:p>
      <w:pPr>
        <w:spacing w:after="120"/>
      </w:pPr>
      <w:r>
        <w:rPr>
          <w:rFonts w:ascii="Arial" w:hAnsi="Arial"/>
          <w:b/>
          <w:sz w:val="19"/>
        </w:rPr>
        <w:t xml:space="preserve">Module gate: </w:t>
      </w:r>
      <w:r>
        <w:rPr>
          <w:rFonts w:ascii="Arial" w:hAnsi="Arial"/>
          <w:sz w:val="19"/>
        </w:rPr>
        <w:t xml:space="preserve">battery (gated)      </w:t>
      </w:r>
      <w:r>
        <w:rPr>
          <w:rFonts w:ascii="Arial" w:hAnsi="Arial"/>
          <w:b/>
          <w:sz w:val="19"/>
        </w:rPr>
        <w:t xml:space="preserve">Data source: </w:t>
      </w:r>
      <w:r>
        <w:rPr>
          <w:rFonts w:ascii="Arial" w:hAnsi="Arial"/>
          <w:i/>
          <w:sz w:val="19"/>
        </w:rPr>
        <w:t>gold_battery_simulation (nb 16, honest rebuild) + gold_battery_dispatch</w:t>
      </w:r>
    </w:p>
    <w:p>
      <w:pPr>
        <w:spacing w:after="120"/>
      </w:pPr>
      <w:r>
        <w:rPr>
          <w:rFonts w:ascii="Arial" w:hAnsi="Arial"/>
          <w:b w:val="0"/>
          <w:i w:val="0"/>
          <w:sz w:val="21"/>
        </w:rPr>
        <w:t>Battery dispatch economics - charge/discharge against tariff and solar - and whether a battery pays for a given building.</w:t>
      </w:r>
    </w:p>
    <w:p>
      <w:pPr>
        <w:spacing w:after="160"/>
      </w:pPr>
      <w:r>
        <w:rPr>
          <w:rFonts w:ascii="Arial" w:hAnsi="Arial"/>
          <w:b/>
          <w:color w:val="108A5A"/>
          <w:sz w:val="20"/>
        </w:rPr>
        <w:t xml:space="preserve">Look at first: </w:t>
      </w:r>
      <w:r>
        <w:rPr>
          <w:rFonts w:ascii="Arial" w:hAnsi="Arial"/>
          <w:i/>
          <w:color w:val="556066"/>
          <w:sz w:val="20"/>
        </w:rPr>
        <w:t>Payback and self-consumption - the sizing has to match the load profile.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Charge/discharge vs tariff</w:t>
            </w:r>
          </w:p>
        </w:tc>
        <w:tc>
          <w:tcPr>
            <w:tcW w:type="dxa" w:w="2250"/>
            <w:tcW w:w="2250" w:type="dxa"/>
          </w:tcPr>
          <w:p>
            <w:pPr>
              <w:spacing w:after="20" w:before="20"/>
            </w:pPr>
            <w:r/>
            <w:r>
              <w:rPr>
                <w:rFonts w:ascii="Arial" w:hAnsi="Arial"/>
                <w:b w:val="0"/>
                <w:i w:val="0"/>
                <w:sz w:val="17"/>
              </w:rPr>
              <w:t>Whether the battery hugs the price curve.</w:t>
            </w:r>
          </w:p>
        </w:tc>
        <w:tc>
          <w:tcPr>
            <w:tcW w:type="dxa" w:w="3360"/>
            <w:tcW w:w="3360" w:type="dxa"/>
          </w:tcPr>
          <w:p>
            <w:pPr>
              <w:spacing w:after="20" w:before="20"/>
            </w:pPr>
            <w:r/>
            <w:r>
              <w:rPr>
                <w:rFonts w:ascii="Arial" w:hAnsi="Arial"/>
                <w:b w:val="0"/>
                <w:i w:val="0"/>
                <w:sz w:val="17"/>
              </w:rPr>
              <w:t>Dispatch vs day-ahead tariff and solar surplus.</w:t>
            </w:r>
          </w:p>
          <w:p>
            <w:pPr>
              <w:spacing w:after="20" w:before="20"/>
            </w:pPr>
            <w:r>
              <w:rPr>
                <w:rFonts w:ascii="Arial" w:hAnsi="Arial"/>
                <w:b w:val="0"/>
                <w:i w:val="0"/>
                <w:sz w:val="17"/>
              </w:rPr>
              <w:t>Source: gold_battery_dispatch - [V6 Charge/Discharge Rate], [V2 Avg Grid Price].</w:t>
            </w:r>
          </w:p>
        </w:tc>
        <w:tc>
          <w:tcPr>
            <w:tcW w:type="dxa" w:w="2250"/>
            <w:tcW w:w="2250" w:type="dxa"/>
          </w:tcPr>
          <w:p>
            <w:pPr>
              <w:spacing w:after="20" w:before="20"/>
            </w:pPr>
            <w:r/>
            <w:r>
              <w:rPr>
                <w:rFonts w:ascii="Arial" w:hAnsi="Arial"/>
                <w:b w:val="0"/>
                <w:i w:val="0"/>
                <w:sz w:val="17"/>
              </w:rPr>
              <w:t>Charges off-peak / on solar surplus, discharges at peak = good dispatch.</w:t>
            </w:r>
          </w:p>
        </w:tc>
      </w:tr>
      <w:tr>
        <w:tc>
          <w:tcPr>
            <w:tcW w:type="dxa" w:w="1500"/>
            <w:tcW w:w="1500" w:type="dxa"/>
            <w:shd w:val="clear" w:color="auto" w:fill="EAF3EF"/>
          </w:tcPr>
          <w:p>
            <w:pPr>
              <w:spacing w:after="20" w:before="20"/>
            </w:pPr>
            <w:r/>
            <w:r>
              <w:rPr>
                <w:rFonts w:ascii="Arial" w:hAnsi="Arial"/>
                <w:b/>
                <w:i w:val="0"/>
                <w:sz w:val="17"/>
              </w:rPr>
              <w:t>Self-consumption</w:t>
            </w:r>
          </w:p>
        </w:tc>
        <w:tc>
          <w:tcPr>
            <w:tcW w:type="dxa" w:w="2250"/>
            <w:tcW w:w="2250" w:type="dxa"/>
            <w:shd w:val="clear" w:color="auto" w:fill="EAF3EF"/>
          </w:tcPr>
          <w:p>
            <w:pPr>
              <w:spacing w:after="20" w:before="20"/>
            </w:pPr>
            <w:r/>
            <w:r>
              <w:rPr>
                <w:rFonts w:ascii="Arial" w:hAnsi="Arial"/>
                <w:b w:val="0"/>
                <w:i w:val="0"/>
                <w:sz w:val="17"/>
              </w:rPr>
              <w:t>Share of solar kept on-site rather than exported.</w:t>
            </w:r>
          </w:p>
        </w:tc>
        <w:tc>
          <w:tcPr>
            <w:tcW w:type="dxa" w:w="3360"/>
            <w:tcW w:w="3360" w:type="dxa"/>
            <w:shd w:val="clear" w:color="auto" w:fill="EAF3EF"/>
          </w:tcPr>
          <w:p>
            <w:pPr>
              <w:spacing w:after="20" w:before="20"/>
            </w:pPr>
            <w:r/>
            <w:r>
              <w:rPr>
                <w:rFonts w:ascii="Arial" w:hAnsi="Arial"/>
                <w:b w:val="0"/>
                <w:i w:val="0"/>
                <w:sz w:val="17"/>
              </w:rPr>
              <w:t>self-consumed / generated with the battery.</w:t>
            </w:r>
          </w:p>
          <w:p>
            <w:pPr>
              <w:spacing w:after="20" w:before="20"/>
            </w:pPr>
            <w:r>
              <w:rPr>
                <w:rFonts w:ascii="Arial" w:hAnsi="Arial"/>
                <w:b w:val="0"/>
                <w:i w:val="0"/>
                <w:sz w:val="17"/>
              </w:rPr>
              <w:t>Source: gold_battery_simulation.</w:t>
            </w:r>
          </w:p>
        </w:tc>
        <w:tc>
          <w:tcPr>
            <w:tcW w:type="dxa" w:w="2250"/>
            <w:tcW w:w="2250" w:type="dxa"/>
            <w:shd w:val="clear" w:color="auto" w:fill="EAF3EF"/>
          </w:tcPr>
          <w:p>
            <w:pPr>
              <w:spacing w:after="20" w:before="20"/>
            </w:pPr>
            <w:r/>
            <w:r>
              <w:rPr>
                <w:rFonts w:ascii="Arial" w:hAnsi="Arial"/>
                <w:b w:val="0"/>
                <w:i w:val="0"/>
                <w:sz w:val="17"/>
              </w:rPr>
              <w:t>Most battery value comes from raising self-consumption, not arbitrage alone.</w:t>
            </w:r>
          </w:p>
        </w:tc>
      </w:tr>
      <w:tr>
        <w:tc>
          <w:tcPr>
            <w:tcW w:type="dxa" w:w="1500"/>
            <w:tcW w:w="1500" w:type="dxa"/>
          </w:tcPr>
          <w:p>
            <w:pPr>
              <w:spacing w:after="20" w:before="20"/>
            </w:pPr>
            <w:r/>
            <w:r>
              <w:rPr>
                <w:rFonts w:ascii="Arial" w:hAnsi="Arial"/>
                <w:b/>
                <w:i w:val="0"/>
                <w:sz w:val="17"/>
              </w:rPr>
              <w:t>State-of-charge trend</w:t>
            </w:r>
          </w:p>
        </w:tc>
        <w:tc>
          <w:tcPr>
            <w:tcW w:type="dxa" w:w="2250"/>
            <w:tcW w:w="2250" w:type="dxa"/>
          </w:tcPr>
          <w:p>
            <w:pPr>
              <w:spacing w:after="20" w:before="20"/>
            </w:pPr>
            <w:r/>
            <w:r>
              <w:rPr>
                <w:rFonts w:ascii="Arial" w:hAnsi="Arial"/>
                <w:b w:val="0"/>
                <w:i w:val="0"/>
                <w:sz w:val="17"/>
              </w:rPr>
              <w:t>Cycling health.</w:t>
            </w:r>
          </w:p>
        </w:tc>
        <w:tc>
          <w:tcPr>
            <w:tcW w:type="dxa" w:w="3360"/>
            <w:tcW w:w="3360" w:type="dxa"/>
          </w:tcPr>
          <w:p>
            <w:pPr>
              <w:spacing w:after="20" w:before="20"/>
            </w:pPr>
            <w:r/>
            <w:r>
              <w:rPr>
                <w:rFonts w:ascii="Arial" w:hAnsi="Arial"/>
                <w:b w:val="0"/>
                <w:i w:val="0"/>
                <w:sz w:val="17"/>
              </w:rPr>
              <w:t>SoC over time.</w:t>
            </w:r>
          </w:p>
          <w:p>
            <w:pPr>
              <w:spacing w:after="20" w:before="20"/>
            </w:pPr>
            <w:r>
              <w:rPr>
                <w:rFonts w:ascii="Arial" w:hAnsi="Arial"/>
                <w:b w:val="0"/>
                <w:i w:val="0"/>
                <w:sz w:val="17"/>
              </w:rPr>
              <w:t>Source: gold_battery_dispatch - [V6 SoC Pct], [Avg Battery SoC Pct].</w:t>
            </w:r>
          </w:p>
        </w:tc>
        <w:tc>
          <w:tcPr>
            <w:tcW w:type="dxa" w:w="2250"/>
            <w:tcW w:w="2250" w:type="dxa"/>
          </w:tcPr>
          <w:p>
            <w:pPr>
              <w:spacing w:after="20" w:before="20"/>
            </w:pPr>
            <w:r/>
            <w:r>
              <w:rPr>
                <w:rFonts w:ascii="Arial" w:hAnsi="Arial"/>
                <w:b w:val="0"/>
                <w:i w:val="0"/>
                <w:sz w:val="17"/>
              </w:rPr>
              <w:t>Healthy cycling between bounds; flat/idle = oversized or mis-scheduled.</w:t>
            </w:r>
          </w:p>
        </w:tc>
      </w:tr>
      <w:tr>
        <w:tc>
          <w:tcPr>
            <w:tcW w:type="dxa" w:w="1500"/>
            <w:tcW w:w="1500" w:type="dxa"/>
            <w:shd w:val="clear" w:color="auto" w:fill="EAF3EF"/>
          </w:tcPr>
          <w:p>
            <w:pPr>
              <w:spacing w:after="20" w:before="20"/>
            </w:pPr>
            <w:r/>
            <w:r>
              <w:rPr>
                <w:rFonts w:ascii="Arial" w:hAnsi="Arial"/>
                <w:b/>
                <w:i w:val="0"/>
                <w:sz w:val="17"/>
              </w:rPr>
              <w:t>Payback (by data basis)</w:t>
            </w:r>
          </w:p>
        </w:tc>
        <w:tc>
          <w:tcPr>
            <w:tcW w:type="dxa" w:w="2250"/>
            <w:tcW w:w="2250" w:type="dxa"/>
            <w:shd w:val="clear" w:color="auto" w:fill="EAF3EF"/>
          </w:tcPr>
          <w:p>
            <w:pPr>
              <w:spacing w:after="20" w:before="20"/>
            </w:pPr>
            <w:r/>
            <w:r>
              <w:rPr>
                <w:rFonts w:ascii="Arial" w:hAnsi="Arial"/>
                <w:b w:val="0"/>
                <w:i w:val="0"/>
                <w:sz w:val="17"/>
              </w:rPr>
              <w:t>Years to recover the install, by the building's installed strategy.</w:t>
            </w:r>
          </w:p>
        </w:tc>
        <w:tc>
          <w:tcPr>
            <w:tcW w:type="dxa" w:w="3360"/>
            <w:tcW w:w="3360" w:type="dxa"/>
            <w:shd w:val="clear" w:color="auto" w:fill="EAF3EF"/>
          </w:tcPr>
          <w:p>
            <w:pPr>
              <w:spacing w:after="20" w:before="20"/>
            </w:pPr>
            <w:r/>
            <w:r>
              <w:rPr>
                <w:rFonts w:ascii="Arial" w:hAnsi="Arial"/>
                <w:b w:val="0"/>
                <w:i w:val="0"/>
                <w:sz w:val="17"/>
              </w:rPr>
              <w:t>capex / annual_savings, installed strategy only.</w:t>
            </w:r>
          </w:p>
          <w:p>
            <w:pPr>
              <w:spacing w:after="20" w:before="20"/>
            </w:pPr>
            <w:r>
              <w:rPr>
                <w:rFonts w:ascii="Arial" w:hAnsi="Arial"/>
                <w:b w:val="0"/>
                <w:i w:val="0"/>
                <w:sz w:val="17"/>
              </w:rPr>
              <w:t>Source: gold_battery_simulation - [C2 Payback Years], data_basis column.</w:t>
            </w:r>
          </w:p>
        </w:tc>
        <w:tc>
          <w:tcPr>
            <w:tcW w:type="dxa" w:w="2250"/>
            <w:tcW w:w="2250" w:type="dxa"/>
            <w:shd w:val="clear" w:color="auto" w:fill="EAF3EF"/>
          </w:tcPr>
          <w:p>
            <w:pPr>
              <w:spacing w:after="20" w:before="20"/>
            </w:pPr>
            <w:r/>
            <w:r>
              <w:rPr>
                <w:rFonts w:ascii="Arial" w:hAnsi="Arial"/>
                <w:b w:val="0"/>
                <w:i w:val="0"/>
                <w:sz w:val="17"/>
              </w:rPr>
              <w:t>Tariff- and self-consumption-dependent - indicative, not a quote. EU Battery Regulation 2023/1542.</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The simulation labels every row Measured / Modeled / Prospect. Only three buildings have real dispatch (B001 self-consumption ~3.7k, B003 peak-shaving ~69.9k, B005 backup ~20.6k EUR/yr); the rest are physics models or batteryless prospects.</w:t>
      </w:r>
    </w:p>
    <w:p>
      <w:pPr>
        <w:pStyle w:val="ListBullet"/>
        <w:spacing w:after="40"/>
      </w:pPr>
      <w:r>
        <w:rPr>
          <w:rFonts w:ascii="Arial" w:hAnsi="Arial"/>
          <w:sz w:val="20"/>
        </w:rPr>
        <w:t>Arbitrage is shown as an annual figure (~61k EUR), not a 3.3-year cumulative. Peak/ToU IRRs (40-64%) are optimistic but reproduced from the measured B003 case (~63%), not fabricated.</w:t>
      </w:r>
    </w:p>
    <w:p>
      <w:pPr>
        <w:spacing w:after="160"/>
      </w:pPr>
      <w:r>
        <w:rPr>
          <w:rFonts w:ascii="Arial" w:hAnsi="Arial"/>
          <w:b/>
          <w:color w:val="108A5A"/>
          <w:sz w:val="20"/>
        </w:rPr>
        <w:t xml:space="preserve">Data basis: </w:t>
      </w:r>
      <w:r>
        <w:rPr>
          <w:rFonts w:ascii="Arial" w:hAnsi="Arial"/>
          <w:i/>
          <w:color w:val="556066"/>
          <w:sz w:val="20"/>
        </w:rPr>
        <w:t>Three buildings = real measured dispatch; others modelled. Caps were removed in the honest rebuild so paybacks/NPV are faithful rather than flattered.</w:t>
      </w:r>
    </w:p>
    <w:p>
      <w:r>
        <w:br w:type="page"/>
      </w:r>
    </w:p>
    <w:p>
      <w:pPr>
        <w:pStyle w:val="Heading1"/>
        <w:spacing w:before="280" w:after="120"/>
      </w:pPr>
      <w:r>
        <w:rPr>
          <w:rFonts w:ascii="Arial" w:hAnsi="Arial"/>
          <w:b/>
          <w:color w:val="121C24"/>
          <w:sz w:val="30"/>
        </w:rPr>
        <w:t>Page 10.  Solar Performance</w:t>
      </w:r>
    </w:p>
    <w:p>
      <w:pPr>
        <w:spacing w:after="120"/>
      </w:pPr>
      <w:r>
        <w:rPr>
          <w:rFonts w:ascii="Arial" w:hAnsi="Arial"/>
          <w:b/>
          <w:sz w:val="19"/>
        </w:rPr>
        <w:t xml:space="preserve">Module gate: </w:t>
      </w:r>
      <w:r>
        <w:rPr>
          <w:rFonts w:ascii="Arial" w:hAnsi="Arial"/>
          <w:sz w:val="19"/>
        </w:rPr>
        <w:t xml:space="preserve">solar (gated)      </w:t>
      </w:r>
      <w:r>
        <w:rPr>
          <w:rFonts w:ascii="Arial" w:hAnsi="Arial"/>
          <w:b/>
          <w:sz w:val="19"/>
        </w:rPr>
        <w:t xml:space="preserve">Data source: </w:t>
      </w:r>
      <w:r>
        <w:rPr>
          <w:rFonts w:ascii="Arial" w:hAnsi="Arial"/>
          <w:i/>
          <w:sz w:val="19"/>
        </w:rPr>
        <w:t>gold_kpi_daily (synthetic KPI) + gold_solar_daily (telemetry rollup)</w:t>
      </w:r>
    </w:p>
    <w:p>
      <w:pPr>
        <w:spacing w:after="120"/>
      </w:pPr>
      <w:r>
        <w:rPr>
          <w:rFonts w:ascii="Arial" w:hAnsi="Arial"/>
          <w:b w:val="0"/>
          <w:i w:val="0"/>
          <w:sz w:val="21"/>
        </w:rPr>
        <w:t>On-site PV generation, self-consumption and export - and whether each system is performing to its physical potential.</w:t>
      </w:r>
    </w:p>
    <w:p>
      <w:pPr>
        <w:spacing w:after="160"/>
      </w:pPr>
      <w:r>
        <w:rPr>
          <w:rFonts w:ascii="Arial" w:hAnsi="Arial"/>
          <w:b/>
          <w:color w:val="108A5A"/>
          <w:sz w:val="20"/>
        </w:rPr>
        <w:t xml:space="preserve">Look at first: </w:t>
      </w:r>
      <w:r>
        <w:rPr>
          <w:rFonts w:ascii="Arial" w:hAnsi="Arial"/>
          <w:i/>
          <w:color w:val="556066"/>
          <w:sz w:val="20"/>
        </w:rPr>
        <w:t>Performance ratio and self-consumption - a low PR points to a fault; high export hints a battery could pay.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00"/>
            <w:tcW w:w="1500" w:type="dxa"/>
            <w:shd w:val="clear" w:color="auto" w:fill="10885A"/>
          </w:tcPr>
          <w:p>
            <w:pPr>
              <w:spacing w:after="20" w:before="20"/>
            </w:pPr>
            <w:r/>
            <w:r>
              <w:rPr>
                <w:rFonts w:ascii="Arial" w:hAnsi="Arial"/>
                <w:b/>
                <w:i w:val="0"/>
                <w:color w:val="FFFFFF"/>
                <w:sz w:val="18"/>
              </w:rPr>
              <w:t>Visual</w:t>
            </w:r>
          </w:p>
        </w:tc>
        <w:tc>
          <w:tcPr>
            <w:tcW w:type="dxa" w:w="2250"/>
            <w:tcW w:w="2250" w:type="dxa"/>
            <w:shd w:val="clear" w:color="auto" w:fill="10885A"/>
          </w:tcPr>
          <w:p>
            <w:pPr>
              <w:spacing w:after="20" w:before="20"/>
            </w:pPr>
            <w:r/>
            <w:r>
              <w:rPr>
                <w:rFonts w:ascii="Arial" w:hAnsi="Arial"/>
                <w:b/>
                <w:i w:val="0"/>
                <w:color w:val="FFFFFF"/>
                <w:sz w:val="18"/>
              </w:rPr>
              <w:t>What it shows</w:t>
            </w:r>
          </w:p>
        </w:tc>
        <w:tc>
          <w:tcPr>
            <w:tcW w:type="dxa" w:w="3360"/>
            <w:tcW w:w="3360" w:type="dxa"/>
            <w:shd w:val="clear" w:color="auto" w:fill="10885A"/>
          </w:tcPr>
          <w:p>
            <w:pPr>
              <w:spacing w:after="20" w:before="20"/>
            </w:pPr>
            <w:r/>
            <w:r>
              <w:rPr>
                <w:rFonts w:ascii="Arial" w:hAnsi="Arial"/>
                <w:b/>
                <w:i w:val="0"/>
                <w:color w:val="FFFFFF"/>
                <w:sz w:val="18"/>
              </w:rPr>
              <w:t>Calculation &amp; data source</w:t>
            </w:r>
          </w:p>
        </w:tc>
        <w:tc>
          <w:tcPr>
            <w:tcW w:type="dxa" w:w="2250"/>
            <w:tcW w:w="2250" w:type="dxa"/>
            <w:shd w:val="clear" w:color="auto" w:fill="10885A"/>
          </w:tcPr>
          <w:p>
            <w:pPr>
              <w:spacing w:after="20" w:before="20"/>
            </w:pPr>
            <w:r/>
            <w:r>
              <w:rPr>
                <w:rFonts w:ascii="Arial" w:hAnsi="Arial"/>
                <w:b/>
                <w:i w:val="0"/>
                <w:color w:val="FFFFFF"/>
                <w:sz w:val="18"/>
              </w:rPr>
              <w:t>Thresholds &amp; assumptions</w:t>
            </w:r>
          </w:p>
        </w:tc>
      </w:tr>
      <w:tr>
        <w:tc>
          <w:tcPr>
            <w:tcW w:type="dxa" w:w="1500"/>
            <w:tcW w:w="1500" w:type="dxa"/>
          </w:tcPr>
          <w:p>
            <w:pPr>
              <w:spacing w:after="20" w:before="20"/>
            </w:pPr>
            <w:r/>
            <w:r>
              <w:rPr>
                <w:rFonts w:ascii="Arial" w:hAnsi="Arial"/>
                <w:b/>
                <w:i w:val="0"/>
                <w:sz w:val="17"/>
              </w:rPr>
              <w:t>KPI cards</w:t>
            </w:r>
          </w:p>
        </w:tc>
        <w:tc>
          <w:tcPr>
            <w:tcW w:type="dxa" w:w="2250"/>
            <w:tcW w:w="2250" w:type="dxa"/>
          </w:tcPr>
          <w:p>
            <w:pPr>
              <w:spacing w:after="20" w:before="20"/>
            </w:pPr>
            <w:r/>
            <w:r>
              <w:rPr>
                <w:rFonts w:ascii="Arial" w:hAnsi="Arial"/>
                <w:b w:val="0"/>
                <w:i w:val="0"/>
                <w:sz w:val="17"/>
              </w:rPr>
              <w:t>Generation, self-consumption %, installed kWp, average PR, CO2 avoided, solar coverage %.</w:t>
            </w:r>
          </w:p>
        </w:tc>
        <w:tc>
          <w:tcPr>
            <w:tcW w:type="dxa" w:w="3360"/>
            <w:tcW w:w="3360" w:type="dxa"/>
          </w:tcPr>
          <w:p>
            <w:pPr>
              <w:spacing w:after="20" w:before="20"/>
            </w:pPr>
            <w:r/>
            <w:r>
              <w:rPr>
                <w:rFonts w:ascii="Arial" w:hAnsi="Arial"/>
                <w:b w:val="0"/>
                <w:i w:val="0"/>
                <w:sz w:val="17"/>
              </w:rPr>
              <w:t>CO2 avoided = self_consumed_kWh x year grid factor (only self-consumed displaces grid). Coverage = generation / consumption.</w:t>
            </w:r>
          </w:p>
          <w:p>
            <w:pPr>
              <w:spacing w:after="20" w:before="20"/>
            </w:pPr>
            <w:r>
              <w:rPr>
                <w:rFonts w:ascii="Arial" w:hAnsi="Arial"/>
                <w:b w:val="0"/>
                <w:i w:val="0"/>
                <w:sz w:val="17"/>
              </w:rPr>
              <w:t>Source: gold_kpi_daily - [Total Solar Generated kWh], [Avg Solar PR Pct], [Solar Coverage Pct].</w:t>
            </w:r>
          </w:p>
        </w:tc>
        <w:tc>
          <w:tcPr>
            <w:tcW w:type="dxa" w:w="2250"/>
            <w:tcW w:w="2250" w:type="dxa"/>
          </w:tcPr>
          <w:p>
            <w:pPr>
              <w:spacing w:after="20" w:before="20"/>
            </w:pPr>
            <w:r/>
            <w:r>
              <w:rPr>
                <w:rFonts w:ascii="Arial" w:hAnsi="Arial"/>
                <w:b w:val="0"/>
                <w:i w:val="0"/>
                <w:sz w:val="17"/>
              </w:rPr>
              <w:t>Self-consumption is worth more than export. Coverage is small for large buildings (e.g. hospital ~2%).</w:t>
            </w:r>
          </w:p>
        </w:tc>
      </w:tr>
      <w:tr>
        <w:tc>
          <w:tcPr>
            <w:tcW w:type="dxa" w:w="1500"/>
            <w:tcW w:w="1500" w:type="dxa"/>
            <w:shd w:val="clear" w:color="auto" w:fill="EAF3EF"/>
          </w:tcPr>
          <w:p>
            <w:pPr>
              <w:spacing w:after="20" w:before="20"/>
            </w:pPr>
            <w:r/>
            <w:r>
              <w:rPr>
                <w:rFonts w:ascii="Arial" w:hAnsi="Arial"/>
                <w:b/>
                <w:i w:val="0"/>
                <w:sz w:val="17"/>
              </w:rPr>
              <w:t>PV Performance Ratio (energy-basis)</w:t>
            </w:r>
          </w:p>
        </w:tc>
        <w:tc>
          <w:tcPr>
            <w:tcW w:type="dxa" w:w="2250"/>
            <w:tcW w:w="2250" w:type="dxa"/>
            <w:shd w:val="clear" w:color="auto" w:fill="EAF3EF"/>
          </w:tcPr>
          <w:p>
            <w:pPr>
              <w:spacing w:after="20" w:before="20"/>
            </w:pPr>
            <w:r/>
            <w:r>
              <w:rPr>
                <w:rFonts w:ascii="Arial" w:hAnsi="Arial"/>
                <w:b w:val="0"/>
                <w:i w:val="0"/>
                <w:sz w:val="17"/>
              </w:rPr>
              <w:t>Each system's PR, the core 'is this PV healthy?' metric.</w:t>
            </w:r>
          </w:p>
        </w:tc>
        <w:tc>
          <w:tcPr>
            <w:tcW w:type="dxa" w:w="3360"/>
            <w:tcW w:w="3360" w:type="dxa"/>
            <w:shd w:val="clear" w:color="auto" w:fill="EAF3EF"/>
          </w:tcPr>
          <w:p>
            <w:pPr>
              <w:spacing w:after="20" w:before="20"/>
            </w:pPr>
            <w:r/>
            <w:r>
              <w:rPr>
                <w:rFonts w:ascii="Arial" w:hAnsi="Arial"/>
                <w:b w:val="0"/>
                <w:i w:val="0"/>
                <w:sz w:val="17"/>
              </w:rPr>
              <w:t>Energy-basis PR = sum(gen) / (kWp x sum(reference-yield)), reference-yield = sum(hourly avg W/m2)/1000. Clamped at 0.95; portfolio is generation-weighted.</w:t>
            </w:r>
          </w:p>
          <w:p>
            <w:pPr>
              <w:spacing w:after="20" w:before="20"/>
            </w:pPr>
            <w:r>
              <w:rPr>
                <w:rFonts w:ascii="Arial" w:hAnsi="Arial"/>
                <w:b w:val="0"/>
                <w:i w:val="0"/>
                <w:sz w:val="17"/>
              </w:rPr>
              <w:t>Source: gold_kpi_daily - [Avg Solar PR Pct].</w:t>
            </w:r>
          </w:p>
        </w:tc>
        <w:tc>
          <w:tcPr>
            <w:tcW w:type="dxa" w:w="2250"/>
            <w:tcW w:w="2250" w:type="dxa"/>
            <w:shd w:val="clear" w:color="auto" w:fill="EAF3EF"/>
          </w:tcPr>
          <w:p>
            <w:pPr>
              <w:spacing w:after="20" w:before="20"/>
            </w:pPr>
            <w:r/>
            <w:r>
              <w:rPr>
                <w:rFonts w:ascii="Arial" w:hAnsi="Arial"/>
                <w:b w:val="0"/>
                <w:i w:val="0"/>
                <w:sz w:val="17"/>
              </w:rPr>
              <w:t>Healthy 0.75-0.85 - &lt;0.70 fault (shading/soiling/inverter) - &gt;1.0 = sensor/data error. Bars coloured red &lt;70 / amber 70-75 / green &gt;=75.</w:t>
            </w:r>
          </w:p>
        </w:tc>
      </w:tr>
      <w:tr>
        <w:tc>
          <w:tcPr>
            <w:tcW w:type="dxa" w:w="1500"/>
            <w:tcW w:w="1500" w:type="dxa"/>
          </w:tcPr>
          <w:p>
            <w:pPr>
              <w:spacing w:after="20" w:before="20"/>
            </w:pPr>
            <w:r/>
            <w:r>
              <w:rPr>
                <w:rFonts w:ascii="Arial" w:hAnsi="Arial"/>
                <w:b/>
                <w:i w:val="0"/>
                <w:sz w:val="17"/>
              </w:rPr>
              <w:t>Self-consumption split</w:t>
            </w:r>
          </w:p>
        </w:tc>
        <w:tc>
          <w:tcPr>
            <w:tcW w:type="dxa" w:w="2250"/>
            <w:tcW w:w="2250" w:type="dxa"/>
          </w:tcPr>
          <w:p>
            <w:pPr>
              <w:spacing w:after="20" w:before="20"/>
            </w:pPr>
            <w:r/>
            <w:r>
              <w:rPr>
                <w:rFonts w:ascii="Arial" w:hAnsi="Arial"/>
                <w:b w:val="0"/>
                <w:i w:val="0"/>
                <w:sz w:val="17"/>
              </w:rPr>
              <w:t>Solar self-consumed vs exported (rolling 12 months).</w:t>
            </w:r>
          </w:p>
        </w:tc>
        <w:tc>
          <w:tcPr>
            <w:tcW w:type="dxa" w:w="3360"/>
            <w:tcW w:w="3360" w:type="dxa"/>
          </w:tcPr>
          <w:p>
            <w:pPr>
              <w:spacing w:after="20" w:before="20"/>
            </w:pPr>
            <w:r/>
            <w:r>
              <w:rPr>
                <w:rFonts w:ascii="Arial" w:hAnsi="Arial"/>
                <w:b w:val="0"/>
                <w:i w:val="0"/>
                <w:sz w:val="17"/>
              </w:rPr>
              <w:t>self vs export share of generation.</w:t>
            </w:r>
          </w:p>
          <w:p>
            <w:pPr>
              <w:spacing w:after="20" w:before="20"/>
            </w:pPr>
            <w:r>
              <w:rPr>
                <w:rFonts w:ascii="Arial" w:hAnsi="Arial"/>
                <w:b w:val="0"/>
                <w:i w:val="0"/>
                <w:sz w:val="17"/>
              </w:rPr>
              <w:t>Source: [Solar Self Consumed kWh Rolling 12m], [Solar Exported kWh Rolling 12m].</w:t>
            </w:r>
          </w:p>
        </w:tc>
        <w:tc>
          <w:tcPr>
            <w:tcW w:type="dxa" w:w="2250"/>
            <w:tcW w:w="2250" w:type="dxa"/>
          </w:tcPr>
          <w:p>
            <w:pPr>
              <w:spacing w:after="20" w:before="20"/>
            </w:pPr>
            <w:r/>
            <w:r>
              <w:rPr>
                <w:rFonts w:ascii="Arial" w:hAnsi="Arial"/>
                <w:b w:val="0"/>
                <w:i w:val="0"/>
                <w:sz w:val="17"/>
              </w:rPr>
              <w:t>High export = a battery or load-shift could raise on-site value.</w:t>
            </w:r>
          </w:p>
        </w:tc>
      </w:tr>
      <w:tr>
        <w:tc>
          <w:tcPr>
            <w:tcW w:type="dxa" w:w="1500"/>
            <w:tcW w:w="1500" w:type="dxa"/>
            <w:shd w:val="clear" w:color="auto" w:fill="EAF3EF"/>
          </w:tcPr>
          <w:p>
            <w:pPr>
              <w:spacing w:after="20" w:before="20"/>
            </w:pPr>
            <w:r/>
            <w:r>
              <w:rPr>
                <w:rFonts w:ascii="Arial" w:hAnsi="Arial"/>
                <w:b/>
                <w:i w:val="0"/>
                <w:sz w:val="17"/>
              </w:rPr>
              <w:t>Specific yield by building</w:t>
            </w:r>
          </w:p>
        </w:tc>
        <w:tc>
          <w:tcPr>
            <w:tcW w:type="dxa" w:w="2250"/>
            <w:tcW w:w="2250" w:type="dxa"/>
            <w:shd w:val="clear" w:color="auto" w:fill="EAF3EF"/>
          </w:tcPr>
          <w:p>
            <w:pPr>
              <w:spacing w:after="20" w:before="20"/>
            </w:pPr>
            <w:r/>
            <w:r>
              <w:rPr>
                <w:rFonts w:ascii="Arial" w:hAnsi="Arial"/>
                <w:b w:val="0"/>
                <w:i w:val="0"/>
                <w:sz w:val="17"/>
              </w:rPr>
              <w:t>Annual kWh per kWp - orientation/shading/underperformance screen.</w:t>
            </w:r>
          </w:p>
        </w:tc>
        <w:tc>
          <w:tcPr>
            <w:tcW w:type="dxa" w:w="3360"/>
            <w:tcW w:w="3360" w:type="dxa"/>
            <w:shd w:val="clear" w:color="auto" w:fill="EAF3EF"/>
          </w:tcPr>
          <w:p>
            <w:pPr>
              <w:spacing w:after="20" w:before="20"/>
            </w:pPr>
            <w:r/>
            <w:r>
              <w:rPr>
                <w:rFonts w:ascii="Arial" w:hAnsi="Arial"/>
                <w:b w:val="0"/>
                <w:i w:val="0"/>
                <w:sz w:val="17"/>
              </w:rPr>
              <w:t>generation / installed kWp, annualised.</w:t>
            </w:r>
          </w:p>
          <w:p>
            <w:pPr>
              <w:spacing w:after="20" w:before="20"/>
            </w:pPr>
            <w:r>
              <w:rPr>
                <w:rFonts w:ascii="Arial" w:hAnsi="Arial"/>
                <w:b w:val="0"/>
                <w:i w:val="0"/>
                <w:sz w:val="17"/>
              </w:rPr>
              <w:t>Source: gold_kpi_daily - [Avg Solar Specific Yield kWh kWp].</w:t>
            </w:r>
          </w:p>
        </w:tc>
        <w:tc>
          <w:tcPr>
            <w:tcW w:type="dxa" w:w="2250"/>
            <w:tcW w:w="2250" w:type="dxa"/>
            <w:shd w:val="clear" w:color="auto" w:fill="EAF3EF"/>
          </w:tcPr>
          <w:p>
            <w:pPr>
              <w:spacing w:after="20" w:before="20"/>
            </w:pPr>
            <w:r/>
            <w:r>
              <w:rPr>
                <w:rFonts w:ascii="Arial" w:hAnsi="Arial"/>
                <w:b w:val="0"/>
                <w:i w:val="0"/>
                <w:sz w:val="17"/>
              </w:rPr>
              <w:t>DE typical ~900-1050 kWh/kWp/yr. Well below = orientation, shading or underperformance.</w:t>
            </w:r>
          </w:p>
        </w:tc>
      </w:tr>
      <w:tr>
        <w:tc>
          <w:tcPr>
            <w:tcW w:type="dxa" w:w="1500"/>
            <w:tcW w:w="1500" w:type="dxa"/>
          </w:tcPr>
          <w:p>
            <w:pPr>
              <w:spacing w:after="20" w:before="20"/>
            </w:pPr>
            <w:r/>
            <w:r>
              <w:rPr>
                <w:rFonts w:ascii="Arial" w:hAnsi="Arial"/>
                <w:b/>
                <w:i w:val="0"/>
                <w:sz w:val="17"/>
              </w:rPr>
              <w:t>PV Underperformance - Est. Annual Loss</w:t>
            </w:r>
          </w:p>
        </w:tc>
        <w:tc>
          <w:tcPr>
            <w:tcW w:type="dxa" w:w="2250"/>
            <w:tcW w:w="2250" w:type="dxa"/>
          </w:tcPr>
          <w:p>
            <w:pPr>
              <w:spacing w:after="20" w:before="20"/>
            </w:pPr>
            <w:r/>
            <w:r>
              <w:rPr>
                <w:rFonts w:ascii="Arial" w:hAnsi="Arial"/>
                <w:b w:val="0"/>
                <w:i w:val="0"/>
                <w:sz w:val="17"/>
              </w:rPr>
              <w:t>For each underperforming system, the generation and money left on the table.</w:t>
            </w:r>
          </w:p>
        </w:tc>
        <w:tc>
          <w:tcPr>
            <w:tcW w:type="dxa" w:w="3360"/>
            <w:tcW w:w="3360" w:type="dxa"/>
          </w:tcPr>
          <w:p>
            <w:pPr>
              <w:spacing w:after="20" w:before="20"/>
            </w:pPr>
            <w:r/>
            <w:r>
              <w:rPr>
                <w:rFonts w:ascii="Arial" w:hAnsi="Arial"/>
                <w:b w:val="0"/>
                <w:i w:val="0"/>
                <w:sz w:val="17"/>
              </w:rPr>
              <w:t>lost_kWh = annual_gen x (0.80/PR - 1); valued at the building's own effective solar tariff (savings / self-consumed). Buildings at/above target drop out.</w:t>
            </w:r>
          </w:p>
          <w:p>
            <w:pPr>
              <w:spacing w:after="20" w:before="20"/>
            </w:pPr>
            <w:r>
              <w:rPr>
                <w:rFonts w:ascii="Arial" w:hAnsi="Arial"/>
                <w:b w:val="0"/>
                <w:i w:val="0"/>
                <w:sz w:val="17"/>
              </w:rPr>
              <w:t>Source: gold_kpi_daily - [PV Underperf Lost Gen kWh (Est)], [PV Underperf Loss EUR (Est)].</w:t>
            </w:r>
          </w:p>
        </w:tc>
        <w:tc>
          <w:tcPr>
            <w:tcW w:type="dxa" w:w="2250"/>
            <w:tcW w:w="2250" w:type="dxa"/>
          </w:tcPr>
          <w:p>
            <w:pPr>
              <w:spacing w:after="20" w:before="20"/>
            </w:pPr>
            <w:r/>
            <w:r>
              <w:rPr>
                <w:rFonts w:ascii="Arial" w:hAnsi="Arial"/>
                <w:b w:val="0"/>
                <w:i w:val="0"/>
                <w:sz w:val="17"/>
              </w:rPr>
              <w:t>Target PR 0.80 (mid healthy band). Top case ~33k EUR/yr; portfolio ~53k EUR/yr recoverable. All 'Est.'.</w:t>
            </w:r>
          </w:p>
        </w:tc>
      </w:tr>
      <w:tr>
        <w:tc>
          <w:tcPr>
            <w:tcW w:type="dxa" w:w="1500"/>
            <w:tcW w:w="1500" w:type="dxa"/>
            <w:shd w:val="clear" w:color="auto" w:fill="EAF3EF"/>
          </w:tcPr>
          <w:p>
            <w:pPr>
              <w:spacing w:after="20" w:before="20"/>
            </w:pPr>
            <w:r/>
            <w:r>
              <w:rPr>
                <w:rFonts w:ascii="Arial" w:hAnsi="Arial"/>
                <w:b/>
                <w:i w:val="0"/>
                <w:sz w:val="17"/>
              </w:rPr>
              <w:t>Install-solar opportunities</w:t>
            </w:r>
          </w:p>
        </w:tc>
        <w:tc>
          <w:tcPr>
            <w:tcW w:type="dxa" w:w="2250"/>
            <w:tcW w:w="2250" w:type="dxa"/>
            <w:shd w:val="clear" w:color="auto" w:fill="EAF3EF"/>
          </w:tcPr>
          <w:p>
            <w:pPr>
              <w:spacing w:after="20" w:before="20"/>
            </w:pPr>
            <w:r/>
            <w:r>
              <w:rPr>
                <w:rFonts w:ascii="Arial" w:hAnsi="Arial"/>
                <w:b w:val="0"/>
                <w:i w:val="0"/>
                <w:sz w:val="17"/>
              </w:rPr>
              <w:t>Buildings without PV ranked as install candidates.</w:t>
            </w:r>
          </w:p>
        </w:tc>
        <w:tc>
          <w:tcPr>
            <w:tcW w:type="dxa" w:w="3360"/>
            <w:tcW w:w="3360" w:type="dxa"/>
            <w:shd w:val="clear" w:color="auto" w:fill="EAF3EF"/>
          </w:tcPr>
          <w:p>
            <w:pPr>
              <w:spacing w:after="20" w:before="20"/>
            </w:pPr>
            <w:r/>
            <w:r>
              <w:rPr>
                <w:rFonts w:ascii="Arial" w:hAnsi="Arial"/>
                <w:b w:val="0"/>
                <w:i w:val="0"/>
                <w:sz w:val="17"/>
              </w:rPr>
              <w:t>Sizing + ROI per candidate, subject to the NPV viability gate (Page 4).</w:t>
            </w:r>
          </w:p>
          <w:p>
            <w:pPr>
              <w:spacing w:after="20" w:before="20"/>
            </w:pPr>
            <w:r>
              <w:rPr>
                <w:rFonts w:ascii="Arial" w:hAnsi="Arial"/>
                <w:b w:val="0"/>
                <w:i w:val="0"/>
                <w:sz w:val="17"/>
              </w:rPr>
              <w:t>Source: gold_recommendations (INSTALL_SOLAR).</w:t>
            </w:r>
          </w:p>
        </w:tc>
        <w:tc>
          <w:tcPr>
            <w:tcW w:type="dxa" w:w="2250"/>
            <w:tcW w:w="2250" w:type="dxa"/>
            <w:shd w:val="clear" w:color="auto" w:fill="EAF3EF"/>
          </w:tcPr>
          <w:p>
            <w:pPr>
              <w:spacing w:after="20" w:before="20"/>
            </w:pPr>
            <w:r/>
            <w:r>
              <w:rPr>
                <w:rFonts w:ascii="Arial" w:hAnsi="Arial"/>
                <w:b w:val="0"/>
                <w:i w:val="0"/>
                <w:sz w:val="17"/>
              </w:rPr>
              <w:t>A negative-NPV candidate (e.g. low-tariff TR site) is labelled INFORMATIONAL, not a MEDIUM opportunity.</w:t>
            </w:r>
          </w:p>
        </w:tc>
      </w:tr>
    </w:tbl>
    <w:p>
      <w:pPr>
        <w:spacing w:after="40"/>
      </w:pPr>
    </w:p>
    <w:p>
      <w:pPr>
        <w:pStyle w:val="Heading2"/>
        <w:spacing w:before="200" w:after="80"/>
      </w:pPr>
      <w:r>
        <w:rPr>
          <w:rFonts w:ascii="Arial" w:hAnsi="Arial"/>
          <w:b/>
          <w:color w:val="108A5A"/>
          <w:sz w:val="24"/>
        </w:rPr>
        <w:t>Energy logic</w:t>
      </w:r>
    </w:p>
    <w:p>
      <w:pPr>
        <w:pStyle w:val="ListBullet"/>
        <w:spacing w:after="40"/>
      </w:pPr>
      <w:r>
        <w:rPr>
          <w:rFonts w:ascii="Arial" w:hAnsi="Arial"/>
          <w:sz w:val="20"/>
        </w:rPr>
        <w:t>PR was rebuilt to an energy basis this pass: the old daily PR averaged hourly ratios, which exploded on low-sun days (PR up to 5.6, impossible). Energy-basis PR is robust to that and is generation-weighted at the portfolio level.</w:t>
      </w:r>
    </w:p>
    <w:p>
      <w:pPr>
        <w:pStyle w:val="ListBullet"/>
        <w:spacing w:after="40"/>
      </w:pPr>
      <w:r>
        <w:rPr>
          <w:rFonts w:ascii="Arial" w:hAnsi="Arial"/>
          <w:sz w:val="20"/>
        </w:rPr>
        <w:t>The honest consequence is that 5 of 8 systems now read below the 0.75 healthy line - previously hidden by the inflated average.</w:t>
      </w:r>
    </w:p>
    <w:p>
      <w:pPr>
        <w:spacing w:after="160"/>
      </w:pPr>
      <w:r>
        <w:rPr>
          <w:rFonts w:ascii="Arial" w:hAnsi="Arial"/>
          <w:b/>
          <w:color w:val="108A5A"/>
          <w:sz w:val="20"/>
        </w:rPr>
        <w:t xml:space="preserve">Data basis: </w:t>
      </w:r>
      <w:r>
        <w:rPr>
          <w:rFonts w:ascii="Arial" w:hAnsi="Arial"/>
          <w:i/>
          <w:color w:val="556066"/>
          <w:sz w:val="20"/>
        </w:rPr>
        <w:t>The KPI path is synthetic; the telemetry path (gold_solar_daily, real-ish rollup) independently computes the same energy-basis PR and lands at ~0.80. Residual systems sitting at the 0.95 clamp reflect synthetic generation calibrated slightly high - a generator-calibration item, separate from this report layer.</w:t>
      </w:r>
    </w:p>
    <w:p>
      <w:r>
        <w:br w:type="page"/>
      </w:r>
    </w:p>
    <w:p>
      <w:pPr>
        <w:pStyle w:val="Heading1"/>
        <w:spacing w:before="280" w:after="120"/>
      </w:pPr>
      <w:r>
        <w:rPr>
          <w:rFonts w:ascii="Arial" w:hAnsi="Arial"/>
          <w:b/>
          <w:color w:val="121C24"/>
          <w:sz w:val="30"/>
        </w:rPr>
        <w:t>Methodology notes (cross-cutting)</w:t>
      </w:r>
    </w:p>
    <w:p>
      <w:pPr>
        <w:pStyle w:val="Heading2"/>
        <w:spacing w:before="200" w:after="80"/>
      </w:pPr>
      <w:r>
        <w:rPr>
          <w:rFonts w:ascii="Arial" w:hAnsi="Arial"/>
          <w:b/>
          <w:color w:val="108A5A"/>
          <w:sz w:val="24"/>
        </w:rPr>
        <w:t>Performance Ratio - energy basis</w:t>
      </w:r>
    </w:p>
    <w:p>
      <w:pPr>
        <w:spacing w:after="120"/>
      </w:pPr>
      <w:r>
        <w:rPr>
          <w:rFonts w:ascii="Arial" w:hAnsi="Arial"/>
          <w:b w:val="0"/>
          <w:i w:val="0"/>
          <w:sz w:val="21"/>
        </w:rPr>
        <w:t>PV PR is computed on an energy basis at daily and monthly grain: PR = sum(generation) / (installed kWp x sum(reference-yield)), where reference-yield for a day = sum(hourly average W/m2)/1000 (equivalent peak-sun-hours). This replaces an earlier average-of-hourly-ratios method that produced impossible PR&gt;1 on low-sun days. PR is clamped at 0.95 and gated to days with meaningful sun (reference-yield &gt; 0.5). The portfolio figure is generation-weighted, so a small or low-sun system cannot inflate it.</w:t>
      </w:r>
    </w:p>
    <w:p>
      <w:pPr>
        <w:pStyle w:val="Heading2"/>
        <w:spacing w:before="200" w:after="80"/>
      </w:pPr>
      <w:r>
        <w:rPr>
          <w:rFonts w:ascii="Arial" w:hAnsi="Arial"/>
          <w:b/>
          <w:color w:val="108A5A"/>
          <w:sz w:val="24"/>
        </w:rPr>
        <w:t>Recommendation scoring &amp; the NPV viability gate</w:t>
      </w:r>
    </w:p>
    <w:p>
      <w:pPr>
        <w:spacing w:after="120"/>
      </w:pPr>
      <w:r>
        <w:rPr>
          <w:rFonts w:ascii="Arial" w:hAnsi="Arial"/>
          <w:b w:val="0"/>
          <w:i w:val="0"/>
          <w:sz w:val="21"/>
        </w:rPr>
        <w:t>priority_score = 0.35 compliance-urgency + 0.30 financial(NPV/200k) + 0.20 CO2-impact + 0.15 payback-speed. The pipeline then applies three corrections in order: (1) a portfolio-realism savings cap scales a building's stacked savings to &lt;=65% of its energy cost / 75% of emissions; (2) a capex realism floor sizes each operational measure's capex to a realistic minimum implied by its own saving (default &gt;= 1.5 yr payback), so energy-dense buildings no longer show implausible sub-year paybacks, and per-measure savings percentages are separated so measures stop returning identical euro figures; (3) an economic-viability gate caps any OPTIONAL investment with NPV&lt;=0 to INFORMATIONAL - no longer an opportunity. Compliance-mandated retrofits (heat pump, insulation, deep retrofit, audit) are exempt because a legal duty outranks ROI. The model's annuity factor is 12, so NPV&lt;=0 is equivalent to payback &gt;= ~12 years.</w:t>
      </w:r>
    </w:p>
    <w:p>
      <w:pPr>
        <w:pStyle w:val="Heading2"/>
        <w:spacing w:before="200" w:after="80"/>
      </w:pPr>
      <w:r>
        <w:rPr>
          <w:rFonts w:ascii="Arial" w:hAnsi="Arial"/>
          <w:b/>
          <w:color w:val="108A5A"/>
          <w:sz w:val="24"/>
        </w:rPr>
        <w:t>Anomaly rules</w:t>
      </w:r>
    </w:p>
    <w:p>
      <w:pPr>
        <w:spacing w:after="120"/>
      </w:pPr>
      <w:r>
        <w:rPr>
          <w:rFonts w:ascii="Arial" w:hAnsi="Arial"/>
          <w:b w:val="0"/>
          <w:i w:val="0"/>
          <w:sz w:val="21"/>
        </w:rPr>
        <w:t>Six rules generate gold_anomaly_log: CONSUMPTION_SPIKE (&gt;~120% baseline / 2.5x rolling), NIGHT_OVERCONSUMPTION, SOLAR_PR_DROP (hourly PR&lt;0.65 above 50 W/m2), BATTERY_OVERDISCHARGE (SoC&lt;10%), BATTERY_OVERCHARGE, DATA_QUALITY_GAP. Each carries an estimated EUR impact (duration x power-waste x grid price) for prioritisation only.</w:t>
      </w:r>
    </w:p>
    <w:p>
      <w:pPr>
        <w:pStyle w:val="Heading2"/>
        <w:spacing w:before="200" w:after="80"/>
      </w:pPr>
      <w:r>
        <w:rPr>
          <w:rFonts w:ascii="Arial" w:hAnsi="Arial"/>
          <w:b/>
          <w:color w:val="108A5A"/>
          <w:sz w:val="24"/>
        </w:rPr>
        <w:t>GHG &amp; climate normalisation</w:t>
      </w:r>
    </w:p>
    <w:p>
      <w:pPr>
        <w:spacing w:after="120"/>
      </w:pPr>
      <w:r>
        <w:rPr>
          <w:rFonts w:ascii="Arial" w:hAnsi="Arial"/>
          <w:b w:val="0"/>
          <w:i w:val="0"/>
          <w:sz w:val="21"/>
        </w:rPr>
        <w:t>Scope 2 uses a year-indexed grid factor (DE 0.363 location / 0.725 residual-market). Carbon intensity is tracked against the CRREM 2C pathway to derive a stranding year. Consumption is climate-normalised with a HDD+CDD ratio method so weather years are comparable.</w:t>
      </w:r>
    </w:p>
    <w:p>
      <w:r>
        <w:br w:type="page"/>
      </w:r>
    </w:p>
    <w:p>
      <w:pPr>
        <w:pStyle w:val="Heading1"/>
        <w:spacing w:before="280" w:after="120"/>
      </w:pPr>
      <w:r>
        <w:rPr>
          <w:rFonts w:ascii="Arial" w:hAnsi="Arial"/>
          <w:b/>
          <w:color w:val="121C24"/>
          <w:sz w:val="30"/>
        </w:rPr>
        <w:t>Data provenance - synthetic vs real</w:t>
      </w:r>
    </w:p>
    <w:p>
      <w:pPr>
        <w:spacing w:after="120"/>
      </w:pPr>
      <w:r>
        <w:rPr>
          <w:rFonts w:ascii="Arial" w:hAnsi="Arial"/>
          <w:b w:val="0"/>
          <w:i w:val="0"/>
          <w:sz w:val="21"/>
        </w:rPr>
        <w:t>Honesty is a design principle: the report never presents a modelled or synthetic number as if it were measured.</w:t>
      </w:r>
    </w:p>
    <w:p>
      <w:pPr>
        <w:pStyle w:val="ListBullet"/>
        <w:spacing w:after="40"/>
      </w:pPr>
      <w:r>
        <w:rPr>
          <w:rFonts w:ascii="Arial" w:hAnsi="Arial"/>
          <w:sz w:val="21"/>
        </w:rPr>
        <w:t>Meter, weather, HVAC and occupancy data are synthetic with realistic structure; figures derived from them are screening-grade.</w:t>
      </w:r>
    </w:p>
    <w:p>
      <w:pPr>
        <w:pStyle w:val="ListBullet"/>
        <w:spacing w:after="40"/>
      </w:pPr>
      <w:r>
        <w:rPr>
          <w:rFonts w:ascii="Arial" w:hAnsi="Arial"/>
          <w:sz w:val="21"/>
        </w:rPr>
        <w:t>Solar has two paths: the synthetic KPI path (gold_kpi_daily) and a real-ish telemetry rollup (gold_solar_daily) that independently computes the same energy-basis PR (~0.80). The web app shows a data-basis badge.</w:t>
      </w:r>
    </w:p>
    <w:p>
      <w:pPr>
        <w:pStyle w:val="ListBullet"/>
        <w:spacing w:after="40"/>
      </w:pPr>
      <w:r>
        <w:rPr>
          <w:rFonts w:ascii="Arial" w:hAnsi="Arial"/>
          <w:sz w:val="21"/>
        </w:rPr>
        <w:t>Battery: only three buildings have real measured dispatch (B001/B003/B005); others are physics models (Modeled) or batteryless (Prospect), tagged in gold_battery_simulation.</w:t>
      </w:r>
    </w:p>
    <w:p>
      <w:pPr>
        <w:pStyle w:val="ListBullet"/>
        <w:spacing w:after="40"/>
      </w:pPr>
      <w:r>
        <w:rPr>
          <w:rFonts w:ascii="Arial" w:hAnsi="Arial"/>
          <w:sz w:val="21"/>
        </w:rPr>
        <w:t>Recommendations use real tariffs, feed-in and grid factors, but savings are estimates on synthetic baselines.</w:t>
      </w:r>
    </w:p>
    <w:p>
      <w:pPr>
        <w:pStyle w:val="ListBullet"/>
        <w:spacing w:after="40"/>
      </w:pPr>
      <w:r>
        <w:rPr>
          <w:rFonts w:ascii="Arial" w:hAnsi="Arial"/>
          <w:sz w:val="21"/>
        </w:rPr>
        <w:t>Every estimate is labelled 'Est.' and provisional baselines disappear once metered consumption is connected.</w:t>
      </w:r>
    </w:p>
    <w:p>
      <w:pPr>
        <w:spacing w:after="160"/>
      </w:pPr>
      <w:r>
        <w:rPr>
          <w:rFonts w:ascii="Arial" w:hAnsi="Arial"/>
          <w:b/>
          <w:color w:val="108A5A"/>
          <w:sz w:val="20"/>
        </w:rPr>
        <w:t xml:space="preserve">Known residuals: </w:t>
      </w:r>
      <w:r>
        <w:rPr>
          <w:rFonts w:ascii="Arial" w:hAnsi="Arial"/>
          <w:i/>
          <w:color w:val="556066"/>
          <w:sz w:val="20"/>
        </w:rPr>
        <w:t>A few solar systems sit at the PR clamp (0.95) because synthetic generation is calibrated slightly high for those buildings - a generator-calibration item tracked separately (the total-energy-ledger workstream), not a report-layer defect.</w:t>
      </w:r>
    </w:p>
    <w:p>
      <w:r>
        <w:br w:type="page"/>
      </w:r>
    </w:p>
    <w:p>
      <w:pPr>
        <w:pStyle w:val="Heading1"/>
        <w:spacing w:before="280" w:after="120"/>
      </w:pPr>
      <w:r>
        <w:rPr>
          <w:rFonts w:ascii="Arial" w:hAnsi="Arial"/>
          <w:b/>
          <w:color w:val="121C24"/>
          <w:sz w:val="30"/>
        </w:rPr>
        <w:t>Glossary</w:t>
      </w:r>
    </w:p>
    <w:tbl>
      <w:tblPr>
        <w:tblStyle w:val="TableGrid"/>
        <w:tblW w:type="auto" w:w="0"/>
        <w:jc w:val="center"/>
        <w:tblLook w:firstColumn="1" w:firstRow="1" w:lastColumn="0" w:lastRow="0" w:noHBand="0" w:noVBand="1" w:val="04A0"/>
      </w:tblPr>
      <w:tblGrid>
        <w:gridCol w:w="4680"/>
        <w:gridCol w:w="4680"/>
      </w:tblGrid>
      <w:tr>
        <w:tc>
          <w:tcPr>
            <w:tcW w:type="dxa" w:w="2600"/>
            <w:tcW w:w="2600" w:type="dxa"/>
            <w:shd w:val="clear" w:color="auto" w:fill="10885A"/>
          </w:tcPr>
          <w:p>
            <w:pPr>
              <w:spacing w:after="20" w:before="20"/>
            </w:pPr>
            <w:r/>
            <w:r>
              <w:rPr>
                <w:rFonts w:ascii="Arial" w:hAnsi="Arial"/>
                <w:b/>
                <w:i w:val="0"/>
                <w:color w:val="FFFFFF"/>
                <w:sz w:val="18"/>
              </w:rPr>
              <w:t>Term</w:t>
            </w:r>
          </w:p>
        </w:tc>
        <w:tc>
          <w:tcPr>
            <w:tcW w:type="dxa" w:w="6760"/>
            <w:tcW w:w="6760" w:type="dxa"/>
            <w:shd w:val="clear" w:color="auto" w:fill="10885A"/>
          </w:tcPr>
          <w:p>
            <w:pPr>
              <w:spacing w:after="20" w:before="20"/>
            </w:pPr>
            <w:r/>
            <w:r>
              <w:rPr>
                <w:rFonts w:ascii="Arial" w:hAnsi="Arial"/>
                <w:b/>
                <w:i w:val="0"/>
                <w:color w:val="FFFFFF"/>
                <w:sz w:val="18"/>
              </w:rPr>
              <w:t>Definition</w:t>
            </w:r>
          </w:p>
        </w:tc>
      </w:tr>
      <w:tr>
        <w:tc>
          <w:tcPr>
            <w:tcW w:type="dxa" w:w="2600"/>
            <w:tcW w:w="2600" w:type="dxa"/>
          </w:tcPr>
          <w:p>
            <w:pPr>
              <w:spacing w:after="20" w:before="20"/>
            </w:pPr>
            <w:r/>
            <w:r>
              <w:rPr>
                <w:rFonts w:ascii="Arial" w:hAnsi="Arial"/>
                <w:b/>
                <w:i w:val="0"/>
                <w:sz w:val="18"/>
              </w:rPr>
              <w:t>EUI (Energy Use Intensity)</w:t>
            </w:r>
          </w:p>
        </w:tc>
        <w:tc>
          <w:tcPr>
            <w:tcW w:type="dxa" w:w="6760"/>
            <w:tcW w:w="6760" w:type="dxa"/>
          </w:tcPr>
          <w:p>
            <w:pPr>
              <w:spacing w:after="20" w:before="20"/>
            </w:pPr>
            <w:r/>
            <w:r>
              <w:rPr>
                <w:rFonts w:ascii="Arial" w:hAnsi="Arial"/>
                <w:b w:val="0"/>
                <w:i w:val="0"/>
                <w:sz w:val="18"/>
              </w:rPr>
              <w:t>Annual energy per conditioned floor area (kWh/m2/yr). The primary cross-building efficiency yardstick.</w:t>
            </w:r>
          </w:p>
        </w:tc>
      </w:tr>
      <w:tr>
        <w:tc>
          <w:tcPr>
            <w:tcW w:type="dxa" w:w="2600"/>
            <w:tcW w:w="2600" w:type="dxa"/>
            <w:shd w:val="clear" w:color="auto" w:fill="EAF3EF"/>
          </w:tcPr>
          <w:p>
            <w:pPr>
              <w:spacing w:after="20" w:before="20"/>
            </w:pPr>
            <w:r/>
            <w:r>
              <w:rPr>
                <w:rFonts w:ascii="Arial" w:hAnsi="Arial"/>
                <w:b/>
                <w:i w:val="0"/>
                <w:sz w:val="18"/>
              </w:rPr>
              <w:t>PR (Performance Ratio)</w:t>
            </w:r>
          </w:p>
        </w:tc>
        <w:tc>
          <w:tcPr>
            <w:tcW w:type="dxa" w:w="6760"/>
            <w:tcW w:w="6760" w:type="dxa"/>
            <w:shd w:val="clear" w:color="auto" w:fill="EAF3EF"/>
          </w:tcPr>
          <w:p>
            <w:pPr>
              <w:spacing w:after="20" w:before="20"/>
            </w:pPr>
            <w:r/>
            <w:r>
              <w:rPr>
                <w:rFonts w:ascii="Arial" w:hAnsi="Arial"/>
                <w:b w:val="0"/>
                <w:i w:val="0"/>
                <w:sz w:val="18"/>
              </w:rPr>
              <w:t>Actual PV yield divided by the theoretical yield from the irradiance received. 0.75-0.85 healthy; &gt;1.0 is a data error, not real over-performance.</w:t>
            </w:r>
          </w:p>
        </w:tc>
      </w:tr>
      <w:tr>
        <w:tc>
          <w:tcPr>
            <w:tcW w:type="dxa" w:w="2600"/>
            <w:tcW w:w="2600" w:type="dxa"/>
          </w:tcPr>
          <w:p>
            <w:pPr>
              <w:spacing w:after="20" w:before="20"/>
            </w:pPr>
            <w:r/>
            <w:r>
              <w:rPr>
                <w:rFonts w:ascii="Arial" w:hAnsi="Arial"/>
                <w:b/>
                <w:i w:val="0"/>
                <w:sz w:val="18"/>
              </w:rPr>
              <w:t>Specific yield</w:t>
            </w:r>
          </w:p>
        </w:tc>
        <w:tc>
          <w:tcPr>
            <w:tcW w:type="dxa" w:w="6760"/>
            <w:tcW w:w="6760" w:type="dxa"/>
          </w:tcPr>
          <w:p>
            <w:pPr>
              <w:spacing w:after="20" w:before="20"/>
            </w:pPr>
            <w:r/>
            <w:r>
              <w:rPr>
                <w:rFonts w:ascii="Arial" w:hAnsi="Arial"/>
                <w:b w:val="0"/>
                <w:i w:val="0"/>
                <w:sz w:val="18"/>
              </w:rPr>
              <w:t>PV generation per installed kWp (kWh/kWp/yr). Germany typical ~900-1050.</w:t>
            </w:r>
          </w:p>
        </w:tc>
      </w:tr>
      <w:tr>
        <w:tc>
          <w:tcPr>
            <w:tcW w:type="dxa" w:w="2600"/>
            <w:tcW w:w="2600" w:type="dxa"/>
            <w:shd w:val="clear" w:color="auto" w:fill="EAF3EF"/>
          </w:tcPr>
          <w:p>
            <w:pPr>
              <w:spacing w:after="20" w:before="20"/>
            </w:pPr>
            <w:r/>
            <w:r>
              <w:rPr>
                <w:rFonts w:ascii="Arial" w:hAnsi="Arial"/>
                <w:b/>
                <w:i w:val="0"/>
                <w:sz w:val="18"/>
              </w:rPr>
              <w:t>Self-consumption</w:t>
            </w:r>
          </w:p>
        </w:tc>
        <w:tc>
          <w:tcPr>
            <w:tcW w:type="dxa" w:w="6760"/>
            <w:tcW w:w="6760" w:type="dxa"/>
            <w:shd w:val="clear" w:color="auto" w:fill="EAF3EF"/>
          </w:tcPr>
          <w:p>
            <w:pPr>
              <w:spacing w:after="20" w:before="20"/>
            </w:pPr>
            <w:r/>
            <w:r>
              <w:rPr>
                <w:rFonts w:ascii="Arial" w:hAnsi="Arial"/>
                <w:b w:val="0"/>
                <w:i w:val="0"/>
                <w:sz w:val="18"/>
              </w:rPr>
              <w:t>Share of on-site generation used on-site rather than exported; usually more valuable than export.</w:t>
            </w:r>
          </w:p>
        </w:tc>
      </w:tr>
      <w:tr>
        <w:tc>
          <w:tcPr>
            <w:tcW w:type="dxa" w:w="2600"/>
            <w:tcW w:w="2600" w:type="dxa"/>
          </w:tcPr>
          <w:p>
            <w:pPr>
              <w:spacing w:after="20" w:before="20"/>
            </w:pPr>
            <w:r/>
            <w:r>
              <w:rPr>
                <w:rFonts w:ascii="Arial" w:hAnsi="Arial"/>
                <w:b/>
                <w:i w:val="0"/>
                <w:sz w:val="18"/>
              </w:rPr>
              <w:t>COP / JAZ</w:t>
            </w:r>
          </w:p>
        </w:tc>
        <w:tc>
          <w:tcPr>
            <w:tcW w:type="dxa" w:w="6760"/>
            <w:tcW w:w="6760" w:type="dxa"/>
          </w:tcPr>
          <w:p>
            <w:pPr>
              <w:spacing w:after="20" w:before="20"/>
            </w:pPr>
            <w:r/>
            <w:r>
              <w:rPr>
                <w:rFonts w:ascii="Arial" w:hAnsi="Arial"/>
                <w:b w:val="0"/>
                <w:i w:val="0"/>
                <w:sz w:val="18"/>
              </w:rPr>
              <w:t>Heat-pump coefficient of performance / seasonal performance factor. ~3.0 floor; higher is better.</w:t>
            </w:r>
          </w:p>
        </w:tc>
      </w:tr>
      <w:tr>
        <w:tc>
          <w:tcPr>
            <w:tcW w:type="dxa" w:w="2600"/>
            <w:tcW w:w="2600" w:type="dxa"/>
            <w:shd w:val="clear" w:color="auto" w:fill="EAF3EF"/>
          </w:tcPr>
          <w:p>
            <w:pPr>
              <w:spacing w:after="20" w:before="20"/>
            </w:pPr>
            <w:r/>
            <w:r>
              <w:rPr>
                <w:rFonts w:ascii="Arial" w:hAnsi="Arial"/>
                <w:b/>
                <w:i w:val="0"/>
                <w:sz w:val="18"/>
              </w:rPr>
              <w:t>HDD / CDD</w:t>
            </w:r>
          </w:p>
        </w:tc>
        <w:tc>
          <w:tcPr>
            <w:tcW w:type="dxa" w:w="6760"/>
            <w:tcW w:w="6760" w:type="dxa"/>
            <w:shd w:val="clear" w:color="auto" w:fill="EAF3EF"/>
          </w:tcPr>
          <w:p>
            <w:pPr>
              <w:spacing w:after="20" w:before="20"/>
            </w:pPr>
            <w:r/>
            <w:r>
              <w:rPr>
                <w:rFonts w:ascii="Arial" w:hAnsi="Arial"/>
                <w:b w:val="0"/>
                <w:i w:val="0"/>
                <w:sz w:val="18"/>
              </w:rPr>
              <w:t>Heating / cooling degree-days - a weather measure used to climate-normalise consumption.</w:t>
            </w:r>
          </w:p>
        </w:tc>
      </w:tr>
      <w:tr>
        <w:tc>
          <w:tcPr>
            <w:tcW w:type="dxa" w:w="2600"/>
            <w:tcW w:w="2600" w:type="dxa"/>
          </w:tcPr>
          <w:p>
            <w:pPr>
              <w:spacing w:after="20" w:before="20"/>
            </w:pPr>
            <w:r/>
            <w:r>
              <w:rPr>
                <w:rFonts w:ascii="Arial" w:hAnsi="Arial"/>
                <w:b/>
                <w:i w:val="0"/>
                <w:sz w:val="18"/>
              </w:rPr>
              <w:t>Scope 1 / 2 / 3</w:t>
            </w:r>
          </w:p>
        </w:tc>
        <w:tc>
          <w:tcPr>
            <w:tcW w:type="dxa" w:w="6760"/>
            <w:tcW w:w="6760" w:type="dxa"/>
          </w:tcPr>
          <w:p>
            <w:pPr>
              <w:spacing w:after="20" w:before="20"/>
            </w:pPr>
            <w:r/>
            <w:r>
              <w:rPr>
                <w:rFonts w:ascii="Arial" w:hAnsi="Arial"/>
                <w:b w:val="0"/>
                <w:i w:val="0"/>
                <w:sz w:val="18"/>
              </w:rPr>
              <w:t>GHG Protocol categories: on-site combustion / purchased electricity / value-chain emissions.</w:t>
            </w:r>
          </w:p>
        </w:tc>
      </w:tr>
      <w:tr>
        <w:tc>
          <w:tcPr>
            <w:tcW w:type="dxa" w:w="2600"/>
            <w:tcW w:w="2600" w:type="dxa"/>
            <w:shd w:val="clear" w:color="auto" w:fill="EAF3EF"/>
          </w:tcPr>
          <w:p>
            <w:pPr>
              <w:spacing w:after="20" w:before="20"/>
            </w:pPr>
            <w:r/>
            <w:r>
              <w:rPr>
                <w:rFonts w:ascii="Arial" w:hAnsi="Arial"/>
                <w:b/>
                <w:i w:val="0"/>
                <w:sz w:val="18"/>
              </w:rPr>
              <w:t>CRREM</w:t>
            </w:r>
          </w:p>
        </w:tc>
        <w:tc>
          <w:tcPr>
            <w:tcW w:type="dxa" w:w="6760"/>
            <w:tcW w:w="6760" w:type="dxa"/>
            <w:shd w:val="clear" w:color="auto" w:fill="EAF3EF"/>
          </w:tcPr>
          <w:p>
            <w:pPr>
              <w:spacing w:after="20" w:before="20"/>
            </w:pPr>
            <w:r/>
            <w:r>
              <w:rPr>
                <w:rFonts w:ascii="Arial" w:hAnsi="Arial"/>
                <w:b w:val="0"/>
                <w:i w:val="0"/>
                <w:sz w:val="18"/>
              </w:rPr>
              <w:t>Carbon Risk Real Estate Monitor decarbonisation pathway; the year a building crosses it is its 'stranding' year.</w:t>
            </w:r>
          </w:p>
        </w:tc>
      </w:tr>
      <w:tr>
        <w:tc>
          <w:tcPr>
            <w:tcW w:type="dxa" w:w="2600"/>
            <w:tcW w:w="2600" w:type="dxa"/>
          </w:tcPr>
          <w:p>
            <w:pPr>
              <w:spacing w:after="20" w:before="20"/>
            </w:pPr>
            <w:r/>
            <w:r>
              <w:rPr>
                <w:rFonts w:ascii="Arial" w:hAnsi="Arial"/>
                <w:b/>
                <w:i w:val="0"/>
                <w:sz w:val="18"/>
              </w:rPr>
              <w:t>MEPS / EPBD</w:t>
            </w:r>
          </w:p>
        </w:tc>
        <w:tc>
          <w:tcPr>
            <w:tcW w:type="dxa" w:w="6760"/>
            <w:tcW w:w="6760" w:type="dxa"/>
          </w:tcPr>
          <w:p>
            <w:pPr>
              <w:spacing w:after="20" w:before="20"/>
            </w:pPr>
            <w:r/>
            <w:r>
              <w:rPr>
                <w:rFonts w:ascii="Arial" w:hAnsi="Arial"/>
                <w:b w:val="0"/>
                <w:i w:val="0"/>
                <w:sz w:val="18"/>
              </w:rPr>
              <w:t>EU Minimum Energy Performance Standards under the Energy Performance of Buildings Directive: worst 15% / EPC G by 2030, EPC F by 2033.</w:t>
            </w:r>
          </w:p>
        </w:tc>
      </w:tr>
      <w:tr>
        <w:tc>
          <w:tcPr>
            <w:tcW w:type="dxa" w:w="2600"/>
            <w:tcW w:w="2600" w:type="dxa"/>
            <w:shd w:val="clear" w:color="auto" w:fill="EAF3EF"/>
          </w:tcPr>
          <w:p>
            <w:pPr>
              <w:spacing w:after="20" w:before="20"/>
            </w:pPr>
            <w:r/>
            <w:r>
              <w:rPr>
                <w:rFonts w:ascii="Arial" w:hAnsi="Arial"/>
                <w:b/>
                <w:i w:val="0"/>
                <w:sz w:val="18"/>
              </w:rPr>
              <w:t>NPV</w:t>
            </w:r>
          </w:p>
        </w:tc>
        <w:tc>
          <w:tcPr>
            <w:tcW w:type="dxa" w:w="6760"/>
            <w:tcW w:w="6760" w:type="dxa"/>
            <w:shd w:val="clear" w:color="auto" w:fill="EAF3EF"/>
          </w:tcPr>
          <w:p>
            <w:pPr>
              <w:spacing w:after="20" w:before="20"/>
            </w:pPr>
            <w:r/>
            <w:r>
              <w:rPr>
                <w:rFonts w:ascii="Arial" w:hAnsi="Arial"/>
                <w:b w:val="0"/>
                <w:i w:val="0"/>
                <w:sz w:val="18"/>
              </w:rPr>
              <w:t>Net Present Value - lifetime savings discounted to today minus upfront cost. NPV&lt;=0 means the investment does not pay back in present-value terms.</w:t>
            </w:r>
          </w:p>
        </w:tc>
      </w:tr>
      <w:tr>
        <w:tc>
          <w:tcPr>
            <w:tcW w:type="dxa" w:w="2600"/>
            <w:tcW w:w="2600" w:type="dxa"/>
          </w:tcPr>
          <w:p>
            <w:pPr>
              <w:spacing w:after="20" w:before="20"/>
            </w:pPr>
            <w:r/>
            <w:r>
              <w:rPr>
                <w:rFonts w:ascii="Arial" w:hAnsi="Arial"/>
                <w:b/>
                <w:i w:val="0"/>
                <w:sz w:val="18"/>
              </w:rPr>
              <w:t>Payback</w:t>
            </w:r>
          </w:p>
        </w:tc>
        <w:tc>
          <w:tcPr>
            <w:tcW w:type="dxa" w:w="6760"/>
            <w:tcW w:w="6760" w:type="dxa"/>
          </w:tcPr>
          <w:p>
            <w:pPr>
              <w:spacing w:after="20" w:before="20"/>
            </w:pPr>
            <w:r/>
            <w:r>
              <w:rPr>
                <w:rFonts w:ascii="Arial" w:hAnsi="Arial"/>
                <w:b w:val="0"/>
                <w:i w:val="0"/>
                <w:sz w:val="18"/>
              </w:rPr>
              <w:t>Years for cumulative savings to equal the upfront cost (undiscounted). With the model's annuity factor 12, NPV&lt;=0 corresponds to payback &gt;= ~12 yr.</w:t>
            </w:r>
          </w:p>
        </w:tc>
      </w:tr>
      <w:tr>
        <w:tc>
          <w:tcPr>
            <w:tcW w:type="dxa" w:w="2600"/>
            <w:tcW w:w="2600" w:type="dxa"/>
            <w:shd w:val="clear" w:color="auto" w:fill="EAF3EF"/>
          </w:tcPr>
          <w:p>
            <w:pPr>
              <w:spacing w:after="20" w:before="20"/>
            </w:pPr>
            <w:r/>
            <w:r>
              <w:rPr>
                <w:rFonts w:ascii="Arial" w:hAnsi="Arial"/>
                <w:b/>
                <w:i w:val="0"/>
                <w:sz w:val="18"/>
              </w:rPr>
              <w:t>data_basis (Measured/Modeled/Prospect)</w:t>
            </w:r>
          </w:p>
        </w:tc>
        <w:tc>
          <w:tcPr>
            <w:tcW w:type="dxa" w:w="6760"/>
            <w:tcW w:w="6760" w:type="dxa"/>
            <w:shd w:val="clear" w:color="auto" w:fill="EAF3EF"/>
          </w:tcPr>
          <w:p>
            <w:pPr>
              <w:spacing w:after="20" w:before="20"/>
            </w:pPr>
            <w:r/>
            <w:r>
              <w:rPr>
                <w:rFonts w:ascii="Arial" w:hAnsi="Arial"/>
                <w:b w:val="0"/>
                <w:i w:val="0"/>
                <w:sz w:val="18"/>
              </w:rPr>
              <w:t>Battery/solar provenance tag: real dispatch vs physics model vs a site without the asset.</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6066"/>
        <w:sz w:val="16"/>
      </w:rPr>
      <w:t xml:space="preserve">EnergyLens - Report Technical Documentation   -   Page </w:t>
    </w:r>
    <w:r>
      <w:rPr>
        <w:rFonts w:ascii="Arial" w:hAnsi="Arial"/>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