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0A1628"/>
          <w:sz w:val="56"/>
          <w:szCs w:val="56"/>
        </w:rPr>
        <w:t xml:space="preserve">Energy</w:t>
      </w:r>
      <w:r>
        <w:rPr>
          <w:b/>
          <w:bCs/>
          <w:color w:val="1D9E75"/>
          <w:sz w:val="56"/>
          <w:szCs w:val="56"/>
        </w:rPr>
        <w:t xml:space="preserve">Lens</w:t>
      </w:r>
    </w:p>
    <w:p>
      <w:pPr>
        <w:spacing w:after="100"/>
      </w:pPr>
      <w:r>
        <w:rPr>
          <w:b/>
          <w:bCs/>
        </w:rPr>
        <w:t xml:space="preserve">How every number in the platform is produced: methods, formulas, assumptions, and sources.</w:t>
      </w:r>
      <w:r>
        <w:t xml:space="preserve"> Version 1.0 · 2026-07-03 · Audited against the live codebase and the live Supabase mirror on this date. Audience: pilot customers' technical reviewers, Energieberater partners, and future engineering hires.</w:t>
      </w:r>
    </w:p>
    <w:p>
      <w:pPr>
        <w:pBdr>
          <w:left w:val="single" w:color="1D9E75" w:sz="18" w:space="8"/>
        </w:pBdr>
        <w:shd w:fill="F0FAF6" w:val="clear"/>
        <w:spacing w:after="160" w:before="120"/>
        <w:ind w:left="240"/>
      </w:pPr>
      <w:r>
        <w:rPr>
          <w:b/>
          <w:bCs/>
          <w:i w:val="false"/>
          <w:iCs w:val="false"/>
          <w:sz w:val="21"/>
          <w:szCs w:val="21"/>
        </w:rPr>
        <w:t xml:space="preserve">Honesty statement.</w:t>
      </w:r>
      <w:r>
        <w:rPr>
          <w:i w:val="false"/>
          <w:iCs w:val="false"/>
          <w:sz w:val="21"/>
          <w:szCs w:val="21"/>
        </w:rPr>
        <w:t xml:space="preserve"> The current portfolio (B001–B010, plus residential B011) is a </w:t>
      </w:r>
      <w:r>
        <w:rPr>
          <w:b/>
          <w:bCs/>
          <w:i w:val="false"/>
          <w:iCs w:val="false"/>
          <w:sz w:val="21"/>
          <w:szCs w:val="21"/>
        </w:rPr>
        <w:t xml:space="preserve">synthetic demonstration dataset</w:t>
      </w:r>
      <w:r>
        <w:rPr>
          <w:i w:val="false"/>
          <w:iCs w:val="false"/>
          <w:sz w:val="21"/>
          <w:szCs w:val="21"/>
        </w:rPr>
        <w:t xml:space="preserve"> generated to realistic engineering patterns. Every calculation documented here runs identically on real data; figures on synthetic buildings are labelled </w:t>
      </w:r>
      <w:r>
        <w:rPr>
          <w:rFonts w:ascii="Consolas" w:cs="Consolas" w:eastAsia="Consolas" w:hAnsi="Consolas"/>
          <w:i w:val="false"/>
          <w:iCs w:val="false"/>
          <w:color w:val="0F6E56"/>
          <w:sz w:val="21"/>
          <w:szCs w:val="21"/>
        </w:rPr>
        <w:t xml:space="preserve">sample</w:t>
      </w:r>
      <w:r>
        <w:rPr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color w:val="0F6E56"/>
          <w:sz w:val="21"/>
          <w:szCs w:val="21"/>
        </w:rPr>
        <w:t xml:space="preserve">estimated</w:t>
      </w:r>
      <w:r>
        <w:rPr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color w:val="0F6E56"/>
          <w:sz w:val="21"/>
          <w:szCs w:val="21"/>
        </w:rPr>
        <w:t xml:space="preserve">data_basis</w:t>
      </w:r>
      <w:r>
        <w:rPr>
          <w:i w:val="false"/>
          <w:iCs w:val="false"/>
          <w:sz w:val="21"/>
          <w:szCs w:val="21"/>
        </w:rPr>
        <w:t xml:space="preserve"> throughout the product. No real-building performance is claimed.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Bu doküman platformdaki her sayının nasıl üretildiğini anlatır: formüller, varsayımlar, kaynak dosyalar. Mevcut portföy sentetik demo verisidir ve ürün bunu her yerde açıkça etiketler. Her bölümün sonunda bu şekilde kısa Türkçe özet bulunur.</w:t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Platform-wide conventions &amp; reference factors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Calculation engines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3.1 Fabric data layer (notebooks) · 3.2 Backend service engines · 3.3 Frontend calculation libraries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application — module by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BI report (10 pages)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provenance &amp; the honesty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2026-07-03 — fixes applied &amp; pilot punch list</w:t>
      </w:r>
    </w:p>
    <w:p>
      <w:pPr>
        <w:pStyle w:val="Heading1"/>
        <w:pageBreakBefore/>
      </w:pPr>
      <w:r>
        <w:t xml:space="preserve">1. Platform architecture</w:t>
      </w:r>
    </w:p>
    <w:p>
      <w:pPr>
        <w:spacing w:after="100"/>
      </w:pPr>
      <w:r>
        <w:t xml:space="preserve">EnergyLens is a two-tier product built on one calculation core:</w:t>
      </w:r>
    </w:p>
    <w:p>
      <w:pPr>
        <w:shd w:fill="F4F6F8" w:val="clear"/>
        <w:spacing w:after="0" w:before="1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┌──────────────────────────────────────────────┐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│            MICROSOFT FABRIC (paid tier)    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Bills / CSV / PDF ──▶ │  Bronze (raw) → Silver (clean) → Gold (KPI)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IoT (BACnet/Modbus/   │  Spark notebooks 01…30 + Delta Lake          │──▶ Power BI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MQTT/REST edge agent) │  DirectLake semantic model (329 measures)    │    (embedded)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└───────────────┬──────────────────────────────┘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│ notebook 50 (materialize)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▼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┌──────────────────────────────────────────────┐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│        SUPABASE POSTGRES (free tier core)  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Web uploads ───────▶ │  mv_* mirror tables + app schema (auth,    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(Tier-1 path)        │  buildings, consumption, billing, alerts)  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└───────────────┬──────────────────────────────┘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▼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┌──────────────────────────────────────────────┐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│  FastAPI backend (Azure Container Apps)    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│  gold_read: Postgres-first, Fabric fallback  │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│  Next.js frontend (Vercel) + PBI embed       │</w:t>
      </w:r>
    </w:p>
    <w:p>
      <w:pPr>
        <w:shd w:fill="F4F6F8" w:val="clear"/>
        <w:spacing w:after="100" w:before="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└──────────────────────────────────────────────┘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b/>
          <w:bCs/>
        </w:rPr>
        <w:t xml:space="preserve">Medallion layers (Fabric).</w:t>
      </w:r>
      <w:r>
        <w:t xml:space="preserve">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bronze_*</w:t>
      </w:r>
      <w:r>
        <w:t xml:space="preserve"> holds raw, protocol-native ingestion;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silver_*</w:t>
      </w:r>
      <w:r>
        <w:t xml:space="preserve"> holds cleaned, typed entities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silver_building_master</w:t>
      </w:r>
      <w:r>
        <w:t xml:space="preserve"> is the single building dimension);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gold_*</w:t>
      </w:r>
      <w:r>
        <w:t xml:space="preserve"> holds business-ready KPIs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gold_kpi_daily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gold_recommendations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gold_ghg_scope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gold_energy_ledger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gold_iot_fdd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gold_battery_simulation</w:t>
      </w:r>
      <w:r>
        <w:t xml:space="preserve">, residential gold tables, etc.). Ingestion, transformation and business logic are deliberately separated (one notebook = one responsibility) so any figure can be traced to one notebook.</w:t>
      </w:r>
    </w:p>
    <w:p>
      <w:pPr>
        <w:spacing w:after="100"/>
      </w:pPr>
      <w:r>
        <w:rPr>
          <w:b/>
          <w:bCs/>
        </w:rPr>
        <w:t xml:space="preserve">The Postgres mirror.</w:t>
      </w:r>
      <w:r>
        <w:t xml:space="preserve"> The production backend (Azure) cannot reach the Fabric SQL endpoint (port-1433 egress), and a paused Fabric capacity should never take the customer app down. Notebook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50_materialize</w:t>
      </w:r>
      <w:r>
        <w:t xml:space="preserve"> therefore mirrors the gold tables into Supabase as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mv_*</w:t>
      </w:r>
      <w:r>
        <w:t xml:space="preserve"> tables.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app/integrations/gold_read.py</w:t>
      </w:r>
      <w:r>
        <w:t xml:space="preserve"> lets every service keep writing T-SQL: it rewrites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[dbo].[gold_x]</w:t>
      </w:r>
      <w:r>
        <w:t xml:space="preserve"> →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mv_x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[date]</w:t>
      </w:r>
      <w:r>
        <w:t xml:space="preserve"> →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("date"::date)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ISNULL</w:t>
      </w:r>
      <w:r>
        <w:t xml:space="preserve">→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COALESCE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TOP (n)</w:t>
      </w:r>
      <w:r>
        <w:t xml:space="preserve">→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LIMIT</w:t>
      </w:r>
      <w:r>
        <w:t xml:space="preserve">, bit-flag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= 0/1</w:t>
      </w:r>
      <w:r>
        <w:t xml:space="preserve"> →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= false/true</w:t>
      </w:r>
      <w:r>
        <w:t xml:space="preserve">, and falls back to the original T-SQL against Fabric if Postgres fails. </w:t>
      </w:r>
      <w:r>
        <w:rPr>
          <w:b/>
          <w:bCs/>
        </w:rPr>
        <w:t xml:space="preserve">One query text, two engines.</w:t>
      </w:r>
    </w:p>
    <w:p>
      <w:pPr>
        <w:spacing w:after="100"/>
      </w:pPr>
      <w:r>
        <w:rPr>
          <w:b/>
          <w:bCs/>
        </w:rPr>
        <w:t xml:space="preserve">Two data-entry tiers.</w:t>
      </w:r>
      <w:r>
        <w:t xml:space="preserve"> Tier 1: upload-only (CSV / PDF bills) — KPIs computed </w:t>
      </w:r>
      <w:r>
        <w:rPr>
          <w:b/>
          <w:bCs/>
        </w:rPr>
        <w:t xml:space="preserve">in Postgres</w:t>
      </w:r>
      <w:r>
        <w:t xml:space="preserve"> (§3.2.1), no Fabric required; this is the hardware-free wedge. Tier 2/3: edge agent (5 live protocols) or manual device config streaming into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bronze_iot_readings</w:t>
      </w:r>
      <w:r>
        <w:t xml:space="preserve">, batch-rolled into gold (§3.1.10, §3.2.9) — Fabric EventStream (Phase B) is built but dormant at €0 until the first paying IoT customer.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Mimari: Fabric (Bronze→Silver→Gold, Spark + DirectLake PBI) hesap çekirdeği; notebook 50 gold tabloları Supabase'e </w:t>
      </w:r>
      <w:r>
        <w:rPr>
          <w:rFonts w:ascii="Consolas" w:cs="Consolas" w:eastAsia="Consolas" w:hAnsi="Consolas"/>
          <w:i/>
          <w:iCs/>
          <w:color w:val="0F6E56"/>
          <w:sz w:val="21"/>
          <w:szCs w:val="21"/>
        </w:rPr>
        <w:t xml:space="preserve">mv_*</w:t>
      </w:r>
      <w:r>
        <w:rPr>
          <w:i/>
          <w:iCs/>
          <w:sz w:val="21"/>
          <w:szCs w:val="21"/>
        </w:rPr>
        <w:t xml:space="preserve"> olarak aynalar; backend </w:t>
      </w:r>
      <w:r>
        <w:rPr>
          <w:rFonts w:ascii="Consolas" w:cs="Consolas" w:eastAsia="Consolas" w:hAnsi="Consolas"/>
          <w:i/>
          <w:iCs/>
          <w:color w:val="0F6E56"/>
          <w:sz w:val="21"/>
          <w:szCs w:val="21"/>
        </w:rPr>
        <w:t xml:space="preserve">gold_read</w:t>
      </w:r>
      <w:r>
        <w:rPr>
          <w:i/>
          <w:iCs/>
          <w:sz w:val="21"/>
          <w:szCs w:val="21"/>
        </w:rPr>
        <w:t xml:space="preserve"> ile önce Postgres, olmazsa Fabric okur. Tier-1 (fatura yükleme) hiç Fabric'e dokunmadan Postgres'te KPI üretir — donanımsız wedge budur. IoT tarafı edge-agent → bronze → gold batch; streaming hazır ama ilk ödeyen müşteriye kadar kapalı (€0).</w:t>
      </w:r>
    </w:p>
    <w:p>
      <w:pPr>
        <w:pStyle w:val="Heading1"/>
        <w:pageBreakBefore/>
      </w:pPr>
      <w:r>
        <w:t xml:space="preserve">2. Platform-wide conventions &amp; reference factors</w:t>
      </w:r>
    </w:p>
    <w:p>
      <w:pPr>
        <w:spacing w:after="100"/>
      </w:pPr>
      <w:r>
        <w:t xml:space="preserve">These rules apply to </w:t>
      </w:r>
      <w:r>
        <w:rPr>
          <w:b/>
          <w:bCs/>
        </w:rPr>
        <w:t xml:space="preserve">every</w:t>
      </w:r>
      <w:r>
        <w:t xml:space="preserve"> module; individual engines reference them.</w:t>
      </w:r>
    </w:p>
    <w:p>
      <w:pPr>
        <w:spacing w:after="100"/>
      </w:pPr>
      <w:r>
        <w:rPr>
          <w:b/>
          <w:bCs/>
        </w:rPr>
        <w:t xml:space="preserve">R1 — Year-indexed, location-based grid emission factors.</w:t>
      </w:r>
      <w:r>
        <w:t xml:space="preserve"> CO₂ from electricity always uses the factor of the building's country </w:t>
      </w:r>
      <w:r>
        <w:rPr>
          <w:b/>
          <w:bCs/>
        </w:rPr>
        <w:t xml:space="preserve">and the data's year</w:t>
      </w:r>
      <w:r>
        <w:t xml:space="preserve">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ref_grid_emission_factors</w:t>
      </w:r>
      <w:r>
        <w:t xml:space="preserve"> in Fabric; verbatim mirror in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backend/app/services/reference_factors.py</w:t>
      </w:r>
      <w:r>
        <w:t xml:space="preserve">): DE 2022 0.433 / 2023 0.386 / 2024-25 0.363 (UBA); TR 0.442 (TEİAŞ); AT 0.158, NL 0.290, FR 0.052, PL 0.660, EU avg 0.230 kg CO₂/kWh (IEA/EEA). A flat factor would blur "the grid got cleaner" with "the building improved" — auditors reject that for CSRD/CRREM. Each factor carries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confidence</w:t>
      </w:r>
      <w:r>
        <w:t xml:space="preserve"> +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source</w:t>
      </w:r>
      <w:r>
        <w:t xml:space="preserve"> into the UI.</w:t>
      </w:r>
    </w:p>
    <w:p>
      <w:pPr>
        <w:spacing w:after="100"/>
      </w:pPr>
      <w:r>
        <w:rPr>
          <w:b/>
          <w:bCs/>
        </w:rPr>
        <w:t xml:space="preserve">R2 — Electricity tariffs.</w:t>
      </w:r>
      <w:r>
        <w:t xml:space="preserve"> Non-household Eurostat blended averages (2025): DE 0.226, AT 0.190, NL 0.205, TR 0.085 (EPDK), EU 0.190 €/kWh. Used only where an actual metered cost is absent; the basis is always labelled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actual</w:t>
      </w:r>
      <w:r>
        <w:t xml:space="preserve"> vs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estimated</w:t>
      </w:r>
      <w:r>
        <w:t xml:space="preserve">).</w:t>
      </w:r>
    </w:p>
    <w:p>
      <w:pPr>
        <w:spacing w:after="100"/>
      </w:pPr>
      <w:r>
        <w:rPr>
          <w:b/>
          <w:bCs/>
        </w:rPr>
        <w:t xml:space="preserve">R3 — The 40-year payback rule.</w:t>
      </w:r>
      <w:r>
        <w:t xml:space="preserve"> A simple payback ≥ 40 years exceeds any equipment service life, so it is </w:t>
      </w:r>
      <w:r>
        <w:rPr>
          <w:b/>
          <w:bCs/>
        </w:rPr>
        <w:t xml:space="preserve">not a real financial payback</w:t>
      </w:r>
      <w:r>
        <w:t xml:space="preserve"> — the measure is compliance- or CO₂-driven. Enforced in four places (defence in depth): notebook 06b nulls it in gold; backend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finance_model.simple_payback</w:t>
      </w:r>
      <w:r>
        <w:t xml:space="preserve"> and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heating_assessment._plausible_pb</w:t>
      </w:r>
      <w:r>
        <w:t xml:space="preserve"> return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None</w:t>
      </w:r>
      <w:r>
        <w:t xml:space="preserve">;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reportKit.fmtPayback</w:t>
      </w:r>
      <w:r>
        <w:t xml:space="preserve"> and the /actions table render "—" / "Operational" for anything ≥ 40.</w:t>
      </w:r>
    </w:p>
    <w:p>
      <w:pPr>
        <w:spacing w:after="100"/>
      </w:pPr>
      <w:r>
        <w:rPr>
          <w:b/>
          <w:bCs/>
        </w:rPr>
        <w:t xml:space="preserve">R4 — Ranges, not fake precision.</w:t>
      </w:r>
      <w:r>
        <w:t xml:space="preserve"> Anything forward-looking (retrofit savings, subsidies, carbon prices, value uplift) is emitted as a </w:t>
      </w:r>
      <w:r>
        <w:rPr>
          <w:b/>
          <w:bCs/>
        </w:rPr>
        <w:t xml:space="preserve">low–high range</w:t>
      </w:r>
      <w:r>
        <w:t xml:space="preserve"> with the driver stated (e.g. CapEx ±30% screening band, demand ±10% measured / ±25% estimated).</w:t>
      </w:r>
    </w:p>
    <w:p>
      <w:pPr>
        <w:spacing w:after="100"/>
      </w:pPr>
      <w:r>
        <w:rPr>
          <w:b/>
          <w:bCs/>
        </w:rPr>
        <w:t xml:space="preserve">R5 — Basis labels.</w:t>
      </w:r>
      <w:r>
        <w:t xml:space="preserve"> Every figure carries its provenance: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measured</w:t>
      </w:r>
      <w:r>
        <w:t xml:space="preserve"> /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estimated</w:t>
      </w:r>
      <w:r>
        <w:t xml:space="preserve"> /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sample</w:t>
      </w:r>
      <w:r>
        <w:t xml:space="preserve">·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simulated</w:t>
      </w:r>
      <w:r>
        <w:t xml:space="preserve">·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telemetry</w:t>
      </w:r>
      <w:r>
        <w:t xml:space="preserve">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data_basis</w:t>
      </w:r>
      <w:r>
        <w:t xml:space="preserve">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actual</w:t>
      </w:r>
      <w:r>
        <w:t xml:space="preserve"> vs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estimated</w:t>
      </w:r>
      <w:r>
        <w:t xml:space="preserve"> cost, EPC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anchored</w:t>
      </w:r>
      <w:r>
        <w:t xml:space="preserve"> flag, partial-year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reporting_months &lt; 12</w:t>
      </w:r>
      <w:r>
        <w:t xml:space="preserve">) warnings on all annual reports.</w:t>
      </w:r>
    </w:p>
    <w:p>
      <w:pPr>
        <w:spacing w:after="100"/>
      </w:pPr>
      <w:r>
        <w:rPr>
          <w:b/>
          <w:bCs/>
        </w:rPr>
        <w:t xml:space="preserve">R6 — No invented engineering.</w:t>
      </w:r>
      <w:r>
        <w:t xml:space="preserve"> Heating physics uses the degree-day method an Energieberater uses; savings percentages come from cited literature bands (ITG Dresden 7–11% operational, ISO 50001 5–15% BMS, IEA setback benchmarks); anything assumed is marked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[Tahmin]</w:t>
      </w:r>
      <w:r>
        <w:t xml:space="preserve">/"assumption" in code and tooltip.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Tüm platformda ortak kurallar: yıl-endeksli ülke bazlı emisyon faktörleri (R1), Eurostat tarifeleri (R2), 40-yıl payback tavanı dört katmanda uygulanır (R3), ileriye dönük her sayı aralık olarak verilir (R4), her rakam kaynağını/etiketini taşır (R5), uydurma mühendislik yok — literatür bantları ve Gradtag yöntemi (R6).</w:t>
      </w:r>
    </w:p>
    <w:p>
      <w:pPr>
        <w:pStyle w:val="Heading1"/>
        <w:pageBreakBefore/>
      </w:pPr>
      <w:r>
        <w:t xml:space="preserve">3. Calculation engines</w:t>
      </w:r>
    </w:p>
    <w:p>
      <w:pPr>
        <w:pStyle w:val="Heading2"/>
      </w:pPr>
      <w:r>
        <w:t xml:space="preserve">3.1 Fabric data layer (notebooks)</w:t>
      </w:r>
    </w:p>
    <w:p>
      <w:pPr>
        <w:pStyle w:val="Heading3"/>
      </w:pPr>
      <w:r>
        <w:t xml:space="preserve">3.1.1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03_gold_kpi_engine</w:t>
      </w:r>
      <w:r>
        <w:t xml:space="preserve"> — daily KPIs</w:t>
      </w:r>
    </w:p>
    <w:p>
      <w:pPr>
        <w:spacing w:after="100"/>
      </w:pPr>
      <w:r>
        <w:t xml:space="preserve">Produces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gold_kpi_daily</w:t>
      </w:r>
      <w:r>
        <w:t xml:space="preserve"> (building × day):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total_consumption_kwh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estimated_cost_eur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co2_emissions_kg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hdd_day</w:t>
      </w:r>
      <w:r>
        <w:t xml:space="preserve">/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cdd_day</w:t>
      </w:r>
      <w:r>
        <w:t xml:space="preserve">, peak/base load, and the solar block. Key logic: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Solar performance ratio (energy basis, IEC 61724).</w:t>
      </w:r>
      <w:r>
        <w:t xml:space="preserve">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PR_day = generated_kwh / (kWp × ref_yield)</w:t>
      </w:r>
      <w:r>
        <w:t xml:space="preserve">, where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ref_yield = Σ(hourly avg irradiance W/m²)/1000</w:t>
      </w:r>
      <w:r>
        <w:t xml:space="preserve"> (peak-sun-hours for that day). Clamped at </w:t>
      </w:r>
      <w:r>
        <w:rPr>
          <w:b/>
          <w:bCs/>
        </w:rPr>
        <w:t xml:space="preserve">`PR_MAX_PLAUSIBLE = 0.95`</w:t>
      </w:r>
      <w:r>
        <w:t xml:space="preserve"> (real arrays peak ~0.90; higher = sensor/data artefact); days with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ref_yield &lt; 0.5 kWh/m²</w:t>
      </w:r>
      <w:r>
        <w:t xml:space="preserve"> (overcast) → </w:t>
      </w:r>
      <w:r>
        <w:rPr>
          <w:b/>
          <w:bCs/>
        </w:rPr>
        <w:t xml:space="preserve">NULL, not a fake PR</w:t>
      </w:r>
      <w:r>
        <w:t xml:space="preserve">. Verified live: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MAX(avg_solar_pr) = 0.95</w:t>
      </w:r>
      <w:r>
        <w:t xml:space="preserve">, zero violations.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Battery round-trip efficiency ≈ discharged/charged (LFP ~0.90–0.95).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Self-consumption / self-sufficiency per the standard definitions (§KPI 5 of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docs/business-logic/kpi-formulas.md</w:t>
      </w:r>
      <w:r>
        <w:t xml:space="preserve">).</w:t>
      </w:r>
    </w:p>
    <w:p>
      <w:pPr>
        <w:pStyle w:val="Heading3"/>
      </w:pPr>
      <w:r>
        <w:t xml:space="preserve">3.1.2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03b_total_energy_ledger</w:t>
      </w:r>
      <w:r>
        <w:t xml:space="preserve"> — total final energy (Path A root fix)</w:t>
      </w:r>
    </w:p>
    <w:p>
      <w:pPr>
        <w:spacing w:after="100"/>
      </w:pPr>
      <w:r>
        <w:t xml:space="preserve">The single most important correctness decision in the data layer. The synthetic seed metered only electricity, so heating-heavy measures compared against an </w:t>
      </w:r>
      <w:r>
        <w:rPr>
          <w:b/>
          <w:bCs/>
        </w:rPr>
        <w:t xml:space="preserve">electricity-only</w:t>
      </w:r>
      <w:r>
        <w:t xml:space="preserve"> bill produced physically impossible results ("savings 102–212% of the bill", heat-pump payback 529 yr, EUI 2–3× benchmarks).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gold_energy_ledger</w:t>
      </w:r>
      <w:r>
        <w:t xml:space="preserve"> (building × year × month) rebuilds the </w:t>
      </w:r>
      <w:r>
        <w:rPr>
          <w:b/>
          <w:bCs/>
        </w:rPr>
        <w:t xml:space="preserve">true total-final-energy bill</w:t>
      </w:r>
      <w:r>
        <w:t xml:space="preserve">:</w:t>
      </w:r>
    </w:p>
    <w:p>
      <w:pPr>
        <w:shd w:fill="F4F6F8" w:val="clear"/>
        <w:spacing w:after="0" w:before="100"/>
      </w:pPr>
      <w:r>
        <w:rPr>
          <w:rFonts w:ascii="Consolas" w:cs="Consolas" w:eastAsia="Consolas" w:hAnsi="Consolas"/>
          <w:sz w:val="15"/>
          <w:szCs w:val="15"/>
        </w:rPr>
        <w:t xml:space="preserve">U_eff   = 0.40·U_wall + 0.25·U_window + 0.20·U_roof + 0.15·U_floor      [W/m²K]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H_spec  = U_eff · C_ENV + 0.34 · (n50 / 20) · room_height               [W/m²K]   C_ENV = 1.5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5"/>
          <w:szCs w:val="15"/>
        </w:rPr>
        <w:t xml:space="preserve">q_heat  = H_spec · (annual_HDD_base15 · PHI_HDD) · 24 / 1000            [kWh/m²·yr]  PHI_HDD = 1.5</w:t>
      </w:r>
    </w:p>
    <w:p>
      <w:pPr>
        <w:shd w:fill="F4F6F8" w:val="clear"/>
        <w:spacing w:after="100" w:before="0"/>
      </w:pPr>
      <w:r>
        <w:rPr>
          <w:rFonts w:ascii="Consolas" w:cs="Consolas" w:eastAsia="Consolas" w:hAnsi="Consolas"/>
          <w:sz w:val="15"/>
          <w:szCs w:val="15"/>
        </w:rPr>
        <w:t xml:space="preserve">+ DHW by type (Hotel 35 … Office 8 kWh/m²·yr)</w:t>
      </w:r>
    </w:p>
    <w:p>
      <w:pPr>
        <w:spacing w:after="100"/>
      </w:pPr>
      <w:r>
        <w:t xml:space="preserve">Space heat is distributed across months by HDD share; DHW evenly (/12). Carrier conversion: gas = heat / 0.90 (condensing boiler), district = heat delivered, heat-pump/VRF = heat / COP — </w:t>
      </w:r>
      <w:r>
        <w:rPr>
          <w:b/>
          <w:bCs/>
        </w:rPr>
        <w:t xml:space="preserve">already inside the electricity meter, so NOT re-added</w:t>
      </w:r>
      <w:r>
        <w:t xml:space="preserve"> (informational column only).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total_final_energy = electricity + gas_fuel + district_heat</w:t>
      </w:r>
      <w:r>
        <w:t xml:space="preserve">; costs use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ref_fuel_tariffs</w:t>
      </w:r>
      <w:r>
        <w:t xml:space="preserve"> (fallback DE gas 0.11 €/kWh, district 0.12). PHI_HDD (base-15 HDD → German 20/15 Gradtagzahl) and C_ENV are the two review knobs, parameterised in CELL 0 and product-owner approved (2026-06-25).</w:t>
      </w:r>
    </w:p>
    <w:p>
      <w:pPr>
        <w:pStyle w:val="Heading3"/>
      </w:pPr>
      <w:r>
        <w:t xml:space="preserve">3.1.3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06_recommendation_engine</w:t>
      </w:r>
      <w:r>
        <w:t xml:space="preserve"> +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06b_recommendation_calibration</w:t>
      </w:r>
      <w:r>
        <w:t xml:space="preserve"> — the measures catalog</w:t>
      </w:r>
    </w:p>
    <w:p>
      <w:pPr>
        <w:spacing w:after="100"/>
      </w:pPr>
      <w:r>
        <w:rPr>
          <w:b/>
          <w:bCs/>
        </w:rPr>
        <w:t xml:space="preserve">Stage 1 (06)</w:t>
      </w:r>
      <w:r>
        <w:t xml:space="preserve"> generates ~14 measure types per building (LED, HVAC scheduling, BMS, insulation, CHP, heat pump, solar install, battery, sub-metering, deep retrofit, audit…) with savings, CapEx, grants, CO₂, payback, NPV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NPV ≈ saving × 12 − net_capex</w:t>
      </w:r>
      <w:r>
        <w:t xml:space="preserve">, ~20 yr @ 5%), and the </w:t>
      </w:r>
      <w:r>
        <w:rPr>
          <w:b/>
          <w:bCs/>
        </w:rPr>
        <w:t xml:space="preserve">§9c economic-viability gate</w:t>
      </w:r>
      <w:r>
        <w:t xml:space="preserve"> (approved 2026-06-22): an *optional* measure with NPV ≤ 0 is demoted to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INFORMATIONAL</w:t>
      </w:r>
      <w:r>
        <w:t xml:space="preserve"> and can never rank MEDIUM/HIGH; compliance-mandated measures (heat pump, insulation, deep retrofit, audit) are exempt (they are regulation-driven, not ROI-driven).</w:t>
      </w:r>
    </w:p>
    <w:p>
      <w:pPr>
        <w:spacing w:after="100"/>
      </w:pPr>
      <w:r>
        <w:rPr>
          <w:b/>
          <w:bCs/>
        </w:rPr>
        <w:t xml:space="preserve">Stage 2 (06b)</w:t>
      </w:r>
      <w:r>
        <w:t xml:space="preserve"> re-bases everything on the </w:t>
      </w:r>
      <w:r>
        <w:rPr>
          <w:b/>
          <w:bCs/>
        </w:rPr>
        <w:t xml:space="preserve">total</w:t>
      </w:r>
      <w:r>
        <w:t xml:space="preserve"> energy bill (ledger §3.1.2) and enforces physics: per-measure ceilings as % of total annual cost (LED 5%, scheduling 15%, BMS 10%, insulation 20%, CHP 22%, PV 25%, deep retrofit 35%…); sub-metering = enabler → saving 0; heat pump recomputed as a </w:t>
      </w:r>
      <w:r>
        <w:rPr>
          <w:b/>
          <w:bCs/>
        </w:rPr>
        <w:t xml:space="preserve">fuel switch</w:t>
      </w:r>
      <w:r>
        <w:t xml:space="preserve"> (avoided gas € − extra electricity € at COP 3.2), and a heat pump that does </w:t>
      </w:r>
      <w:r>
        <w:rPr>
          <w:b/>
          <w:bCs/>
        </w:rPr>
        <w:t xml:space="preserve">not</w:t>
      </w:r>
      <w:r>
        <w:t xml:space="preserve"> cut CO₂ (carbon-heavy grid, e.g. TR) has its saving nulled — it must not be sold as a decarbonisation win; an aggregate ceiling Σ(measures) ≤ 35% × total cost, </w:t>
      </w:r>
      <w:r>
        <w:rPr>
          <w:b/>
          <w:bCs/>
        </w:rPr>
        <w:t xml:space="preserve">scaled by EPC band</w:t>
      </w:r>
      <w:r>
        <w:t xml:space="preserve"> (A 12% → E/F/G 35% headroom — an A-rated building cannot save a third of its bill); payback ≥ 40 yr → NULL (R3); CO₂ scaled proportionally with the € change.</w:t>
      </w:r>
    </w:p>
    <w:p>
      <w:pPr>
        <w:spacing w:after="100"/>
      </w:pPr>
      <w:r>
        <w:rPr>
          <w:b/>
          <w:bCs/>
        </w:rPr>
        <w:t xml:space="preserve">Run order is load-bearing: 03b → 06 → 06b → 50 (materialize).</w:t>
      </w:r>
      <w:r>
        <w:t xml:space="preserve"> 06 overwrites 06b's calibration whenever it re-runs, so 06b must always run last (this recurred — see §8).</w:t>
      </w:r>
    </w:p>
    <w:p>
      <w:pPr>
        <w:spacing w:after="100"/>
      </w:pPr>
      <w:r>
        <w:t xml:space="preserve">*(Uncommitted work-in-progress on 06, found in this audit: BMS-aware CapEx — re-commissioning €2.5/m² + €6k base when a BMS exists vs €28/m² new install; kWh/m² saving ceilings for BMS (20) and scheduling (15) so energy-dense types aren't over-credited; and a multi-year → 12-month annualisation fix for the consumption base. Compiles clean; needs commit + Fabric run — §8.)*</w:t>
      </w:r>
    </w:p>
    <w:p>
      <w:pPr>
        <w:pStyle w:val="Heading3"/>
      </w:pPr>
      <w:r>
        <w:t xml:space="preserve">3.1.4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09_ghg_scope_engine</w:t>
      </w:r>
      <w:r>
        <w:t xml:space="preserve"> — GHG Protocol scopes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gold_ghg_scope</w:t>
      </w:r>
      <w:r>
        <w:t xml:space="preserve"> (building × month): Scope 1 (gas 0.201 kg/kWh HHV-basis BEHG factor, diesel, refrigerant); Scope 2 </w:t>
      </w:r>
      <w:r>
        <w:rPr>
          <w:b/>
          <w:bCs/>
        </w:rPr>
        <w:t xml:space="preserve">location</w:t>
      </w:r>
      <w:r>
        <w:t xml:space="preserve"> (grid factor R1) and </w:t>
      </w:r>
      <w:r>
        <w:rPr>
          <w:b/>
          <w:bCs/>
        </w:rPr>
        <w:t xml:space="preserve">market</w:t>
      </w:r>
      <w:r>
        <w:t xml:space="preserve"> (supplier contract factor if on file, else </w:t>
      </w:r>
      <w:r>
        <w:rPr>
          <w:b/>
          <w:bCs/>
        </w:rPr>
        <w:t xml:space="preserve">AIB residual mix</w:t>
      </w:r>
      <w:r>
        <w:t xml:space="preserve"> — per GHG Protocol Scope 2 Guidance the no-instrument fallback is residual mix, *not* the location average); Scope 3 </w:t>
      </w:r>
      <w:r>
        <w:rPr>
          <w:b/>
          <w:bCs/>
        </w:rPr>
        <w:t xml:space="preserve">category-structured estimate</w:t>
      </w:r>
      <w:r>
        <w:t xml:space="preserve">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disclosure_grade = false</w:t>
      </w:r>
      <w:r>
        <w:t xml:space="preserve">): Cat 1 embodied (area × ~700 kgCO₂e/m² / 60 yr amortisation / 12), plus (live model) Cat 3 fuel-energy, Cat 5 waste, Cat 6 travel, Cat 7 commuting, Cat 13 leased. </w:t>
      </w:r>
      <w:r>
        <w:rPr>
          <w:b/>
          <w:bCs/>
        </w:rPr>
        <w:t xml:space="preserve">Headline convention (2026-06-29 decision):</w:t>
      </w:r>
      <w:r>
        <w:t xml:space="preserve"> operational carbon = </w:t>
      </w:r>
      <w:r>
        <w:rPr>
          <w:b/>
          <w:bCs/>
        </w:rPr>
        <w:t xml:space="preserve">S1 + S2</w:t>
      </w:r>
      <w:r>
        <w:t xml:space="preserve"> everywhere; full Scope-3-inclusive totals appear only in the GHG/ESRS reports, separately and labelled *estimated*. ⚠️ The live notebook computes 6 Scope-3 categories; the repo copy still has the older cat1+13 version — mirror pending (§8).</w:t>
      </w:r>
    </w:p>
    <w:p>
      <w:pPr>
        <w:pStyle w:val="Heading3"/>
      </w:pPr>
      <w:r>
        <w:t xml:space="preserve">3.1.5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05_compliance_checker</w:t>
      </w:r>
      <w:r>
        <w:t xml:space="preserve"> — regulatory flags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gold_compliance_results</w:t>
      </w:r>
      <w:r>
        <w:t xml:space="preserve">: GEG §71 heating renewable-compliance, GEG Anlage 7 U-value component checks (wall ≤ 0.24, roof ≤ 0.20 flat, window ≤ 1.30 W/m²K), EnEfG thresholds, EPBD/MEPS triage (worst bands: G→2030, F→2033), BEP-TR certificate checks, plus scores per framework.</w:t>
      </w:r>
    </w:p>
    <w:p>
      <w:pPr>
        <w:pStyle w:val="Heading3"/>
      </w:pPr>
      <w:r>
        <w:t xml:space="preserve">3.1.6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10_crrem_pathway_loader</w:t>
      </w:r>
      <w:r>
        <w:t xml:space="preserve"> — decarbonisation pathways</w:t>
      </w:r>
    </w:p>
    <w:p>
      <w:pPr>
        <w:spacing w:after="100"/>
      </w:pPr>
      <w:r>
        <w:t xml:space="preserve">Loads *illustrative* 1.5 °C intensity pathways per asset type (2025→2050). </w:t>
      </w:r>
      <w:r>
        <w:rPr>
          <w:b/>
          <w:bCs/>
        </w:rPr>
        <w:t xml:space="preserve">Not the licensed CRREM dataset</w:t>
      </w:r>
      <w:r>
        <w:t xml:space="preserve"> (that requires a CRREM licence agreement — module is built to swap the official points in one place). UI labels the curves indicative.</w:t>
      </w:r>
    </w:p>
    <w:p>
      <w:pPr>
        <w:pStyle w:val="Heading3"/>
      </w:pPr>
      <w:r>
        <w:t xml:space="preserve">3.1.7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11_hvac_analytics_engine</w:t>
      </w:r>
      <w:r>
        <w:t xml:space="preserve"> — HVAC &amp; envelope gold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gold_hvac_analytics</w:t>
      </w:r>
      <w:r>
        <w:t xml:space="preserve"> (280 rows live): rated-vs-actual COP (G1 recalibration), envelope insulation score anchored so the worst-stock building scores 0 (G2), CO₂ annualisation fix (R1 16.5k→7.1k), transmission-loss heat badge (G3/R2). Fixed 2026-06-21 during Page-7 finalisation.</w:t>
      </w:r>
    </w:p>
    <w:p>
      <w:pPr>
        <w:pStyle w:val="Heading3"/>
      </w:pPr>
      <w:r>
        <w:t xml:space="preserve">3.1.8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11b/11c IoT processing + FDD</w:t>
      </w:r>
      <w:r>
        <w:t xml:space="preserve"> — fault detection &amp; €-quantified alerts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gold_iot_fdd</w:t>
      </w:r>
      <w:r>
        <w:t xml:space="preserve"> (38 rows live): rules over sensor streams (HVAC temp deviation, CO₂ &gt;1500 ppm, power &gt;120% baseline, PV underperformance…). Cost logic (stated assumption, always shown "Est."):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cost € = energy_impact_kwh × grid_price</w:t>
      </w:r>
      <w:r>
        <w:t xml:space="preserve"> where the energy impact uses the CLAUDE.md waste bands (2–5 kW per °C HVAC deviation, 1–3 kW extra ventilation on CO₂ spikes, actual excess on power spikes; DE 0.20 / TR 0.14 €/kWh). Priority = severity weight (High 1.0 / Med 0.6 / Low 0.3) blended with cost normalised at €50. Verified live 1:1 against the app (portfolio 4 High / €81.14 on 2026-06-01).</w:t>
      </w:r>
    </w:p>
    <w:p>
      <w:pPr>
        <w:pStyle w:val="Heading3"/>
      </w:pPr>
      <w:r>
        <w:t xml:space="preserve">3.1.9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16_gold_battery_simulation_v3_honest</w:t>
      </w:r>
      <w:r>
        <w:t xml:space="preserve"> — battery scenarios (Page 9)</w:t>
      </w:r>
    </w:p>
    <w:p>
      <w:pPr>
        <w:spacing w:after="100"/>
      </w:pPr>
      <w:r>
        <w:t xml:space="preserve">The honest rebuild (2026-06-22) after the "anchor × factor" defect: every scenario row carries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data_basis</w:t>
      </w:r>
      <w:r>
        <w:t xml:space="preserve"> ∈ </w:t>
      </w:r>
      <w:r>
        <w:rPr>
          <w:b/>
          <w:bCs/>
        </w:rPr>
        <w:t xml:space="preserve">Measured</w:t>
      </w:r>
      <w:r>
        <w:t xml:space="preserve"> (real dispatch history — only B001 self-consumption €3.7k, B003 peak €69.9k, B005 backup €20.6k exist), </w:t>
      </w:r>
      <w:r>
        <w:rPr>
          <w:b/>
          <w:bCs/>
        </w:rPr>
        <w:t xml:space="preserve">Modeled</w:t>
      </w:r>
      <w:r>
        <w:t xml:space="preserve"> (engine-derived; model reproduced measured B003 within ~4%), or </w:t>
      </w:r>
      <w:r>
        <w:rPr>
          <w:b/>
          <w:bCs/>
        </w:rPr>
        <w:t xml:space="preserve">Prospect</w:t>
      </w:r>
      <w:r>
        <w:t xml:space="preserve"> (building has no battery — pure what-if). No caps anywhere in the data (R3 handles display); arbitrage corrected from a 3.3-yr cumulative to annual (€61k). Known open point: peak/TOU IRRs 40–64% are optimistic-but-not-fabricated (measured B003 = 63%); a dispatch-spread de-rate pass is a deliberate post-pilot item.</w:t>
      </w:r>
    </w:p>
    <w:p>
      <w:pPr>
        <w:pStyle w:val="Heading3"/>
      </w:pPr>
      <w:r>
        <w:t xml:space="preserve">3.1.10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30_residential_gold</w:t>
      </w:r>
      <w:r>
        <w:t xml:space="preserve"> + residential pipeline</w:t>
      </w:r>
    </w:p>
    <w:p>
      <w:pPr>
        <w:spacing w:after="100"/>
      </w:pPr>
      <w:r>
        <w:t xml:space="preserve">Per-unit KPIs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gold_residential_unit_kpi</w:t>
      </w:r>
      <w:r>
        <w:t xml:space="preserve">): heating+DHW EUI per m² Wohnfläche, climate-adjustment factor, EPC band per unit, anonymised building benchmark </w:t>
      </w:r>
      <w:r>
        <w:rPr>
          <w:b/>
          <w:bCs/>
        </w:rPr>
        <w:t xml:space="preserve">pre-aggregated into each unit's own row</w:t>
      </w:r>
      <w:r>
        <w:t xml:space="preserve"> (privacy §6).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gold_residential_common_split</w:t>
      </w:r>
      <w:r>
        <w:t xml:space="preserve">: HKVO §7 common-area allocation = </w:t>
      </w:r>
      <w:r>
        <w:rPr>
          <w:b/>
          <w:bCs/>
        </w:rPr>
        <w:t xml:space="preserve">70% consumption / 30% area</w:t>
      </w:r>
      <w:r>
        <w:t xml:space="preserve">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gold_residential_uvi_monthly</w:t>
      </w:r>
      <w:r>
        <w:t xml:space="preserve">: the monthly consumption statements (UVI) the EED/HKVO requires. Retrofit math for residential lives in the approved doc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docs/strategy/residential-retrofit-calculations.md</w:t>
      </w:r>
      <w:r>
        <w:t xml:space="preserve"> (ΔU × A × Gt × 24/1000 ÷ η — same family as §3.2.4).</w:t>
      </w:r>
    </w:p>
    <w:p>
      <w:pPr>
        <w:pStyle w:val="Heading3"/>
      </w:pPr>
      <w:r>
        <w:t xml:space="preserve">3.1.11 Forecast &amp; occupancy (Pages 4–5 support)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07_consumption_forecast</w:t>
      </w:r>
      <w:r>
        <w:t xml:space="preserve"> (day-ahead consumption) and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08_occupancy_prediction</w:t>
      </w:r>
      <w:r>
        <w:t xml:space="preserve">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gold_occupancy_profile</w:t>
      </w:r>
      <w:r>
        <w:t xml:space="preserve">; OPTIMIZE wrapped non-critical — the post-reset failure noted in earlier sessions is fixed in the repo copy). Anomaly engine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anomaly_detection.py</w:t>
      </w:r>
      <w:r>
        <w:t xml:space="preserve">) implements rules A1–A7 (consumption spike ×1.5 vs 30-day same-hour baseline with weather guard, base-load &gt;35% of peak, COP degradation &lt;0.8×rated with outdoor-temp guard, PR &lt;0.70 with irradiance guard, battery SoC conditions, weekend overuse &gt;60% of weekday, climate-adjusted EUI +15% YoY) →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gold_anomaly_log</w:t>
      </w:r>
      <w:r>
        <w:t xml:space="preserve">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Veri katmanının kalbi: 03 günlük KPI (PR=enerji-bazlı, 0.95 tavan), 03b toplam enerji defteri (Gradtag yöntemi; elektrik-only yanılgısını kökten çözer), 06+06b öneri motoru (fizik tavanları, HP=yakıt değişimi, NPV kapısı, EPC-ölçekli %35 toplam tavan; sıra 03b→06→06b kritik), 09 GHG (S1+S2 manşet, S3 ayrı ve "estimated"; canlı 6 kategori), 11c IoT arıza+€ etiketi, 16 dürüst batarya (Measured/Modeled/Prospect), 30 residential (HKVO 70/30, UVI). CRREM eğrileri lisans nedeniyle "illustrative" etiketli.</w:t>
      </w:r>
    </w:p>
    <w:p>
      <w:pPr>
        <w:pStyle w:val="Heading2"/>
      </w:pPr>
      <w:r>
        <w:t xml:space="preserve">3.2 Backend service engines (FastAPI, Postgres-native)</w:t>
      </w:r>
    </w:p>
    <w:p>
      <w:pPr>
        <w:pStyle w:val="Heading3"/>
      </w:pPr>
      <w:r>
        <w:t xml:space="preserve">3.2.1 Baseline KPI engine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baseline_kpi.py</w:t>
      </w:r>
      <w:r>
        <w:t xml:space="preserve">) — the Tier-1 upload path</w:t>
      </w:r>
    </w:p>
    <w:p>
      <w:pPr>
        <w:spacing w:after="100"/>
      </w:pPr>
      <w:r>
        <w:t xml:space="preserve">Turns uploaded monthly consumption into real KPIs with zero Fabric dependency. ≥12 months → </w:t>
      </w:r>
      <w:r>
        <w:rPr>
          <w:b/>
          <w:bCs/>
        </w:rPr>
        <w:t xml:space="preserve">trailing-12</w:t>
      </w:r>
      <w:r>
        <w:t xml:space="preserve"> window (true annual run-rate); &lt;12 months → monthly-average × 12, flagged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is_annualized</w:t>
      </w:r>
      <w:r>
        <w:t xml:space="preserve">. EUI = annual kWh / floor area (not weather-corrected — stated). CO₂ per R1; cost = actual uploaded costs when every window month has one, else kWh × tariff (R2), flagged. 30-day tile figures = annual × 30/365.25 so Fabric and upload paths share semantics.</w:t>
      </w:r>
    </w:p>
    <w:p>
      <w:pPr>
        <w:pStyle w:val="Heading3"/>
      </w:pPr>
      <w:r>
        <w:t xml:space="preserve">3.2.2 Provisional baseline estimate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baseline_estimate.py</w:t>
      </w:r>
      <w:r>
        <w:t xml:space="preserve">)</w:t>
      </w:r>
    </w:p>
    <w:p>
      <w:pPr>
        <w:spacing w:after="100"/>
      </w:pPr>
      <w:r>
        <w:t xml:space="preserve">Before any bill exists: archetype total-final-energy intensity </w:t>
      </w:r>
      <w:r>
        <w:rPr>
          <w:b/>
          <w:bCs/>
        </w:rPr>
        <w:t xml:space="preserve">ranges</w:t>
      </w:r>
      <w:r>
        <w:t xml:space="preserve"> by type (Office 120–220, Retail 180–320, Hotel 220–380, Healthcare 250–450, Logistics 40–110, Residential 100–240 kWh/m²·yr) × area → kWh/cost/CO₂ ranges with real factors (R1/R2). Datacenter deliberately unmodeled (IT load dominates — no number is better than a wrong one). Superseded the moment consumption exists.</w:t>
      </w:r>
    </w:p>
    <w:p>
      <w:pPr>
        <w:pStyle w:val="Heading3"/>
      </w:pPr>
      <w:r>
        <w:t xml:space="preserve">3.2.3 Estimation engine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services/estimation/</w:t>
      </w:r>
      <w:r>
        <w:t xml:space="preserve">) — evidence stacking</w:t>
      </w:r>
    </w:p>
    <w:p>
      <w:pPr>
        <w:spacing w:after="100"/>
      </w:pPr>
      <w:r>
        <w:t xml:space="preserve">The free data-estimation core (approved BMAD 2026-06-17): L0 archetype prior → L1 vintage repositioning within the band → L2 climate scaling of the </w:t>
      </w:r>
      <w:r>
        <w:rPr>
          <w:b/>
          <w:bCs/>
        </w:rPr>
        <w:t xml:space="preserve">heating fraction only</w:t>
      </w:r>
      <w:r>
        <w:t xml:space="preserve">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EUI' = EUI × (1−heat_frac + heat_frac × HDD/HDD_ref)</w:t>
      </w:r>
      <w:r>
        <w:t xml:space="preserve">) → L5 German Energieausweis class anchor (GEG Anlage 10 bands, blended by </w:t>
      </w:r>
      <w:r>
        <w:rPr>
          <w:b/>
          <w:bCs/>
        </w:rPr>
        <w:t xml:space="preserve">inverse-variance</w:t>
      </w:r>
      <w:r>
        <w:t xml:space="preserve">) → L4 partial-bill anchor (1–11 months annualised by heating-shape month weights; 12+ months =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actual</w:t>
      </w:r>
      <w:r>
        <w:t xml:space="preserve">, confidence high). Area fallback chain: user → gold → footprint × storeys × 0.8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very_low</w:t>
      </w:r>
      <w:r>
        <w:t xml:space="preserve"> confidence). Cost/CO₂ use an A8 fuel-split (gas/oil/district heating share at fuel price+EF, remainder electricity) — electricity proxy only when the heating fuel is unknown. Every output = {low, point, high} + confidence + method string (e.g.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archetype · vintage · hdd · epc · bill_6m</w:t>
      </w:r>
      <w:r>
        <w:t xml:space="preserve">).</w:t>
      </w:r>
    </w:p>
    <w:p>
      <w:pPr>
        <w:pStyle w:val="Heading3"/>
      </w:pPr>
      <w:r>
        <w:t xml:space="preserve">3.2.4 Heating &amp; envelope assessment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heating_assessment.py</w:t>
      </w:r>
      <w:r>
        <w:t xml:space="preserve">) — the Heating page</w:t>
      </w:r>
    </w:p>
    <w:p>
      <w:pPr>
        <w:spacing w:after="100"/>
      </w:pPr>
      <w:r>
        <w:t xml:space="preserve">Works pre-Fabric (the wedge). Demand: measured total × type heating share (notebook-11 table: Office .35 … Education .48; Residential .60 stated) or archetype EUI × area, converted to metered fuel (HP → /JAZ 3.0, else /η 0.90). Fabric measures (roof/wall/window to GEG targets): </w:t>
      </w:r>
      <w:r>
        <w:rPr>
          <w:b/>
          <w:bCs/>
        </w:rPr>
        <w:t xml:space="preserve">GROSS</w:t>
      </w:r>
      <w:r>
        <w:t xml:space="preserve"> transmission saving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ΔU × A_element × 3500 Kd × 24/1000</w:t>
      </w:r>
      <w:r>
        <w:t xml:space="preserve"> (the approved residential doc, kept exactly and reported as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saving_kwh_gross</w:t>
      </w:r>
      <w:r>
        <w:t xml:space="preserve">), then </w:t>
      </w:r>
      <w:r>
        <w:rPr>
          <w:b/>
          <w:bCs/>
        </w:rPr>
        <w:t xml:space="preserve">delivered</w:t>
      </w:r>
      <w:r>
        <w:t xml:space="preserve"> = GROSS × gain-utilisation factor (Office 0.65 … Residential 0.85 — internal/solar gains already cover part of the load), then capped by the addressable share (68% of thermal demand — ventilation/DHW are not envelope-fixable). Element areas from archetype ratios (facade 0.48 / roof 0.17 / windows 0.13 of floor area); "before" U-values default to 1970s stock when unknown (flagged). Heat pump = </w:t>
      </w:r>
      <w:r>
        <w:rPr>
          <w:b/>
          <w:bCs/>
        </w:rPr>
        <w:t xml:space="preserve">fuel switch</w:t>
      </w:r>
      <w:r>
        <w:t xml:space="preserve"> (gas € − elec@JAZ €), not a % saving. The </w:t>
      </w:r>
      <w:r>
        <w:rPr>
          <w:b/>
          <w:bCs/>
        </w:rPr>
        <w:t xml:space="preserve">package</w:t>
      </w:r>
      <w:r>
        <w:t xml:space="preserve"> sequences measures cheapest-payback-first on the *remaining* load (non-additive), clamps at 72% total reduction, and reports CapEx ±30% / demand-band payback ranges plus a 2030-carbon-price sensitivity. Also derives: CO2KostAufG exposure, EPC class now/after on the German Endenergie scale </w:t>
      </w:r>
      <w:r>
        <w:rPr>
          <w:b/>
          <w:bCs/>
        </w:rPr>
        <w:t xml:space="preserve">anchored to the registered certificate</w:t>
      </w:r>
      <w:r>
        <w:t xml:space="preserve"> when on file, EPBD MEPS milestone (G/H→2030, F→2033), GEG §71 status, CRREM intensity before/after.</w:t>
      </w:r>
    </w:p>
    <w:p>
      <w:pPr>
        <w:pStyle w:val="Heading3"/>
      </w:pPr>
      <w:r>
        <w:t xml:space="preserve">3.2.5 CO2KostAufG allocation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co2_cost_allocation.py</w:t>
      </w:r>
      <w:r>
        <w:t xml:space="preserve">)</w:t>
      </w:r>
    </w:p>
    <w:p>
      <w:pPr>
        <w:spacing w:after="100"/>
      </w:pPr>
      <w:r>
        <w:t xml:space="preserve">The landlord/tenant split of the heating-fuel CO₂ price. Residential: the </w:t>
      </w:r>
      <w:r>
        <w:rPr>
          <w:b/>
          <w:bCs/>
        </w:rPr>
        <w:t xml:space="preserve">statutory 10-step model</w:t>
      </w:r>
      <w:r>
        <w:t xml:space="preserve"> on kg CO₂ per m² of Wohnfläche (0/100 below 12 kg → 95/5 above 52 kg); non-residential: flat 50/50 (the NWG step model is not yet in force). Heating-fuel CO₂ only (gas 0.201 kg/kWh BEHG; electricity and F-gases are outside the levy). Prices: 2026 = €65/t (nEHS corridor cap), ETS2 2028 = €80/t </w:t>
      </w:r>
      <w:r>
        <w:rPr>
          <w:b/>
          <w:bCs/>
        </w:rPr>
        <w:t xml:space="preserve">indicative</w:t>
      </w:r>
      <w:r>
        <w:t xml:space="preserve">. Residential per-unit breakdown = area-pro-rata (labelled an estimate — the statute splits the tenant part by measured consumption).</w:t>
      </w:r>
    </w:p>
    <w:p>
      <w:pPr>
        <w:pStyle w:val="Heading3"/>
      </w:pPr>
      <w:r>
        <w:t xml:space="preserve">3.2.6 Financing engine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finance_model.py</w:t>
      </w:r>
      <w:r>
        <w:t xml:space="preserve"> +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financing.py</w:t>
      </w:r>
      <w:r>
        <w:t xml:space="preserve">)</w:t>
      </w:r>
    </w:p>
    <w:p>
      <w:pPr>
        <w:spacing w:after="100"/>
      </w:pPr>
      <w:r>
        <w:t xml:space="preserve">Pure, deterministic, "support not advice": KfW 458 (30→70%, €30k/unit cap) and BAFA BEG EM (15→20% with iSFP, €30k/€60k per unit) with residential unit-count estimation (declared, else area/75 m²); carbon-price </w:t>
      </w:r>
      <w:r>
        <w:rPr>
          <w:b/>
          <w:bCs/>
        </w:rPr>
        <w:t xml:space="preserve">scenarios</w:t>
      </w:r>
      <w:r>
        <w:t xml:space="preserve"> (conservative/base/high) anchored 2026 €60 → 2030 80/120/180 → 2050 150/250/350, linearly interpolated, BEHG corridor until ETS2 2028; NPV with 4% real discount + energy-inflation scenarios (1/3/5%) + carbon value per year; discounted payback; EPC "green premium" as an indicative 1.0–2.5% value uplift per band, capped 15%.</w:t>
      </w:r>
    </w:p>
    <w:p>
      <w:pPr>
        <w:pStyle w:val="Heading3"/>
      </w:pPr>
      <w:r>
        <w:t xml:space="preserve">3.2.7 MACC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abatement.py</w:t>
      </w:r>
      <w:r>
        <w:t xml:space="preserve">)</w:t>
      </w:r>
    </w:p>
    <w:p>
      <w:pPr>
        <w:spacing w:after="100"/>
      </w:pPr>
      <w:r>
        <w:t xml:space="preserve">Marginal abatement cost per measure over the visible portfolio: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MAC €/t = (net_capex / lifetime − annual_saving) / annual_tCO₂</w:t>
      </w:r>
      <w:r>
        <w:t xml:space="preserve"> — undiscounted by design (stated); lifetimes from an engineering service-life table (envelope 30, PV 25, HVAC 18, battery/LED 12, controls 10, operational 5; default 15). Negative MAC = self-financing. Cheapest-first cumulative CO₂ builds the curve.</w:t>
      </w:r>
    </w:p>
    <w:p>
      <w:pPr>
        <w:pStyle w:val="Heading3"/>
      </w:pPr>
      <w:r>
        <w:t xml:space="preserve">3.2.8 ESRS/VSME/GRESB metrics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esrs_metrics.py</w:t>
      </w:r>
      <w:r>
        <w:t xml:space="preserve"> + report routes)</w:t>
      </w:r>
    </w:p>
    <w:p>
      <w:pPr>
        <w:spacing w:after="100"/>
      </w:pPr>
      <w:r>
        <w:t xml:space="preserve">Reads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mv_ghg_scope</w:t>
      </w:r>
      <w:r>
        <w:t xml:space="preserve">/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mv_kpi_daily</w:t>
      </w:r>
      <w:r>
        <w:t xml:space="preserve"> for the latest </w:t>
      </w:r>
      <w:r>
        <w:rPr>
          <w:b/>
          <w:bCs/>
        </w:rPr>
        <w:t xml:space="preserve">complete</w:t>
      </w:r>
      <w:r>
        <w:t xml:space="preserve"> year (≥12 months; falls back to latest partial with an explicit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reporting_months</w:t>
      </w:r>
      <w:r>
        <w:t xml:space="preserve"> field → PartialYearNotice in every report). Scope 2 dual-reported (location + market). All-electric buildings flagged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missing_gas</w:t>
      </w:r>
      <w:r>
        <w:t xml:space="preserve"> are reclassified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complete</w:t>
      </w:r>
      <w:r>
        <w:t xml:space="preserve"> (no gas to report ≠ missing data). Energy in MWh, GHG intensity per m², renewable share from solar self-consumption. Labelled </w:t>
      </w:r>
      <w:r>
        <w:rPr>
          <w:b/>
          <w:bCs/>
        </w:rPr>
        <w:t xml:space="preserve">"ESRS-E1-aligned support"</w:t>
      </w:r>
      <w:r>
        <w:t xml:space="preserve"> — never "CSRD-compliant" (legal-language decision).</w:t>
      </w:r>
    </w:p>
    <w:p>
      <w:pPr>
        <w:pStyle w:val="Heading3"/>
      </w:pPr>
      <w:r>
        <w:t xml:space="preserve">3.2.9 Solar detail + telemetry rollup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solar_detail.py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solar_telemetry_rollup.py</w:t>
      </w:r>
      <w:r>
        <w:t xml:space="preserve">)</w:t>
      </w:r>
    </w:p>
    <w:p>
      <w:pPr>
        <w:spacing w:after="100"/>
      </w:pPr>
      <w:r>
        <w:t xml:space="preserve">/solar is </w:t>
      </w:r>
      <w:r>
        <w:rPr>
          <w:b/>
          <w:bCs/>
        </w:rPr>
        <w:t xml:space="preserve">real-first, sample-fallback per building</w:t>
      </w:r>
      <w:r>
        <w:t xml:space="preserve">: buildings with telemetry in the 90-day window serve from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gold_solar_daily</w:t>
      </w:r>
      <w:r>
        <w:t xml:space="preserve"> (loader: generation = counter-delta or power-trapezoid integration with a 6-h gap guard; IEC PR NULL below 0.05 kWh/m² irradiation and clamped ≤ 1.1 — deliberately looser than the synthetic gold's 0.95 because a real POA sensor can read PR &gt; 1.0 on cold clear days; self-consumption = ∫min(PV, load)dt only when a load meter exists — inverter-only sites get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self_consumption_available = false</w:t>
      </w:r>
      <w:r>
        <w:t xml:space="preserve">, never an estimate, with a coverage % stating how much of generation is metered for the split). Portfolio PR is </w:t>
      </w:r>
      <w:r>
        <w:rPr>
          <w:b/>
          <w:bCs/>
        </w:rPr>
        <w:t xml:space="preserve">generation-weighted</w:t>
      </w:r>
      <w:r>
        <w:t xml:space="preserve"> (Σ PR×gen / Σ gen; sample PR&gt;1.1 building-days excluded as low-sun artefacts). Specific yield is annualised </w:t>
      </w:r>
      <w:r>
        <w:rPr>
          <w:b/>
          <w:bCs/>
        </w:rPr>
        <w:t xml:space="preserve">only</w:t>
      </w:r>
      <w:r>
        <w:t xml:space="preserve"> over ≥350-day windows.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data_basis</w:t>
      </w:r>
      <w:r>
        <w:t xml:space="preserve"> = telemetry / simulated / sample / mixed.</w:t>
      </w:r>
    </w:p>
    <w:p>
      <w:pPr>
        <w:pStyle w:val="Heading3"/>
      </w:pPr>
      <w:r>
        <w:t xml:space="preserve">3.2.10 Advisor &amp; anomaly guides (frontend-adjacent)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buildingAdvisor.ts</w:t>
      </w:r>
      <w:r>
        <w:t xml:space="preserve"> (deterministic Layer-1 "AI advisor"): type-aware indicative EUI bands (healthcare 250–450 … logistics 40–120, office 100–200), over-band €-gap estimate = gap × area × country price × 40–80% capture (explicit assumption string), EPC/MEPS insights, heating-system insights, asset gap-analysis (PV/battery/IoT), all ranked action &gt; watch &gt; info &gt; good, max 6. Datacenters get a PUE note instead of EUI. The LLM copilot (§4) is wired separately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services/copilot/</w:t>
      </w:r>
      <w:r>
        <w:t xml:space="preserve"> orchestrator + tools + Anthropic provider with mock fallback).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Backend motorları: yükleme yolunda gerçek KPI (trailing-12 / yıllıklaştırılmış bayraklı), fatura yokken arketip aralığı, kanıt-istifleyen tahmin motoru (arketip→yaş→iklim→EPC→ kısmi fatura), ısıtma değerlendirmesi (GROSS iletim × kazanım faktörü, %68 tavan, HP=yakıt değişimi, paket sıralaması), CO2KostAufG 10 basamak, KfW/BAFA + karbon senaryolu NPV, MACC, ESRS (tam-yıl seçimi + kısmi-yıl uyarısı), solar gerçek-önce (üretim-ağırlıklı PR, tahminsiz self-consumption), deterministik danışman. Hepsi aralık + varsayım etiketi taşır.</w:t>
      </w:r>
    </w:p>
    <w:p>
      <w:pPr>
        <w:pStyle w:val="Heading2"/>
      </w:pPr>
      <w:r>
        <w:t xml:space="preserve">3.3 Frontend calculation libraries</w:t>
      </w:r>
    </w:p>
    <w:p>
      <w:pPr>
        <w:spacing w:after="100"/>
      </w:pPr>
      <w:r>
        <w:rPr>
          <w:rFonts w:ascii="Consolas" w:cs="Consolas" w:eastAsia="Consolas" w:hAnsi="Consolas"/>
          <w:color w:val="0F6E56"/>
          <w:sz w:val="18"/>
          <w:szCs w:val="18"/>
        </w:rPr>
        <w:t xml:space="preserve">lib/crrem.ts</w:t>
      </w:r>
      <w:r>
        <w:t xml:space="preserve"> — CRREM-style stranding: annual operational intensity (prefers backend trailing-12M CO₂, falls back to annualised 30-day with caveat) vs illustrative 1.5 °C pathway; first crossing year = stranding year; milestones 2030/2033/2040/2050.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lib/compliance.ts</w:t>
      </w:r>
      <w:r>
        <w:t xml:space="preserve">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taxonomy.ts</w:t>
      </w:r>
      <w:r>
        <w:t xml:space="preserve"> (EU Taxonomy screening incl. EPC-validity),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flexibility.ts</w:t>
      </w:r>
      <w:r>
        <w:t xml:space="preserve"> (IoT-gated flexibility readiness),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anomalyGuide.ts</w:t>
      </w:r>
      <w:r>
        <w:t xml:space="preserve"> (per-rule explanations),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glossary.ts</w:t>
      </w:r>
      <w:r>
        <w:t xml:space="preserve"> (single-source term registry powering InfoTip tooltips — the planned method/assumptions extension is designed in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docs/architecture/calc-transparency-plan.md</w:t>
      </w:r>
      <w:r>
        <w:t xml:space="preserve">).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reportKit.tsx</w:t>
      </w:r>
      <w:r>
        <w:t xml:space="preserve"> centralises print/PDF report formatting incl.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fmtPayback</w:t>
      </w:r>
      <w:r>
        <w:t xml:space="preserve"> (R3) and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PartialYearNotice</w:t>
      </w:r>
      <w:r>
        <w:t xml:space="preserve">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FE hesap kütüphaneleri: CRREM stranding (trailing-12M CO₂ tercihli), taxonomy/ flexibility/anomali rehberleri, tek-kaynak glossary ve rapor kiti (payback guard + kısmi-yıl uyarısı).</w:t>
      </w:r>
    </w:p>
    <w:p>
      <w:pPr>
        <w:pStyle w:val="Heading1"/>
        <w:pageBreakBefore/>
      </w:pPr>
      <w:r>
        <w:t xml:space="preserve">4. Web application — module by module</w:t>
      </w:r>
    </w:p>
    <w:p>
      <w:pPr>
        <w:spacing w:after="100"/>
      </w:pPr>
      <w:r>
        <w:t xml:space="preserve">All pages are English-UI, dark-theme Next.js (App Router), served from Vercel; every data call goes through the FastAPI backend with org-scoped visibility (§6). "Source" names the service that owns the numbers (documented in §3).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126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of the numbers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Org home: KPI tiles, advisor highlights, onboarding nudges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portfolio_metrics + baseline_kpi + advisor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/portfolio</w:t>
            </w:r>
            <w:r>
              <w:rPr>
                <w:sz w:val="19"/>
                <w:szCs w:val="19"/>
              </w:rPr>
              <w:t xml:space="preserve"> (+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KPI tiles w/ deltas, per-building table (EUI trailing-12M coverage-aware — fixed in this audit, type-aware EUI bands), solar row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portfolio_metrics §3.2.x, euiBandFor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/buildings</w:t>
            </w:r>
            <w:r>
              <w:rPr>
                <w:sz w:val="19"/>
                <w:szCs w:val="19"/>
              </w:rPr>
              <w:t xml:space="preserve"> (+ import)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CRUD, bulk CSV import (expected-columns panel), baseline strip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buildings router, baseline_estimate/baseline_kpi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/buildings/[id]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Building cockpit: KPIs, advisor panel, heating assessment, residential rollup, reports hub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heating_assessment, advisor, residential_manager_metrics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/buildings/[id]/report</w:t>
            </w:r>
            <w:r>
              <w:rPr>
                <w:sz w:val="19"/>
                <w:szCs w:val="19"/>
              </w:rPr>
              <w:t xml:space="preserve"> + per-building reports (EPC, CO₂, GEG, residential)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Print/PDF documents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reportKit + the §3.2 engines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/actions</w:t>
            </w:r>
            <w:r>
              <w:rPr>
                <w:sz w:val="19"/>
                <w:szCs w:val="19"/>
              </w:rPr>
              <w:t xml:space="preserve"> (+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Recommendation catalog w/ status workflow, savings/payback/priority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gold_recommendations (06/06b) via actions_data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/alerts</w:t>
            </w:r>
            <w:r>
              <w:rPr>
                <w:sz w:val="19"/>
                <w:szCs w:val="19"/>
              </w:rPr>
              <w:t xml:space="preserve"> (+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Grouped anomaly queue (distinct open types), severity, est. 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gold_anomaly_log + anomalyGuide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/hvac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Heating &amp; envelope decision page (measures, package, GEG, EPC path)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heating_assessment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/solar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Portfolio solar: generation, gen-weighted PR, self-consumption (coverage-aware), yield; building slicer; DataBasisBadge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solar_detail §3.2.9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/compliance</w:t>
            </w:r>
            <w:r>
              <w:rPr>
                <w:sz w:val="19"/>
                <w:szCs w:val="19"/>
              </w:rPr>
              <w:t xml:space="preserve"> (+ 8 report routes)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MEPS radar, CRREM stranding, ESRS-E1, VSME, GHG inventory, GRESB, EnEfG, Taxonomy, Flexibility; scorecard hero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esrs_metrics, compliance libs, geg_conformity, co2_cost_allocation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/decarbonisation</w:t>
            </w:r>
            <w:r>
              <w:rPr>
                <w:sz w:val="19"/>
                <w:szCs w:val="19"/>
              </w:rPr>
              <w:t xml:space="preserve"> (+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MACC curve + measure table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abatement §3.2.7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/financing</w:t>
            </w:r>
            <w:r>
              <w:rPr>
                <w:sz w:val="19"/>
                <w:szCs w:val="19"/>
              </w:rPr>
              <w:t xml:space="preserve"> (+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Subsidy matcher, carbon-scenario NPV, green premium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finance_model/financing §3.2.6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/copilot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 copilot over the user's own buildings (tool-calling)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copilot orchestrator + Anthropic provider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/connections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Device/agent onboarding (Tier 2/3), test telemetry, VerifyPanel, freshness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ingest router, device_templates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Self-serve wizard + Data Score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building_readiness / bridge_readiness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/residential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/residence</w:t>
            </w:r>
            <w:r>
              <w:rPr>
                <w:sz w:val="19"/>
                <w:szCs w:val="19"/>
              </w:rPr>
              <w:t xml:space="preserve"> (+ enter, report)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 rollup vs resident self-view (UVI, unit KPI, common split)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residential(_manager)_metrics §3.1.10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/demo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no-login sample tour (own fallback dataset, clearly sample)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demo_data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/pilot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/partners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/pricing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/tour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/glossary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Lead capture → /admin queue; installer marketplace Phase 0; plans; guided tour; term registry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pilot/installer/billing routers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Lead queue, org/user admin, audit views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router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/settings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/login</w:t>
            </w:r>
            <w:r>
              <w:rPr>
                <w:sz w:val="19"/>
                <w:szCs w:val="19"/>
              </w:rPr>
              <w:t xml:space="preserve">+auth pages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Org/profile/billing settings; email+OAuth auth, invite, password reset (code-complete; activation pending §8)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settings/auth routers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Report generation.</w:t>
      </w:r>
      <w:r>
        <w:t xml:space="preserve"> 20 print-grade documents (portfolio, building, actions, alerts, compliance family, financing, residential family…) share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reportKit</w:t>
      </w:r>
      <w:r>
        <w:t xml:space="preserve"> (A4 landscape, brand header, footer, partial-year notice). Server-side PDF download runs headless Chromium (18 routes live since fe420b2); every report re-reads its backend endpoint — reports and app can never disagree.</w:t>
      </w:r>
    </w:p>
    <w:p>
      <w:pPr>
        <w:spacing w:after="100"/>
      </w:pPr>
      <w:r>
        <w:rPr>
          <w:b/>
          <w:bCs/>
        </w:rPr>
        <w:t xml:space="preserve">Billing.</w:t>
      </w:r>
      <w:r>
        <w:t xml:space="preserve"> Stripe wiring is code-complete (Free/Basic €99/Monitor €299/Enterprise; Residential €49/building + €3/unit); activation is founder-run ops, not code.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~30 sayfalık uygulamanın her modülü tek bir backend servisinden beslenir (tablo). 20 rapor tek reportKit'ten çıkar ve aynı endpoint'i okuduğu için app ile rapor asla çelişmez; PDF'ler sunucu tarafında headless Chromium ile üretilir. Stripe kodu hazır, aktivasyon operasyonel.</w:t>
      </w:r>
    </w:p>
    <w:p>
      <w:pPr>
        <w:pStyle w:val="Heading1"/>
        <w:pageBreakBefore/>
      </w:pPr>
      <w:r>
        <w:t xml:space="preserve">5. Power BI report</w:t>
      </w:r>
    </w:p>
    <w:p>
      <w:pPr>
        <w:spacing w:after="100"/>
      </w:pPr>
      <w:r>
        <w:rPr>
          <w:b/>
          <w:bCs/>
        </w:rPr>
        <w:t xml:space="preserve">Model.</w:t>
      </w:r>
      <w:r>
        <w:t xml:space="preserve">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EnergyCopilotModel</w:t>
      </w:r>
      <w:r>
        <w:t xml:space="preserve"> — DirectLake on the gold Delta tables, 329 measures (live dump regenerated into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semantic-model/measures_dump.txt</w:t>
      </w:r>
      <w:r>
        <w:t xml:space="preserve">), star-ish schema: every fact keyed to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silver_building_master[building_id]</w:t>
      </w:r>
      <w:r>
        <w:t xml:space="preserve"> and a marked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Date</w:t>
      </w:r>
      <w:r>
        <w:t xml:space="preserve"> table (relationship dump alongside). RLS: DirectLake + fixed-identity (service principal) + CUSTOMDATA-driven roles — the model's data source uses the SP (SSO off) so embedded customers are isolated (verified: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cp2_embed_rls_live</w:t>
      </w:r>
      <w:r>
        <w:t xml:space="preserve">). Report-level measures exist that model dumps cannot see (documented gotcha) — the definitive visual truth is the PBIX, page-finalisation state below.</w:t>
      </w:r>
    </w:p>
    <w:p>
      <w:pPr>
        <w:spacing w:after="100"/>
      </w:pPr>
      <w:r>
        <w:rPr>
          <w:b/>
          <w:bCs/>
        </w:rPr>
        <w:t xml:space="preserve">Pages (all 10 finalised decision-grade, 2026-06-18 → 06-22 sessions):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386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Core content &amp; the measures that matter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Portfolio Overview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KPI cards (totals = plain Card+SUM — the AVG-card bug class is closed; EUI card = AVG correctly), portfolio scorecard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Energy Consumption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consumption trends, time-grain switches, solar overlay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Solar Production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generation, self-consumption, PR (energy-basis from §3.1.1)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Savings &amp; Forecast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recommendation savings (post-06b calibrated), consumption forecast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Occupancy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occupancy heat-map (Day Name), headcount decision support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GHG by scope (real gas Scope 1 — the €166k phantom levy fix), CO₂ trend annualised, compliance scorecard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HVAC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COP rated-vs-actual, envelope insulation score, CO₂ annualised, heat-loss badge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IoT Monitoring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power/comfort/CO₂ cards, sensor matrix, FDD alert table with Est. € (gold_iot_fdd single-source; C4 card verified €81.14 ↔ app 1:1); freshness = MAX(event_date)+REMOVEFILTERS (DirectLake-safe)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 simulation (Measured/Modeled/Prospect via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data_basis</w:t>
            </w:r>
            <w:r>
              <w:rPr>
                <w:sz w:val="19"/>
                <w:szCs w:val="19"/>
              </w:rPr>
              <w:t xml:space="preserve">), C2 = installed-battery payback, building_name on rows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Solar Ops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 distribution (gen-weighted, conditional colour, 0–100 axis), PV underperformance €-loss (target PR 0.80: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lost = gen × (0.80/PR − 1)</w:t>
            </w:r>
            <w:r>
              <w:rPr>
                <w:sz w:val="19"/>
                <w:szCs w:val="19"/>
              </w:rPr>
              <w:t xml:space="preserve"> at the building's own effective tariff)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Open cosmetics (Desktop-only, listed in §8):</w:t>
      </w:r>
      <w:r>
        <w:t xml:space="preserve"> Page 6 D2 levy Goal/D4 blank + CO₂ visual rebind; Page 8 matrix rounding, slicer removal, "Active Zones" rename; Page 9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data_basis</w:t>
      </w:r>
      <w:r>
        <w:t xml:space="preserve"> badge on the table + B001 umlaut re-run. </w:t>
      </w:r>
      <w:r>
        <w:rPr>
          <w:b/>
          <w:bCs/>
        </w:rPr>
        <w:t xml:space="preserve">Model hygiene:</w:t>
      </w:r>
      <w:r>
        <w:t xml:space="preserve"> legacy capped measures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C2/V3/Scenario Payback ≤25</w:t>
      </w:r>
      <w:r>
        <w:t xml:space="preserve">) and a flat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Avg Solar PR Pct</w:t>
      </w:r>
      <w:r>
        <w:t xml:space="preserve"> remain in the model alongside the corrected report-side versions — schedule a Tabular-Editor cleanup pass so nothing ever rebinds to a stale measure (§8).</w:t>
      </w:r>
    </w:p>
    <w:p>
      <w:pPr>
        <w:spacing w:after="100"/>
      </w:pPr>
      <w:r>
        <w:rPr>
          <w:b/>
          <w:bCs/>
        </w:rPr>
        <w:t xml:space="preserve">Embed.</w:t>
      </w:r>
      <w:r>
        <w:t xml:space="preserve"> User-owns-data embed in the app (page GUID navigation, FitToPage, persistentFilters, embed-token caching + circuit breaker). Known performance ceiling is </w:t>
      </w:r>
      <w:r>
        <w:rPr>
          <w:b/>
          <w:bCs/>
        </w:rPr>
        <w:t xml:space="preserve">report design</w:t>
      </w:r>
      <w:r>
        <w:t xml:space="preserve"> (186 visuals / 20-22 per page / 45 slicers), not storage mode — the paused-capacity warmup and visual-count reduction are the levers (runbook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docs/runbooks/pbi-perf-diagnosis-2026-06-24.md</w:t>
      </w:r>
      <w:r>
        <w:t xml:space="preserve">).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329 ölçülü DirectLake modeli + 10 sayfanın tamamı karar-kalitesinde kapandı; RLS fixed-identity SP + CUSTOMDATA ile müşteri izolasyonu canlı doğrulandı. Kalan işler kozmetik (Sayfa 6/8/9) + model temizliği (eski cap'li ölçüler). Performansın sınırı depolama modu değil görsel yoğunluğu.</w:t>
      </w:r>
    </w:p>
    <w:p>
      <w:pPr>
        <w:pStyle w:val="Heading1"/>
        <w:pageBreakBefore/>
      </w:pPr>
      <w:r>
        <w:t xml:space="preserve">6. Access control &amp; security</w:t>
      </w:r>
    </w:p>
    <w:p>
      <w:pPr>
        <w:spacing w:after="100"/>
      </w:pPr>
      <w:r>
        <w:t xml:space="preserve">Three confirmed layers: </w:t>
      </w:r>
      <w:r>
        <w:rPr>
          <w:b/>
          <w:bCs/>
        </w:rPr>
        <w:t xml:space="preserve">RLS (data)</w:t>
      </w:r>
      <w:r>
        <w:t xml:space="preserve"> — Power BI CUSTOMDATA roles + org-scoped SQL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building_id IN (visible set)</w:t>
      </w:r>
      <w:r>
        <w:t xml:space="preserve">) in every backend query; customer data never crosses org boundaries even on the sample org. </w:t>
      </w:r>
      <w:r>
        <w:rPr>
          <w:b/>
          <w:bCs/>
        </w:rPr>
        <w:t xml:space="preserve">App navigation (module)</w:t>
      </w:r>
      <w:r>
        <w:t xml:space="preserve"> — Next.js gates pages on subscription + connected inventory (no IoT → Page 8 locked; no battery → Page 9 locked). </w:t>
      </w:r>
      <w:r>
        <w:rPr>
          <w:b/>
          <w:bCs/>
        </w:rPr>
        <w:t xml:space="preserve">Subscription (commercial)</w:t>
      </w:r>
      <w:r>
        <w:t xml:space="preserve"> — plan gates in Postgres/FastAPI. Resident privacy is </w:t>
      </w:r>
      <w:r>
        <w:rPr>
          <w:b/>
          <w:bCs/>
        </w:rPr>
        <w:t xml:space="preserve">by construction</w:t>
      </w:r>
      <w:r>
        <w:t xml:space="preserve">: the resident view only ever queries the resident's own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unit_id</w:t>
      </w:r>
      <w:r>
        <w:t xml:space="preserve">s; the building benchmark is pre-aggregated into each unit's own gold row, so no cross-unit read exists at any layer. Auth: JWT + OAuth (Microsoft/Google), org invites, self-service password reset (Resend) code-complete pending activation. Agent ingestion uses scoped agent tokens.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Üç katman: RLS (veri) + uygulama navigasyonu (modül) + abonelik (ticari). Resident gizliliği sorgu tasarımıyla garanti (benchmark kendi satırında). Auth: JWT/OAuth + davet + şifre sıfırlama (aktivasyon bekliyor).</w:t>
      </w:r>
    </w:p>
    <w:p>
      <w:pPr>
        <w:pStyle w:val="Heading1"/>
        <w:pageBreakBefore/>
      </w:pPr>
      <w:r>
        <w:t xml:space="preserve">7. Data provenance &amp; the honesty layer</w:t>
      </w:r>
    </w:p>
    <w:p>
      <w:pPr>
        <w:spacing w:after="100"/>
      </w:pPr>
      <w:r>
        <w:t xml:space="preserve">The platform's differentiator is that it </w:t>
      </w:r>
      <w:r>
        <w:rPr>
          <w:b/>
          <w:bCs/>
        </w:rPr>
        <w:t xml:space="preserve">states what it knows and how well</w:t>
      </w:r>
      <w:r>
        <w:t xml:space="preserve">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data_basis</w:t>
      </w:r>
      <w:r>
        <w:t xml:space="preserve"> (telemetry/simulated/sample/mixed) on solar and battery,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Measured/Modeled/Prospect</w:t>
      </w:r>
      <w:r>
        <w:t xml:space="preserve"> on battery scenarios,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measured/estimated</w:t>
      </w:r>
      <w:r>
        <w:t xml:space="preserve"> demand bases with band widths (±10% vs ±25%),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actual/estimated</w:t>
      </w:r>
      <w:r>
        <w:t xml:space="preserve"> cost bases, confidence grades on every estimate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high…very_low</w:t>
      </w:r>
      <w:r>
        <w:t xml:space="preserve">), grid-factor provenance strings, partial-year notices on all annual reports, "indicative/illustrative" labels on benchmark bands and CRREM curves,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disclosure_grade=false</w:t>
      </w:r>
      <w:r>
        <w:t xml:space="preserve"> on Scope 3, and Datacenter-EUI refusal. The remaining gap to close with the first pilot: replacing the synthetic seed with a real building's bills — the entire §3 pipeline is the same; only the labels flip.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Her sayı kaynağını, güvenini ve bandını taşır; sentetik veri her yerde etiketli. İlk pilot binayla değişecek tek şey etiketler — hesap zinciri aynı.</w:t>
      </w:r>
    </w:p>
    <w:p>
      <w:pPr>
        <w:pStyle w:val="Heading1"/>
        <w:pageBreakBefore/>
      </w:pPr>
      <w:r>
        <w:t xml:space="preserve">8. Audit 2026-07-03</w:t>
      </w:r>
    </w:p>
    <w:p>
      <w:pPr>
        <w:pStyle w:val="Heading2"/>
      </w:pPr>
      <w:r>
        <w:t xml:space="preserve">8.1 Verified in this audit</w:t>
      </w:r>
    </w:p>
    <w:p>
      <w:pPr>
        <w:spacing w:after="100"/>
      </w:pPr>
      <w:r>
        <w:t xml:space="preserve">Backend engines (§3.2) formula-checked against approved docs; Fabric notebooks (§3.1) checked for the approved knobs (PHI_HDD 1.5, C_ENV 1.5, PR clamp 0.95, 06b caps, §9c gate, FDD € logic); live Supabase mirror checked read-only (PR max 0.95 ✓, FDD 38 rows &amp; €81.14 chain ✓, GHG 6-category live schema ✓, rec aggregate ≤35% ✓); live site up (landing, correct EU 2023/1542 reference); PBI model dump = fresh live export, 329 measures; report/app single-source confirmed for FDD costs.</w:t>
      </w:r>
    </w:p>
    <w:p>
      <w:pPr>
        <w:pStyle w:val="Heading2"/>
      </w:pPr>
      <w:r>
        <w:t xml:space="preserve">8.2 Fixed in this audit (applied to the working tree — commit + push pending)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/actions payback display</w:t>
      </w:r>
      <w:r>
        <w:t xml:space="preserve">: operational-measure threshold 50 → </w:t>
      </w:r>
      <w:r>
        <w:rPr>
          <w:b/>
          <w:bCs/>
        </w:rPr>
        <w:t xml:space="preserve">40 yr</w:t>
      </w:r>
      <w:r>
        <w:t xml:space="preserve"> (aligns R3; live data briefly showed "41.8 yr").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components/actions/ActionsTable.tsx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Advisor text</w:t>
      </w:r>
      <w:r>
        <w:t xml:space="preserve">: no longer quotes a payback ≥ 40 yr in the "biggest opportunity" line.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lib/insights/buildingAdvisor.ts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Portfolio EUI</w:t>
      </w:r>
      <w:r>
        <w:t xml:space="preserve"> (⚠ energy-logic change — review): building-row EUI now = trailing-12-month energy annualised over actual day coverage (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kwh_365 × 365.25/days ÷ area</w:t>
      </w:r>
      <w:r>
        <w:t xml:space="preserve">), 30-day fallback for new buildings. Removes the seasonal bias of annualising one month; consistent with co2_365 and the EUI benchmark bands.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services/portfolio_metrics.py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Stale sensitivity note</w:t>
      </w:r>
      <w:r>
        <w:t xml:space="preserve"> in heating assessment: hardcoded "~149 €/t" → dynamic base-2030 carbon price (currently €120/t) + accurate wording.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services/heating_assessment.py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03b sanity print</w:t>
      </w:r>
      <w:r>
        <w:t xml:space="preserve"> now groups by year (a multi-year SUM previously read ~3× annual EUI).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crrem.ts stale docstring</w:t>
      </w:r>
      <w:r>
        <w:t xml:space="preserve"> updated (code already used trailing-12M CO₂).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Repo hygiene: tracked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AppChrome.tsx.bak</w:t>
      </w:r>
      <w:r>
        <w:t xml:space="preserve"> removed from the index;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*.bak</w:t>
      </w:r>
      <w:r>
        <w:t xml:space="preserve"> gitignored.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Vercel production build repaired</w:t>
      </w:r>
      <w:r>
        <w:t xml:space="preserve"> (broken since 1bbfbe2, 06-29):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PartialYearNotice</w:t>
      </w:r>
      <w:r>
        <w:t xml:space="preserve"> was imported from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@/lib/crrem</w:t>
      </w:r>
      <w:r>
        <w:t xml:space="preserve"> instead of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./reportKit</w:t>
      </w:r>
      <w:r>
        <w:t xml:space="preserve"> in the ESRS-E1 and VSME report documents; fixed,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tsc --noEmit</w:t>
      </w:r>
      <w:r>
        <w:t xml:space="preserve"> clean, deploy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ea0a825</w:t>
      </w:r>
      <w:r>
        <w:t xml:space="preserve"> Ready in Production.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Ingest/SCADA pass (post-doc audit): telemetry rollup's stale "same cap as 03" comment corrected — measured-telemetry PR ceiling 1.1 (POA basis) is deliberate vs the synthetic gold's 0.95.</w:t>
      </w:r>
    </w:p>
    <w:p>
      <w:pPr>
        <w:pStyle w:val="Heading2"/>
      </w:pPr>
      <w:r>
        <w:t xml:space="preserve">8.3 Punch list — to close before saying "waiting for the first pilot building"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000"/>
        <w:gridCol w:w="2386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where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Fabric re-run in order: 03b → 06 → 06b → 50-materialize → PBI Service refresh.</w:t>
            </w:r>
            <w:r>
              <w:rPr>
                <w:sz w:val="19"/>
                <w:szCs w:val="19"/>
              </w:rPr>
              <w:t xml:space="preserve"> Live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mv_recommendations</w:t>
            </w:r>
            <w:r>
              <w:rPr>
                <w:sz w:val="19"/>
                <w:szCs w:val="19"/>
              </w:rPr>
              <w:t xml:space="preserve"> is currently post-06/pre-06b (B007 battery 115.2 yr, B003 41.8 yr visible to SQL; app now guards, but the data must be re-calibrated). Commit the uncommitted 06 improvements (BMS-aware CapEx + annualisation + ceilings — compiles clean) first.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(Fabric)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Re-materialize scope: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mv_building_master</w:t>
            </w:r>
            <w:r>
              <w:rPr>
                <w:sz w:val="19"/>
                <w:szCs w:val="19"/>
              </w:rPr>
              <w:t xml:space="preserve"> has 10 rows vs 14 in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mv_kpi_daily</w:t>
            </w:r>
            <w:r>
              <w:rPr>
                <w:sz w:val="19"/>
                <w:szCs w:val="19"/>
              </w:rPr>
              <w:t xml:space="preserve"> (B012–B015 orphans);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mv_sync_log</w:t>
            </w:r>
            <w:r>
              <w:rPr>
                <w:sz w:val="19"/>
                <w:szCs w:val="19"/>
              </w:rPr>
              <w:t xml:space="preserve"> only logs 3 tables. Extend the live 50-materialize TABLES dict + logging.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(Fabric)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Mirror live notebooks into the repo: live 09 GHG (6-category Scope 3) and live 50-materialize (TABLES-dict version) differ from the repo copies; nb16 is mirrored but sits in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_deferred/</w:t>
            </w:r>
            <w:r>
              <w:rPr>
                <w:sz w:val="19"/>
                <w:szCs w:val="19"/>
              </w:rPr>
              <w:t xml:space="preserve"> with a stale README.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paste → repo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Password-reset activation: Resend account + DNS +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FRONTEND_BASE_URL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alembic upgrade head</w:t>
            </w:r>
            <w:r>
              <w:rPr>
                <w:sz w:val="19"/>
                <w:szCs w:val="19"/>
              </w:rPr>
              <w:t xml:space="preserve"> (head c1d2e3f4a5b6) + deploy. Add rate-limiting follow-up.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(ops)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PBI Desktop cosmetics: Page 6 D2/D4 + CO₂ rebind; Page 8 ×3; Page 9 data_basis badge + umlaut. Then a Tabular-Editor cleanup of stale measures (capped C2/V3/Scenario Payback, flat Avg Solar PR Pct) after confirming page bindings.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(Desktop)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Push this audit's fixes + build check (</w:t>
            </w:r>
            <w:r>
              <w:rPr>
                <w:rFonts w:ascii="Consolas" w:cs="Consolas" w:eastAsia="Consolas" w:hAnsi="Consolas"/>
                <w:color w:val="0F6E56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locally = Vercel parity), then deploy backend (portfolio EUI change) 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(git/ops)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Approve/adjust the two flagged energy-logic changes: portfolio trailing-12M EUI (8.2-3) and the 06 WIP parameters (BMS_SAVING_CEILING 20, HVAC ceiling 15 kWh/m²·yr, RCx €2.5/m²+€6k, install €28/m²).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Mert (energy review)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Post-pilot (explicitly deferred, not blockers): battery dispatch-spread de-rate pass; official CRREM licence swap-in; calc-transparency tooltips build-out; Stripe/billing activation; Fly.io/Azure move decision for Fabric SQL egress.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backlog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Bottom line.</w:t>
      </w:r>
      <w:r>
        <w:t xml:space="preserve"> With P1–P2 (one Fabric session) and P4–P6 (one ops session) done, the platform is accurately describable as </w:t>
      </w:r>
      <w:r>
        <w:rPr>
          <w:b/>
          <w:bCs/>
        </w:rPr>
        <w:t xml:space="preserve">"code-complete and audited — waiting for the first pilot building."</w:t>
      </w:r>
    </w:p>
    <w:p>
      <w:pPr>
        <w:pBdr>
          <w:left w:val="single" w:color="C41E3A" w:sz="18" w:space="8"/>
        </w:pBdr>
        <w:shd w:fill="FDF2F4" w:val="clear"/>
        <w:spacing w:after="160" w:before="120"/>
        <w:ind w:left="240"/>
      </w:pPr>
      <w:r>
        <w:rPr>
          <w:b/>
          <w:bCs/>
          <w:i/>
          <w:iCs/>
          <w:sz w:val="21"/>
          <w:szCs w:val="21"/>
        </w:rPr>
        <w:t xml:space="preserve">TR ÖZET — </w:t>
      </w:r>
      <w:r>
        <w:rPr>
          <w:i/>
          <w:iCs/>
          <w:sz w:val="21"/>
          <w:szCs w:val="21"/>
        </w:rPr>
        <w:t xml:space="preserve"> Bu denetimde 7 düzeltme uygulandı (en önemlisi: /actions 40-yıl guard'ı ve portföy EUI'sinin trailing-12-ay'a geçmesi — ikisi de onayına işaretli). Kalan 6 kalem senin elinde: bir Fabric oturumu (03b→06→06b→materialize sırası + mirror), bir ops oturumu (password-reset, push, PBI kozmetik). Bunlar bitince "app bitti, ilk pilot binayı bekliyor" cümlesi teknik olarak doğru.</w:t>
      </w:r>
    </w:p>
    <w:p>
      <w:pPr>
        <w:spacing w:after="100"/>
      </w:pPr>
      <w:r>
        <w:t xml:space="preserve">*Cross-references: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docs/business-logic/kpi-formulas.md</w:t>
      </w:r>
      <w:r>
        <w:t xml:space="preserve"> (KPI/anomaly rule catalog),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docs/strategy/total-energy-ledger.md</w:t>
      </w:r>
      <w:r>
        <w:t xml:space="preserve"> (Path A design),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docs/strategy/residential-retrofit-calculations.md</w:t>
      </w:r>
      <w:r>
        <w:t xml:space="preserve"> (approved retrofit math),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docs/architecture/*</w:t>
      </w:r>
      <w:r>
        <w:t xml:space="preserve"> (estimation engine, access model, IoT/FDD, SCADA),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docs/report-documentation/EnergyLens_Report_Technical_Documentation.docx</w:t>
      </w:r>
      <w:r>
        <w:t xml:space="preserve"> (per-visual PBI detail), </w:t>
      </w:r>
      <w:r>
        <w:rPr>
          <w:rFonts w:ascii="Consolas" w:cs="Consolas" w:eastAsia="Consolas" w:hAnsi="Consolas"/>
          <w:color w:val="0F6E56"/>
          <w:sz w:val="18"/>
          <w:szCs w:val="18"/>
        </w:rPr>
        <w:t xml:space="preserve">docs/runbooks/*</w:t>
      </w:r>
      <w:r>
        <w:t xml:space="preserve"> (operational runbooks).*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energylens.eu · Confidential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4748b"/>
        <w:sz w:val="16"/>
        <w:szCs w:val="16"/>
      </w:rPr>
      <w:t xml:space="preserve">EnergyLens — Platform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8" w:space="2"/>
      </w:pBdr>
      <w:spacing w:after="160" w:before="32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16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2026-07-03T10:37:18.974Z</dcterms:created>
  <dcterms:modified xsi:type="dcterms:W3CDTF">2026-07-03T10:37:18.979Z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