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EnergyLens</w:t>
      </w:r>
      <w:r>
        <w:t xml:space="preserve"> </w:t>
      </w:r>
      <w:r>
        <w:t xml:space="preserve">—</w:t>
      </w:r>
      <w:r>
        <w:t xml:space="preserve"> </w:t>
      </w:r>
      <w:r>
        <w:t xml:space="preserve">Page</w:t>
      </w:r>
      <w:r>
        <w:t xml:space="preserve"> </w:t>
      </w:r>
      <w:r>
        <w:t xml:space="preserve">6</w:t>
      </w:r>
      <w:r>
        <w:t xml:space="preserve"> </w:t>
      </w:r>
      <w:r>
        <w:t xml:space="preserve">(Sustainability</w:t>
      </w:r>
      <w:r>
        <w:t xml:space="preserve"> </w:t>
      </w:r>
      <w:r>
        <w:t xml:space="preserve">&amp;</w:t>
      </w:r>
      <w:r>
        <w:t xml:space="preserve"> </w:t>
      </w:r>
      <w:r>
        <w:t xml:space="preserve">GHG):</w:t>
      </w:r>
      <w:r>
        <w:t xml:space="preserve"> </w:t>
      </w:r>
      <w:r>
        <w:t xml:space="preserve">the</w:t>
      </w:r>
      <w:r>
        <w:t xml:space="preserve"> </w:t>
      </w:r>
      <w:r>
        <w:t xml:space="preserve">sell-it</w:t>
      </w:r>
      <w:r>
        <w:t xml:space="preserve"> </w:t>
      </w:r>
      <w:r>
        <w:t xml:space="preserve">study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Read</w:t>
      </w:r>
      <w:r>
        <w:t xml:space="preserve"> </w:t>
      </w:r>
      <w:r>
        <w:t xml:space="preserve">every</w:t>
      </w:r>
      <w:r>
        <w:t xml:space="preserve"> </w:t>
      </w:r>
      <w:r>
        <w:t xml:space="preserve">visual</w:t>
      </w:r>
      <w:r>
        <w:t xml:space="preserve"> </w:t>
      </w:r>
      <w:r>
        <w:t xml:space="preserve">·</w:t>
      </w:r>
      <w:r>
        <w:t xml:space="preserve"> </w:t>
      </w:r>
      <w:r>
        <w:t xml:space="preserve">know</w:t>
      </w:r>
      <w:r>
        <w:t xml:space="preserve"> </w:t>
      </w:r>
      <w:r>
        <w:t xml:space="preserve">every</w:t>
      </w:r>
      <w:r>
        <w:t xml:space="preserve"> </w:t>
      </w:r>
      <w:r>
        <w:t xml:space="preserve">formula</w:t>
      </w:r>
      <w:r>
        <w:t xml:space="preserve"> </w:t>
      </w:r>
      <w:r>
        <w:t xml:space="preserve">·</w:t>
      </w:r>
      <w:r>
        <w:t xml:space="preserve"> </w:t>
      </w:r>
      <w:r>
        <w:t xml:space="preserve">answer</w:t>
      </w:r>
      <w:r>
        <w:t xml:space="preserve"> </w:t>
      </w:r>
      <w:r>
        <w:t xml:space="preserve">every</w:t>
      </w:r>
      <w:r>
        <w:t xml:space="preserve"> </w:t>
      </w:r>
      <w:r>
        <w:t xml:space="preserve">client</w:t>
      </w:r>
      <w:r>
        <w:t xml:space="preserve"> </w:t>
      </w:r>
      <w:r>
        <w:t xml:space="preserve">question</w:t>
      </w:r>
    </w:p>
    <w:p>
      <w:pPr>
        <w:pStyle w:val="Author"/>
      </w:pPr>
      <w:r>
        <w:t xml:space="preserve">Ali</w:t>
      </w:r>
      <w:r>
        <w:t xml:space="preserve"> </w:t>
      </w:r>
      <w:r>
        <w:t xml:space="preserve">Mert</w:t>
      </w:r>
      <w:r>
        <w:t xml:space="preserve"> </w:t>
      </w:r>
      <w:r>
        <w:t xml:space="preserve">Özdemir</w:t>
      </w:r>
    </w:p>
    <w:p>
      <w:pPr>
        <w:pStyle w:val="Date"/>
      </w:pPr>
      <w:r>
        <w:t xml:space="preserve">2026-06-10</w:t>
      </w:r>
    </w:p>
    <w:p>
      <w:pPr>
        <w:pStyle w:val="Heading1"/>
      </w:pPr>
      <w:bookmarkStart w:id="20" w:name="how-to-use-this-guide"/>
      <w:r>
        <w:t xml:space="preserve">How to use this guide</w:t>
      </w:r>
      <w:bookmarkEnd w:id="20"/>
    </w:p>
    <w:p>
      <w:pPr>
        <w:pStyle w:val="FirstParagraph"/>
      </w:pPr>
      <w:r>
        <w:t xml:space="preserve">This is your</w:t>
      </w:r>
      <w:r>
        <w:t xml:space="preserve"> </w:t>
      </w:r>
      <w:r>
        <w:rPr>
          <w:b/>
        </w:rPr>
        <w:t xml:space="preserve">single source of truth for Page 6</w:t>
      </w:r>
      <w:r>
        <w:t xml:space="preserve"> </w:t>
      </w:r>
      <w:r>
        <w:t xml:space="preserve">— the sustainability / GHG / ESRS E1 page.</w:t>
      </w:r>
      <w:r>
        <w:t xml:space="preserve"> </w:t>
      </w:r>
      <w:r>
        <w:t xml:space="preserve">After reading it once you can: read any visual on the page out loud, explain how each number is</w:t>
      </w:r>
      <w:r>
        <w:t xml:space="preserve"> </w:t>
      </w:r>
      <w:r>
        <w:t xml:space="preserve">calculated, name the standard behind it, and answer the questions a client or an auditor will</w:t>
      </w:r>
      <w:r>
        <w:t xml:space="preserve"> </w:t>
      </w:r>
      <w:r>
        <w:t xml:space="preserve">ask — without hesitating. That hesitation is the only thing standing between you and the deal.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Bu doküman Page 6’yı</w:t>
      </w:r>
      <w:r>
        <w:t xml:space="preserve"> </w:t>
      </w:r>
      <w:r>
        <w:rPr>
          <w:i/>
        </w:rPr>
        <w:t xml:space="preserve">satabilmen</w:t>
      </w:r>
      <w:r>
        <w:t xml:space="preserve"> </w:t>
      </w:r>
      <w:r>
        <w:t xml:space="preserve">için. Amaç: müşteri</w:t>
      </w:r>
      <w:r>
        <w:t xml:space="preserve"> </w:t>
      </w:r>
      <w:r>
        <w:t xml:space="preserve">“</w:t>
      </w:r>
      <w:r>
        <w:t xml:space="preserve">bu sayı nasıl çıktı?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market mi</w:t>
      </w:r>
      <w:r>
        <w:t xml:space="preserve"> </w:t>
      </w:r>
      <w:r>
        <w:t xml:space="preserve">location mı?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Scope 3’ü nasıl buldun?</w:t>
      </w:r>
      <w:r>
        <w:t xml:space="preserve">”</w:t>
      </w:r>
      <w:r>
        <w:t xml:space="preserve"> </w:t>
      </w:r>
      <w:r>
        <w:t xml:space="preserve">dediğinde bir saniye bile duraksamadan cevap verebilmen.</w:t>
      </w:r>
      <w:r>
        <w:t xml:space="preserve"> </w:t>
      </w:r>
      <w:r>
        <w:t xml:space="preserve">İngilizce ana metin (müşteriyle İngilizce konuşacaksın); her bölümde</w:t>
      </w:r>
      <w:r>
        <w:t xml:space="preserve"> </w:t>
      </w:r>
      <w:r>
        <w:rPr>
          <w:b/>
        </w:rPr>
        <w:t xml:space="preserve">tr:</w:t>
      </w:r>
      <w:r>
        <w:t xml:space="preserve"> </w:t>
      </w:r>
      <w:r>
        <w:t xml:space="preserve">ile kısa Türkçe ipucu.</w:t>
      </w:r>
    </w:p>
    <w:p>
      <w:pPr>
        <w:pStyle w:val="FirstParagraph"/>
      </w:pPr>
      <w:r>
        <w:rPr>
          <w:b/>
        </w:rPr>
        <w:t xml:space="preserve">Golden rule of selling this page:</w:t>
      </w:r>
      <w:r>
        <w:t xml:space="preserve"> </w:t>
      </w:r>
      <w:r>
        <w:t xml:space="preserve">you are not selling a dashboard, you are selling</w:t>
      </w:r>
      <w:r>
        <w:t xml:space="preserve"> </w:t>
      </w:r>
      <w:r>
        <w:rPr>
          <w:b/>
        </w:rPr>
        <w:t xml:space="preserve">confidence that the numbers are correct and the methodology is defensible.</w:t>
      </w:r>
      <w:r>
        <w:t xml:space="preserve"> </w:t>
      </w:r>
      <w:r>
        <w:t xml:space="preserve">Anyone can drag a</w:t>
      </w:r>
      <w:r>
        <w:t xml:space="preserve"> </w:t>
      </w:r>
      <w:r>
        <w:t xml:space="preserve">field onto a chart. Almost nobody can explain market-based Scope 2 or a CRREM stranding year. That</w:t>
      </w:r>
      <w:r>
        <w:t xml:space="preserve"> </w:t>
      </w:r>
      <w:r>
        <w:t xml:space="preserve">explanation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product.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what-page-6-is-in-one-breath"/>
      <w:r>
        <w:t xml:space="preserve">1. What Page 6 is, in one breath</w:t>
      </w:r>
      <w:bookmarkEnd w:id="21"/>
    </w:p>
    <w:p>
      <w:pPr>
        <w:pStyle w:val="FirstParagraph"/>
      </w:pPr>
      <w:r>
        <w:t xml:space="preserve">Page 6 turns a building portfolio’s energy data into a</w:t>
      </w:r>
      <w:r>
        <w:t xml:space="preserve"> </w:t>
      </w:r>
      <w:r>
        <w:rPr>
          <w:b/>
        </w:rPr>
        <w:t xml:space="preserve">CSRD / ESRS E1-aligned carbon report</w:t>
      </w:r>
      <w:r>
        <w:t xml:space="preserve">:</w:t>
      </w:r>
      <w:r>
        <w:t xml:space="preserve"> </w:t>
      </w:r>
      <w:r>
        <w:t xml:space="preserve">the full Scope 1 / 2 / 3 footprint, the mandatory dual (location + market) Scope 2 view, the</w:t>
      </w:r>
      <w:r>
        <w:t xml:space="preserve"> </w:t>
      </w:r>
      <w:r>
        <w:t xml:space="preserve">CRREM decarbonisation / stranding risk, the EPC compliance grade, and a prioritised action list —</w:t>
      </w:r>
      <w:r>
        <w:t xml:space="preserve"> </w:t>
      </w:r>
      <w:r>
        <w:t xml:space="preserve">all with traceable lineage from a raw factor to a disclosed kg of CO₂.</w:t>
      </w:r>
    </w:p>
    <w:p>
      <w:pPr>
        <w:pStyle w:val="BodyText"/>
      </w:pPr>
      <w:r>
        <w:rPr>
          <w:b/>
        </w:rPr>
        <w:t xml:space="preserve">Who reads this page (and what they want first):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Sustainability / ESG manager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my Scope 1/2/3 report-ready? Both Scope 2 methods?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External auditor / assurance provider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Can I trace every number to a source? Is the method right?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CFO / asset manager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What’s my carbon cost and which buildings are a stranding liability?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ESG consultancy (your best client)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Can I resell this as a productised CSRD dashboard?</w:t>
      </w:r>
      <w: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Page 6 = ESG/CSRD raporlama sayfası. İlk bakan kişi</w:t>
      </w:r>
      <w:r>
        <w:t xml:space="preserve"> </w:t>
      </w:r>
      <w:r>
        <w:t xml:space="preserve">“</w:t>
      </w:r>
      <w:r>
        <w:t xml:space="preserve">Scope 1/2/3 hazır mı, iki Scope-2</w:t>
      </w:r>
      <w:r>
        <w:t xml:space="preserve"> </w:t>
      </w:r>
      <w:r>
        <w:t xml:space="preserve">metodu da var mı, hangi binam stranded?</w:t>
      </w:r>
      <w:r>
        <w:t xml:space="preserve">”</w:t>
      </w:r>
      <w:r>
        <w:t xml:space="preserve"> </w:t>
      </w:r>
      <w:r>
        <w:t xml:space="preserve">diye sorar. Sen bunların hepsine görselle cevap veriyorsun.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1fb8cbcf42eebcb06f8298acb58217d861cc4b6"/>
      <w:r>
        <w:t xml:space="preserve">2. The vocabulary you must own (the standards behind the page)</w:t>
      </w:r>
      <w:bookmarkEnd w:id="22"/>
    </w:p>
    <w:p>
      <w:pPr>
        <w:pStyle w:val="FirstParagraph"/>
      </w:pPr>
      <w:r>
        <w:t xml:space="preserve">Memorise the difference, because clients test it in the first five minutes.</w:t>
      </w:r>
    </w:p>
    <w:p>
      <w:pPr>
        <w:pStyle w:val="BodyText"/>
      </w:pPr>
      <w:r>
        <w:rPr>
          <w:b/>
        </w:rPr>
        <w:t xml:space="preserve">GHG Protocol — the</w:t>
      </w:r>
      <w:r>
        <w:rPr>
          <w:b/>
        </w:rPr>
        <w:t xml:space="preserve"> </w:t>
      </w:r>
      <w:r>
        <w:rPr>
          <w:i/>
          <w:b/>
        </w:rPr>
        <w:t xml:space="preserve">method</w:t>
      </w:r>
      <w:r>
        <w:rPr>
          <w:b/>
        </w:rPr>
        <w:t xml:space="preserve"> </w:t>
      </w:r>
      <w:r>
        <w:rPr>
          <w:b/>
        </w:rPr>
        <w:t xml:space="preserve">(HOW you calculate).</w:t>
      </w:r>
      <w:r>
        <w:t xml:space="preserve"> </w:t>
      </w:r>
      <w:r>
        <w:t xml:space="preserve">Published by WRI + WBCSD. Splits emissions</w:t>
      </w:r>
      <w:r>
        <w:t xml:space="preserve"> </w:t>
      </w:r>
      <w:r>
        <w:t xml:space="preserve">into three scopes. This is the calculation rulebook.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 1 — direct:</w:t>
      </w:r>
      <w:r>
        <w:t xml:space="preserve"> </w:t>
      </w:r>
      <w:r>
        <w:t xml:space="preserve">what</w:t>
      </w:r>
      <w:r>
        <w:t xml:space="preserve"> </w:t>
      </w:r>
      <w:r>
        <w:rPr>
          <w:i/>
        </w:rPr>
        <w:t xml:space="preserve">you</w:t>
      </w:r>
      <w:r>
        <w:t xml:space="preserve"> </w:t>
      </w:r>
      <w:r>
        <w:t xml:space="preserve">burn/leak. Gas boilers, fleet diesel,</w:t>
      </w:r>
      <w:r>
        <w:t xml:space="preserve"> </w:t>
      </w:r>
      <w:r>
        <w:rPr>
          <w:b/>
        </w:rPr>
        <w:t xml:space="preserve">refrigerant leaks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 2 — purchased energy:</w:t>
      </w:r>
      <w:r>
        <w:t xml:space="preserve"> </w:t>
      </w:r>
      <w:r>
        <w:t xml:space="preserve">the grid electricity / heat you buy. Reported</w:t>
      </w:r>
      <w:r>
        <w:t xml:space="preserve"> </w:t>
      </w:r>
      <w:r>
        <w:rPr>
          <w:b/>
        </w:rPr>
        <w:t xml:space="preserve">two ways</w:t>
      </w:r>
      <w:r>
        <w:t xml:space="preserve"> </w:t>
      </w:r>
      <w:r>
        <w:t xml:space="preserve">(see §4).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 3 — everything else in the value chain:</w:t>
      </w:r>
      <w:r>
        <w:t xml:space="preserve"> </w:t>
      </w:r>
      <w:r>
        <w:t xml:space="preserve">15 categories. For buildings the material ones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Cat 13 (tenant energy)</w:t>
      </w:r>
      <w:r>
        <w:t xml:space="preserve">,</w:t>
      </w:r>
      <w:r>
        <w:t xml:space="preserve"> </w:t>
      </w:r>
      <w:r>
        <w:rPr>
          <w:b/>
        </w:rPr>
        <w:t xml:space="preserve">Cat 1 (embodied carbon of materials)</w:t>
      </w:r>
      <w:r>
        <w:t xml:space="preserve">,</w:t>
      </w:r>
      <w:r>
        <w:t xml:space="preserve"> </w:t>
      </w:r>
      <w:r>
        <w:rPr>
          <w:b/>
        </w:rPr>
        <w:t xml:space="preserve">Cat 3 (fuel &amp; energy</w:t>
      </w:r>
      <w:r>
        <w:rPr>
          <w:b/>
        </w:rPr>
        <w:t xml:space="preserve"> </w:t>
      </w:r>
      <w:r>
        <w:rPr>
          <w:b/>
        </w:rPr>
        <w:t xml:space="preserve">upstream)</w:t>
      </w:r>
      <w:r>
        <w:t xml:space="preserve">, and Cat 5/6/7 (waste / travel / commuting).</w:t>
      </w:r>
    </w:p>
    <w:p>
      <w:pPr>
        <w:pStyle w:val="FirstParagraph"/>
      </w:pPr>
      <w:r>
        <w:rPr>
          <w:b/>
        </w:rPr>
        <w:t xml:space="preserve">ESRS E1-6 — the</w:t>
      </w:r>
      <w:r>
        <w:rPr>
          <w:b/>
        </w:rPr>
        <w:t xml:space="preserve"> </w:t>
      </w:r>
      <w:r>
        <w:rPr>
          <w:i/>
          <w:b/>
        </w:rPr>
        <w:t xml:space="preserve">disclosure</w:t>
      </w:r>
      <w:r>
        <w:rPr>
          <w:b/>
        </w:rPr>
        <w:t xml:space="preserve"> </w:t>
      </w:r>
      <w:r>
        <w:rPr>
          <w:b/>
        </w:rPr>
        <w:t xml:space="preserve">(WHAT you must report).</w:t>
      </w:r>
      <w:r>
        <w:t xml:space="preserve"> </w:t>
      </w:r>
      <w:r>
        <w:t xml:space="preserve">Part of the EU’s CSRD. Requires gross</w:t>
      </w:r>
      <w:r>
        <w:t xml:space="preserve"> </w:t>
      </w:r>
      <w:r>
        <w:t xml:space="preserve">Scope 1, 2, 3 and total, with Scope 2 shown</w:t>
      </w:r>
      <w:r>
        <w:t xml:space="preserve"> </w:t>
      </w:r>
      <w:r>
        <w:rPr>
          <w:b/>
        </w:rPr>
        <w:t xml:space="preserve">both location- and market-based</w:t>
      </w:r>
      <w:r>
        <w:t xml:space="preserve">. ESRS</w:t>
      </w:r>
      <w:r>
        <w:t xml:space="preserve"> </w:t>
      </w:r>
      <w:r>
        <w:rPr>
          <w:i/>
        </w:rPr>
        <w:t xml:space="preserve">references</w:t>
      </w:r>
      <w:r>
        <w:t xml:space="preserve"> </w:t>
      </w:r>
      <w:r>
        <w:t xml:space="preserve">the GHG Protocol — they go together but are different documents.</w:t>
      </w:r>
    </w:p>
    <w:p>
      <w:pPr>
        <w:pStyle w:val="BodyText"/>
      </w:pPr>
      <w:r>
        <w:rPr>
          <w:b/>
        </w:rPr>
        <w:t xml:space="preserve">CRREM — Carbon Risk Real Estate Monitor.</w:t>
      </w:r>
      <w:r>
        <w:t xml:space="preserve"> </w:t>
      </w:r>
      <w:r>
        <w:t xml:space="preserve">A science-based decarbonisation pathway (allowed</w:t>
      </w:r>
      <w:r>
        <w:t xml:space="preserve"> </w:t>
      </w:r>
      <w:r>
        <w:t xml:space="preserve">kg CO₂/m²/yr falling year by year to stay within 1.5/2 °C). The year a building’s intensity crosses</w:t>
      </w:r>
      <w:r>
        <w:t xml:space="preserve"> </w:t>
      </w:r>
      <w:r>
        <w:t xml:space="preserve">above the curve is its</w:t>
      </w:r>
      <w:r>
        <w:t xml:space="preserve"> </w:t>
      </w:r>
      <w:r>
        <w:rPr>
          <w:b/>
        </w:rPr>
        <w:t xml:space="preserve">stranding year</w:t>
      </w:r>
      <w:r>
        <w:t xml:space="preserve"> </w:t>
      </w:r>
      <w:r>
        <w:t xml:space="preserve">— when it risks becoming a regulatory/market liability.</w:t>
      </w:r>
      <w:r>
        <w:t xml:space="preserve"> </w:t>
      </w:r>
      <w:r>
        <w:t xml:space="preserve">CRREM compares on a</w:t>
      </w:r>
      <w:r>
        <w:t xml:space="preserve"> </w:t>
      </w:r>
      <w:r>
        <w:rPr>
          <w:b/>
        </w:rPr>
        <w:t xml:space="preserve">Scope 1+2</w:t>
      </w:r>
      <w:r>
        <w:t xml:space="preserve"> </w:t>
      </w:r>
      <w:r>
        <w:t xml:space="preserve">basis (it excludes Scope 3).</w:t>
      </w:r>
    </w:p>
    <w:p>
      <w:pPr>
        <w:pStyle w:val="BodyText"/>
      </w:pPr>
      <w:r>
        <w:rPr>
          <w:b/>
        </w:rPr>
        <w:t xml:space="preserve">EPC — Energy Performance Certificate.</w:t>
      </w:r>
      <w:r>
        <w:t xml:space="preserve"> </w:t>
      </w:r>
      <w:r>
        <w:t xml:space="preserve">National A+→G rating (kWh/m²/yr). Compliance / MEPS signal.</w:t>
      </w:r>
    </w:p>
    <w:p>
      <w:pPr>
        <w:pStyle w:val="BodyText"/>
      </w:pPr>
      <w:r>
        <w:rPr>
          <w:b/>
        </w:rPr>
        <w:t xml:space="preserve">Disclosure-grade vs estimate — the honesty concept.</w:t>
      </w:r>
      <w:r>
        <w:t xml:space="preserve"> </w:t>
      </w:r>
      <w:r>
        <w:t xml:space="preserve">A number is</w:t>
      </w:r>
      <w:r>
        <w:t xml:space="preserve"> </w:t>
      </w:r>
      <w:r>
        <w:rPr>
          <w:i/>
        </w:rPr>
        <w:t xml:space="preserve">disclosure-grade</w:t>
      </w:r>
      <w:r>
        <w:t xml:space="preserve"> </w:t>
      </w:r>
      <w:r>
        <w:t xml:space="preserve">when it’s</w:t>
      </w:r>
      <w:r>
        <w:t xml:space="preserve"> </w:t>
      </w:r>
      <w:r>
        <w:t xml:space="preserve">real measured data × a sourced factor with full lineage (Scope 1 &amp; 2 here). It’s an</w:t>
      </w:r>
      <w:r>
        <w:t xml:space="preserve"> </w:t>
      </w:r>
      <w:r>
        <w:rPr>
          <w:i/>
        </w:rPr>
        <w:t xml:space="preserve">estimate</w:t>
      </w:r>
      <w:r>
        <w:t xml:space="preserve"> </w:t>
      </w:r>
      <w:r>
        <w:t xml:space="preserve">when</w:t>
      </w:r>
      <w:r>
        <w:t xml:space="preserve"> </w:t>
      </w:r>
      <w:r>
        <w:t xml:space="preserve">it relies on screening factors or benchmarks (Scope 3 here). You</w:t>
      </w:r>
      <w:r>
        <w:t xml:space="preserve"> </w:t>
      </w:r>
      <w:r>
        <w:rPr>
          <w:b/>
        </w:rPr>
        <w:t xml:space="preserve">always label estimates</w:t>
      </w:r>
      <w:r>
        <w:t xml:space="preserve"> </w:t>
      </w:r>
      <w:r>
        <w:t xml:space="preserve">— that</w:t>
      </w:r>
      <w:r>
        <w:t xml:space="preserve"> </w:t>
      </w:r>
      <w:r>
        <w:t xml:space="preserve">honesty is what an auditor and an academic reward.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rPr>
          <w:b/>
        </w:rPr>
        <w:t xml:space="preserve">ESRS = NE raporlayacağın, GHG Protocol = NASIL hesaplayacağın.</w:t>
      </w:r>
      <w:r>
        <w:t xml:space="preserve"> </w:t>
      </w:r>
      <w:r>
        <w:t xml:space="preserve">İkisi farklı seviye.</w:t>
      </w:r>
      <w:r>
        <w:t xml:space="preserve"> </w:t>
      </w:r>
      <w:r>
        <w:t xml:space="preserve">CRREM Scope 1+2 bazında çalışır (Scope 3 hariç).</w:t>
      </w:r>
      <w:r>
        <w:t xml:space="preserve"> </w:t>
      </w:r>
      <w:r>
        <w:t xml:space="preserve">“</w:t>
      </w:r>
      <w:r>
        <w:t xml:space="preserve">Disclosure-grade</w:t>
      </w:r>
      <w:r>
        <w:t xml:space="preserve">”</w:t>
      </w:r>
      <w:r>
        <w:t xml:space="preserve"> </w:t>
      </w:r>
      <w:r>
        <w:t xml:space="preserve">= gerçek veri × kaynaklı</w:t>
      </w:r>
      <w:r>
        <w:t xml:space="preserve"> </w:t>
      </w:r>
      <w:r>
        <w:t xml:space="preserve">faktör;</w:t>
      </w:r>
      <w:r>
        <w:t xml:space="preserve"> </w:t>
      </w:r>
      <w:r>
        <w:t xml:space="preserve">“</w:t>
      </w:r>
      <w:r>
        <w:t xml:space="preserve">estimate</w:t>
      </w:r>
      <w:r>
        <w:t xml:space="preserve">”</w:t>
      </w:r>
      <w:r>
        <w:t xml:space="preserve"> </w:t>
      </w:r>
      <w:r>
        <w:t xml:space="preserve">= benchmark/tahmin → her zaman etiketle.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b81f5a7ea6b41b5b80628b2ce7f213ac53ac72a"/>
      <w:r>
        <w:t xml:space="preserve">3. The data engine behind every number (lineage — your credibility weapon)</w:t>
      </w:r>
      <w:bookmarkEnd w:id="23"/>
    </w:p>
    <w:p>
      <w:pPr>
        <w:pStyle w:val="FirstParagraph"/>
      </w:pPr>
      <w:r>
        <w:t xml:space="preserve">Every number on Page 6 comes from</w:t>
      </w:r>
      <w:r>
        <w:t xml:space="preserve"> </w:t>
      </w:r>
      <w:r>
        <w:rPr>
          <w:b/>
        </w:rPr>
        <w:t xml:space="preserve">two gold tables</w:t>
      </w:r>
      <w:r>
        <w:t xml:space="preserve">, fed by a</w:t>
      </w:r>
      <w:r>
        <w:t xml:space="preserve"> </w:t>
      </w:r>
      <w:r>
        <w:rPr>
          <w:b/>
        </w:rPr>
        <w:t xml:space="preserve">sourced reference layer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gold_ghg_scope</w:t>
      </w:r>
      <w:r>
        <w:t xml:space="preserve"> </w:t>
      </w:r>
      <w:r>
        <w:t xml:space="preserve">— one row per building × month, with every scope/sub-component as a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scope1_gas/diesel/refrigerant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scope2_location/market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scope3_cat1/3/5/6/7/13</w:t>
      </w:r>
      <w:r>
        <w:t xml:space="preserve">, totals,</w:t>
      </w:r>
      <w:r>
        <w:t xml:space="preserve"> </w:t>
      </w:r>
      <w:r>
        <w:t xml:space="preserve">method flags,</w:t>
      </w:r>
      <w:r>
        <w:t xml:space="preserve"> </w:t>
      </w:r>
      <w:r>
        <w:rPr>
          <w:rStyle w:val="VerbatimChar"/>
        </w:rPr>
        <w:t xml:space="preserve">scope3_disclosure_grade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gold_ghg_breakdown_long</w:t>
      </w:r>
      <w:r>
        <w:t xml:space="preserve"> </w:t>
      </w:r>
      <w:r>
        <w:t xml:space="preserve">— the same data</w:t>
      </w:r>
      <w:r>
        <w:t xml:space="preserve"> </w:t>
      </w:r>
      <w:r>
        <w:rPr>
          <w:b/>
        </w:rPr>
        <w:t xml:space="preserve">unpivoted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dimension, so</w:t>
      </w:r>
      <w:r>
        <w:t xml:space="preserve"> </w:t>
      </w:r>
      <w:r>
        <w:t xml:space="preserve">one measure (</w:t>
      </w:r>
      <w:r>
        <w:rPr>
          <w:rStyle w:val="VerbatimChar"/>
        </w:rPr>
        <w:t xml:space="preserve">Emissions tCO2e</w:t>
      </w:r>
      <w:r>
        <w:t xml:space="preserve">) drives the drillable category visuals.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Reference layer (single source of truth):</w:t>
      </w:r>
      <w:r>
        <w:t xml:space="preserve"> </w:t>
      </w:r>
      <w:r>
        <w:rPr>
          <w:rStyle w:val="VerbatimChar"/>
        </w:rPr>
        <w:t xml:space="preserve">ref_grid_emission_factors</w:t>
      </w:r>
      <w:r>
        <w:t xml:space="preserve"> </w:t>
      </w:r>
      <w:r>
        <w:t xml:space="preserve">(UBA, EEA),</w:t>
      </w:r>
      <w:r>
        <w:t xml:space="preserve"> </w:t>
      </w:r>
      <w:r>
        <w:rPr>
          <w:rStyle w:val="VerbatimChar"/>
        </w:rPr>
        <w:t xml:space="preserve">ref_residual_mix</w:t>
      </w:r>
      <w:r>
        <w:t xml:space="preserve"> </w:t>
      </w:r>
      <w:r>
        <w:t xml:space="preserve">(AIB),</w:t>
      </w:r>
      <w:r>
        <w:t xml:space="preserve"> </w:t>
      </w:r>
      <w:r>
        <w:rPr>
          <w:rStyle w:val="VerbatimChar"/>
        </w:rPr>
        <w:t xml:space="preserve">ref_fuel_factors</w:t>
      </w:r>
      <w:r>
        <w:t xml:space="preserve"> </w:t>
      </w:r>
      <w:r>
        <w:t xml:space="preserve">(DEFRA),</w:t>
      </w:r>
      <w:r>
        <w:t xml:space="preserve"> </w:t>
      </w:r>
      <w:r>
        <w:rPr>
          <w:rStyle w:val="VerbatimChar"/>
        </w:rPr>
        <w:t xml:space="preserve">ref_refrigerant_gwp</w:t>
      </w:r>
      <w:r>
        <w:t xml:space="preserve"> </w:t>
      </w:r>
      <w:r>
        <w:t xml:space="preserve">(IPCC),</w:t>
      </w:r>
      <w:r>
        <w:t xml:space="preserve"> </w:t>
      </w:r>
      <w:r>
        <w:rPr>
          <w:rStyle w:val="VerbatimChar"/>
        </w:rPr>
        <w:t xml:space="preserve">ref_embodied_carbon</w:t>
      </w:r>
      <w:r>
        <w:t xml:space="preserve"> </w:t>
      </w:r>
      <w:r>
        <w:t xml:space="preserve">(RICS/LETI) — each row carries source + URL + year.</w:t>
      </w:r>
    </w:p>
    <w:p>
      <w:pPr>
        <w:pStyle w:val="FirstParagraph"/>
      </w:pPr>
      <w:r>
        <w:rPr>
          <w:b/>
        </w:rPr>
        <w:t xml:space="preserve">The sentence that wins trust: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Every disclosed kg of CO₂ traces back through a sourced,</w:t>
      </w:r>
      <w:r>
        <w:rPr>
          <w:i/>
        </w:rPr>
        <w:t xml:space="preserve"> </w:t>
      </w:r>
      <w:r>
        <w:rPr>
          <w:i/>
        </w:rPr>
        <w:t xml:space="preserve">year-indexed factor to a raw consumption row — that’s the row-level lineage an auditor needs, and</w:t>
      </w:r>
      <w:r>
        <w:rPr>
          <w:i/>
        </w:rPr>
        <w:t xml:space="preserve"> </w:t>
      </w:r>
      <w:r>
        <w:rPr>
          <w:i/>
        </w:rPr>
        <w:t xml:space="preserve">it’s exactly what Microsoft Fabric’s medallion architecture gives me.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The honest provenance line (say it before they ask):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operational data here is synthetic</w:t>
      </w:r>
      <w:r>
        <w:rPr>
          <w:i/>
        </w:rPr>
        <w:t xml:space="preserve"> </w:t>
      </w:r>
      <w:r>
        <w:rPr>
          <w:i/>
        </w:rPr>
        <w:t xml:space="preserve">demo data for 10 representative buildings — flagged</w:t>
      </w:r>
      <w:r>
        <w:rPr>
          <w:i/>
        </w:rPr>
        <w:t xml:space="preserve"> </w:t>
      </w:r>
      <w:r>
        <w:rPr>
          <w:rStyle w:val="VerbatimChar"/>
          <w:i/>
        </w:rPr>
        <w:t xml:space="preserve">synthetic_demo</w:t>
      </w:r>
      <w:r>
        <w:rPr>
          <w:i/>
        </w:rPr>
        <w:t xml:space="preserve">. The methodology and every</w:t>
      </w:r>
      <w:r>
        <w:rPr>
          <w:i/>
        </w:rPr>
        <w:t xml:space="preserve"> </w:t>
      </w:r>
      <w:r>
        <w:rPr>
          <w:i/>
        </w:rPr>
        <w:t xml:space="preserve">emission factor are real. The moment a client’s real meter/contract data lands, it replaces the</w:t>
      </w:r>
      <w:r>
        <w:rPr>
          <w:i/>
        </w:rPr>
        <w:t xml:space="preserve"> </w:t>
      </w:r>
      <w:r>
        <w:rPr>
          <w:i/>
        </w:rPr>
        <w:t xml:space="preserve">same tables and the numbers become that building’s actual footprint — the engine doesn’t change.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İki gold tablo (</w:t>
      </w:r>
      <w:r>
        <w:rPr>
          <w:rStyle w:val="VerbatimChar"/>
        </w:rPr>
        <w:t xml:space="preserve">gold_ghg_scope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gold_ghg_breakdown_long</w:t>
      </w:r>
      <w:r>
        <w:t xml:space="preserve">) + kaynaklı referans katmanı.</w:t>
      </w:r>
      <w:r>
        <w:t xml:space="preserve"> </w:t>
      </w:r>
      <w:r>
        <w:t xml:space="preserve">Satış cümlesi:</w:t>
      </w:r>
      <w:r>
        <w:t xml:space="preserve"> </w:t>
      </w:r>
      <w:r>
        <w:t xml:space="preserve">“</w:t>
      </w:r>
      <w:r>
        <w:t xml:space="preserve">Her kg CO₂ ham satıra kadar izlenebilir</w:t>
      </w:r>
      <w:r>
        <w:t xml:space="preserve">”</w:t>
      </w:r>
      <w:r>
        <w:t xml:space="preserve"> </w:t>
      </w:r>
      <w:r>
        <w:t xml:space="preserve">(lineage). Dürüstlük cümlesi:</w:t>
      </w:r>
      <w:r>
        <w:t xml:space="preserve"> </w:t>
      </w:r>
      <w:r>
        <w:t xml:space="preserve">“</w:t>
      </w:r>
      <w:r>
        <w:t xml:space="preserve">operasyonel</w:t>
      </w:r>
      <w:r>
        <w:t xml:space="preserve"> </w:t>
      </w:r>
      <w:r>
        <w:t xml:space="preserve">veri sentetik, metodoloji+faktör gerçek; pilot gelince aynı tabloyu değiştir, motor değişmez.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the-top-kpi-cards-read-tell-calc-know"/>
      <w:r>
        <w:t xml:space="preserve">4. The top KPI cards — read / tell / calc / know</w:t>
      </w:r>
      <w:bookmarkEnd w:id="24"/>
    </w:p>
    <w:p>
      <w:pPr>
        <w:pStyle w:val="Heading3"/>
      </w:pPr>
      <w:bookmarkStart w:id="25" w:name="ghg-intensity-kgco₂m²yr-e.g.-490.8"/>
      <w:r>
        <w:t xml:space="preserve">GHG Intensity (kgCO₂/m²/yr) · e.g. 490.8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portfolio carbon per square metre of conditioned floor area.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efficiency benchmark — lets you compare a small office to a huge datacenter fairly.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rPr>
          <w:rStyle w:val="VerbatimChar"/>
        </w:rPr>
        <w:t xml:space="preserve">(Scope 1 + Scope 2) tCO₂ × 1000 / conditioned_area_m²</w:t>
      </w:r>
      <w:r>
        <w:t xml:space="preserve">.</w:t>
      </w:r>
      <w:r>
        <w:t xml:space="preserve"> </w:t>
      </w:r>
      <w:r>
        <w:rPr>
          <w:b/>
        </w:rPr>
        <w:t xml:space="preserve">Scope 1+2 only</w:t>
      </w:r>
      <w:r>
        <w:t xml:space="preserve"> </w:t>
      </w:r>
      <w:r>
        <w:t xml:space="preserve">(operational)</w:t>
      </w:r>
      <w:r>
        <w:t xml:space="preserve"> </w:t>
      </w:r>
      <w:r>
        <w:t xml:space="preserve">— deliberately</w:t>
      </w:r>
      <w:r>
        <w:t xml:space="preserve"> </w:t>
      </w:r>
      <w:r>
        <w:rPr>
          <w:i/>
        </w:rPr>
        <w:t xml:space="preserve">excludes</w:t>
      </w:r>
      <w:r>
        <w:t xml:space="preserve"> </w:t>
      </w:r>
      <w:r>
        <w:t xml:space="preserve">Scope 3, so it matches the CRREM basis.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datacenters/hospitals are naturally very high (2000+); offices ~50–150. A high portfolio</w:t>
      </w:r>
      <w:r>
        <w:t xml:space="preserve"> </w:t>
      </w:r>
      <w:r>
        <w:t xml:space="preserve">number usually means a few heavy assets, not a calculation error.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Intensity is Scope 1+2 per m² — the same basis as CRREM, so the two visuals are consistent.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m² başına karbon (S1+2). CRREM ile aynı baz olması önemli — Scope 3 KATMA.</w:t>
      </w:r>
    </w:p>
    <w:p>
      <w:pPr>
        <w:pStyle w:val="Heading3"/>
      </w:pPr>
      <w:bookmarkStart w:id="26" w:name="epc-portfolio-grade-e.g.-d"/>
      <w:r>
        <w:t xml:space="preserve">EPC Portfolio Grade · e.g. D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the portfolio’s energy-performance grade, A+ (best) to G (worst).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regulatory exposure — under the EPBD/MEPS, the worst grades must be renovated by</w:t>
      </w:r>
      <w:r>
        <w:t xml:space="preserve"> </w:t>
      </w:r>
      <w:r>
        <w:t xml:space="preserve">2030/2033.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rPr>
          <w:b/>
        </w:rPr>
        <w:t xml:space="preserve">area-weighted</w:t>
      </w:r>
      <w:r>
        <w:t xml:space="preserve"> </w:t>
      </w:r>
      <w:r>
        <w:t xml:space="preserve">across buildings:</w:t>
      </w:r>
      <w:r>
        <w:t xml:space="preserve"> </w:t>
      </w:r>
      <w:r>
        <w:rPr>
          <w:rStyle w:val="VerbatimChar"/>
        </w:rPr>
        <w:t xml:space="preserve">Σ(area × EPC_score) / Σ(area)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plain</w:t>
      </w:r>
      <w:r>
        <w:t xml:space="preserve"> </w:t>
      </w:r>
      <w:r>
        <w:t xml:space="preserve">average. (A plain average is a classic audit failure: a 50 m² building must not count the same as</w:t>
      </w:r>
      <w:r>
        <w:t xml:space="preserve"> </w:t>
      </w:r>
      <w:r>
        <w:t xml:space="preserve">a 50,000 m² one.)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EPC ratings come from the national register / the building’s Energieausweis. In the demo</w:t>
      </w:r>
      <w:r>
        <w:t xml:space="preserve"> </w:t>
      </w:r>
      <w:r>
        <w:t xml:space="preserve">they’re representative.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portfolio grade is area-weighted, so it reflects where the floor area actually is —</w:t>
      </w:r>
      <w:r>
        <w:rPr>
          <w:i/>
        </w:rPr>
        <w:t xml:space="preserve"> </w:t>
      </w:r>
      <w:r>
        <w:rPr>
          <w:i/>
        </w:rPr>
        <w:t xml:space="preserve">the way an auditor expects.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EPC notu</w:t>
      </w:r>
      <w:r>
        <w:t xml:space="preserve"> </w:t>
      </w:r>
      <w:r>
        <w:rPr>
          <w:b/>
        </w:rPr>
        <w:t xml:space="preserve">alan-ağırlıklı</w:t>
      </w:r>
      <w:r>
        <w:t xml:space="preserve"> </w:t>
      </w:r>
      <w:r>
        <w:t xml:space="preserve">(düz ortalama denetim hatası). MEPS riski sinyali.</w:t>
      </w:r>
    </w:p>
    <w:p>
      <w:pPr>
        <w:pStyle w:val="Heading3"/>
      </w:pPr>
      <w:bookmarkStart w:id="27" w:name="Xf9651df776e3b10422c91a756ceec3d7f047c55"/>
      <w:r>
        <w:t xml:space="preserve">Scope 1 / 2 / 3 split (multi-row card) · e.g. 3.0K / 35.5K / 29.8K tCO₂e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the headline footprint composition — how much of total emissions is each scope.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rPr>
          <w:i/>
        </w:rPr>
        <w:t xml:space="preserve">where the carbon is.</w:t>
      </w:r>
      <w:r>
        <w:t xml:space="preserve"> </w:t>
      </w:r>
      <w:r>
        <w:t xml:space="preserve">Here Scope 2 (purchased electricity) dominates, Scope 1 is small</w:t>
      </w:r>
      <w:r>
        <w:t xml:space="preserve"> </w:t>
      </w:r>
      <w:r>
        <w:t xml:space="preserve">(mostly gas), Scope 3 is large (embodied + tenant + upstream).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three measures —</w:t>
      </w:r>
      <w:r>
        <w:t xml:space="preserve"> </w:t>
      </w:r>
      <w:r>
        <w:rPr>
          <w:rStyle w:val="VerbatimChar"/>
        </w:rPr>
        <w:t xml:space="preserve">Scope 1 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 2 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 3 Total (est.)</w:t>
      </w:r>
      <w:r>
        <w:t xml:space="preserve">. They sum to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Total GHG (location)</w:t>
      </w:r>
      <w:r>
        <w:t xml:space="preserve"> </w:t>
      </w:r>
      <w:r>
        <w:t xml:space="preserve">card — always reconcile these.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for most building portfolios</w:t>
      </w:r>
      <w:r>
        <w:t xml:space="preserve"> </w:t>
      </w:r>
      <w:r>
        <w:rPr>
          <w:b/>
        </w:rPr>
        <w:t xml:space="preserve">Scope 3 is the biggest bucket</w:t>
      </w:r>
      <w:r>
        <w:t xml:space="preserve"> </w:t>
      </w:r>
      <w:r>
        <w:t xml:space="preserve">in reality (tenant energy);</w:t>
      </w:r>
      <w:r>
        <w:t xml:space="preserve"> </w:t>
      </w:r>
      <w:r>
        <w:t xml:space="preserve">here it’s an estimate, clearly flagged.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is the composition an ESRS E1-6 reader wants first — and notice Scope 3 is material,</w:t>
      </w:r>
      <w:r>
        <w:rPr>
          <w:i/>
        </w:rPr>
        <w:t xml:space="preserve"> </w:t>
      </w:r>
      <w:r>
        <w:rPr>
          <w:i/>
        </w:rPr>
        <w:t xml:space="preserve">which is why we model it by category, not as a flat percentage.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Footprint kompozisyonu. Üç sayı = Total GHG location ile tutmalı. Gerçekte Scope 3 (kiracı)</w:t>
      </w:r>
      <w:r>
        <w:t xml:space="preserve"> </w:t>
      </w:r>
      <w:r>
        <w:t xml:space="preserve">en büyük kovadır.</w:t>
      </w:r>
    </w:p>
    <w:p>
      <w:pPr>
        <w:pStyle w:val="Heading3"/>
      </w:pPr>
      <w:bookmarkStart w:id="28" w:name="Xfd7dc56064ed1f44eabfabab043f4e6e71400e4"/>
      <w:r>
        <w:t xml:space="preserve">Total GHG — location (68.4K) vs market (88.9K) tCO₂e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the same total footprint computed two ways for Scope 2.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ESRS E1-6 dual-reporting</w:t>
      </w:r>
      <w:r>
        <w:t xml:space="preserve"> </w:t>
      </w:r>
      <w:r>
        <w:t xml:space="preserve">story. Market &gt; location here because most supply is</w:t>
      </w:r>
      <w:r>
        <w:t xml:space="preserve"> </w:t>
      </w:r>
      <w:r>
        <w:rPr>
          <w:i/>
        </w:rPr>
        <w:t xml:space="preserve">unbacked</w:t>
      </w:r>
      <w:r>
        <w:t xml:space="preserve"> </w:t>
      </w:r>
      <w:r>
        <w:t xml:space="preserve">→ priced at the dirtier</w:t>
      </w:r>
      <w:r>
        <w:t xml:space="preserve"> </w:t>
      </w:r>
      <w:r>
        <w:rPr>
          <w:b/>
        </w:rPr>
        <w:t xml:space="preserve">residual mix</w:t>
      </w:r>
      <w:r>
        <w:t xml:space="preserve"> </w:t>
      </w:r>
      <w:r>
        <w:t xml:space="preserve">(see §5).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rPr>
          <w:rStyle w:val="VerbatimChar"/>
        </w:rPr>
        <w:t xml:space="preserve">Scope1 + Scope2(location or market) + Scope3</w:t>
      </w:r>
      <w:r>
        <w:t xml:space="preserve">. Only the Scope 2 component differs.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a green-contract building flips it the other way (market &lt;&lt; location). The portfolio shows</w:t>
      </w:r>
      <w:r>
        <w:t xml:space="preserve"> </w:t>
      </w:r>
      <w:r>
        <w:t xml:space="preserve">both — that’s correct.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Both numbers are mandatory under ESRS E1-6. The gap is the real story: it shows how much</w:t>
      </w:r>
      <w:r>
        <w:rPr>
          <w:i/>
        </w:rPr>
        <w:t xml:space="preserve"> </w:t>
      </w:r>
      <w:r>
        <w:rPr>
          <w:i/>
        </w:rPr>
        <w:t xml:space="preserve">of your supply is backed by green contracts versus exposed to the residual mix.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Aynı toplam, iki Scope-2 metodu. Market &gt; location = tedarik çoğunlukla sözleşmesiz →</w:t>
      </w:r>
      <w:r>
        <w:t xml:space="preserve"> </w:t>
      </w:r>
      <w:r>
        <w:t xml:space="preserve">residual mix (daha kirli). İkisi de ESRS zorunlu.</w:t>
      </w:r>
    </w:p>
    <w:p>
      <w:pPr>
        <w:pStyle w:val="Heading3"/>
      </w:pPr>
      <w:bookmarkStart w:id="29" w:name="co₂-carbon-levy-e.g.-143650"/>
      <w:r>
        <w:t xml:space="preserve">CO₂ Carbon Levy · e.g. €143,650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the estimated annual carbon-cost exposure of the portfolio.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financial</w:t>
      </w:r>
      <w:r>
        <w:t xml:space="preserve"> </w:t>
      </w:r>
      <w:r>
        <w:t xml:space="preserve">translation of emissions — what carbon pricing (EU ETS / the coming</w:t>
      </w:r>
      <w:r>
        <w:t xml:space="preserve"> </w:t>
      </w:r>
      <w:r>
        <w:t xml:space="preserve">ETS2 for buildings) could cost.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rPr>
          <w:rStyle w:val="VerbatimChar"/>
        </w:rPr>
        <w:t xml:space="preserve">emissions tCO₂ × carbon_price €/t</w:t>
      </w:r>
      <w:r>
        <w:t xml:space="preserve"> </w:t>
      </w:r>
      <w:r>
        <w:t xml:space="preserve">(EU ETS ~€60–80/t range).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this is what makes a CFO care — it turns</w:t>
      </w:r>
      <w:r>
        <w:t xml:space="preserve"> </w:t>
      </w:r>
      <w:r>
        <w:t xml:space="preserve">“</w:t>
      </w:r>
      <w:r>
        <w:t xml:space="preserve">kg CO₂</w:t>
      </w:r>
      <w:r>
        <w:t xml:space="preserve">”</w:t>
      </w:r>
      <w:r>
        <w:t xml:space="preserve"> </w:t>
      </w:r>
      <w:r>
        <w:t xml:space="preserve">into euros. Label it an estimate; the</w:t>
      </w:r>
      <w:r>
        <w:t xml:space="preserve"> </w:t>
      </w:r>
      <w:r>
        <w:t xml:space="preserve">exact price and which scheme applies vary.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is the CFO line — it prices your carbon at the ETS rate, so decarbonisation becomes</w:t>
      </w:r>
      <w:r>
        <w:rPr>
          <w:i/>
        </w:rPr>
        <w:t xml:space="preserve"> </w:t>
      </w:r>
      <w:r>
        <w:rPr>
          <w:i/>
        </w:rPr>
        <w:t xml:space="preserve">a cost-avoidance number, not just a compliance one.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Emisyonun €karşılığı (ETS fiyatı). CFO’yu ilgilendiren kart — karbonu euroya çevirir.</w:t>
      </w:r>
    </w:p>
    <w:p>
      <w:pPr>
        <w:pStyle w:val="Heading3"/>
      </w:pPr>
      <w:bookmarkStart w:id="30" w:name="crrem-stranding-yr-e.g.-stranded"/>
      <w:r>
        <w:t xml:space="preserve">CRREM Stranding Yr · e.g. Stranded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the year the portfolio’s intensity crosses above the CRREM pathway (or</w:t>
      </w:r>
      <w:r>
        <w:t xml:space="preserve"> </w:t>
      </w:r>
      <w:r>
        <w:t xml:space="preserve">“</w:t>
      </w:r>
      <w:r>
        <w:t xml:space="preserve">Stranded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t xml:space="preserve">already past it).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rPr>
          <w:b/>
        </w:rPr>
        <w:t xml:space="preserve">asset-value risk</w:t>
      </w:r>
      <w:r>
        <w:t xml:space="preserve"> </w:t>
      </w:r>
      <w:r>
        <w:t xml:space="preserve">— a stranded asset loses value / faces forced retrofit.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carbon_intensity (S1+2 / m²)</w:t>
      </w:r>
      <w:r>
        <w:t xml:space="preserve"> </w:t>
      </w:r>
      <w:r>
        <w:t xml:space="preserve">to the type/region CRREM curve; the crossing year</w:t>
      </w:r>
      <w:r>
        <w:t xml:space="preserve"> </w:t>
      </w:r>
      <w:r>
        <w:t xml:space="preserve">is the stranding year.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REITs and asset managers care intensely about this. The pathways here are</w:t>
      </w:r>
      <w:r>
        <w:t xml:space="preserve"> </w:t>
      </w:r>
      <w:r>
        <w:rPr>
          <w:b/>
        </w:rPr>
        <w:t xml:space="preserve">indicative</w:t>
      </w:r>
      <w:r>
        <w:t xml:space="preserve"> </w:t>
      </w:r>
      <w:r>
        <w:t xml:space="preserve">1.5 °C anchors, not the licensed CRREM v2 dataset (CRREM opens a free Library mid-2026; embedding it</w:t>
      </w:r>
      <w:r>
        <w:t xml:space="preserve"> </w:t>
      </w:r>
      <w:r>
        <w:t xml:space="preserve">commercially needs a License Partner agreement).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Stranding is the investor’s number. My pathways are indicative today; the official CRREM</w:t>
      </w:r>
      <w:r>
        <w:rPr>
          <w:i/>
        </w:rPr>
        <w:t xml:space="preserve"> </w:t>
      </w:r>
      <w:r>
        <w:rPr>
          <w:i/>
        </w:rPr>
        <w:t xml:space="preserve">curves drop into one isolated module when I take the License Partner step.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Stranding = atıl-varlık riski (yatırımcı sayısı). Eğri</w:t>
      </w:r>
      <w:r>
        <w:t xml:space="preserve"> </w:t>
      </w:r>
      <w:r>
        <w:rPr>
          <w:b/>
        </w:rPr>
        <w:t xml:space="preserve">indikatif</w:t>
      </w:r>
      <w:r>
        <w:t xml:space="preserve"> </w:t>
      </w:r>
      <w:r>
        <w:t xml:space="preserve">(resmî CRREM v2 değil;</w:t>
      </w:r>
      <w:r>
        <w:t xml:space="preserve"> </w:t>
      </w:r>
      <w:r>
        <w:t xml:space="preserve">ticari gömme için License Partner). Karşılaştırma S1+2 bazında.</w:t>
      </w:r>
    </w:p>
    <w:p>
      <w:pPr>
        <w:pStyle w:val="Heading3"/>
      </w:pPr>
      <w:bookmarkStart w:id="31" w:name="Xfeee913a5ef742affdac466fbed292cbafcba4e"/>
      <w:r>
        <w:t xml:space="preserve">EU Carbon Score (27.1) · ESRS E1 data coverage % (100%) · Scope 3 status (</w:t>
      </w:r>
      <w:r>
        <w:t xml:space="preserve">“</w:t>
      </w:r>
      <w:r>
        <w:t xml:space="preserve">Estimated</w:t>
      </w:r>
      <w:r>
        <w:t xml:space="preserve">”</w:t>
      </w:r>
      <w:r>
        <w:t xml:space="preserve">)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EU Carbon Score: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platform-defined composite</w:t>
      </w:r>
      <w:r>
        <w:t xml:space="preserve"> </w:t>
      </w:r>
      <w:r>
        <w:t xml:space="preserve">(0–100): EUI vs benchmark, CO₂ intensity,</w:t>
      </w:r>
      <w:r>
        <w:t xml:space="preserve"> </w:t>
      </w:r>
      <w:r>
        <w:t xml:space="preserve">renewable share, compliance. Present it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our internal benchmark score,</w:t>
      </w:r>
      <w:r>
        <w:rPr>
          <w:i/>
        </w:rPr>
        <w:t xml:space="preserve">”</w:t>
      </w:r>
      <w:r>
        <w:t xml:space="preserve"> </w:t>
      </w:r>
      <w:r>
        <w:t xml:space="preserve">never an official rating.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ESRS E1 data coverage %:</w:t>
      </w:r>
      <w:r>
        <w:t xml:space="preserve"> </w:t>
      </w:r>
      <w:r>
        <w:t xml:space="preserve">the share of E1 datapoints you have</w:t>
      </w:r>
      <w:r>
        <w:t xml:space="preserve"> </w:t>
      </w:r>
      <w:r>
        <w:rPr>
          <w:i/>
        </w:rPr>
        <w:t xml:space="preserve">data</w:t>
      </w:r>
      <w:r>
        <w:t xml:space="preserve"> </w:t>
      </w:r>
      <w:r>
        <w:t xml:space="preserve">for — not a claim of</w:t>
      </w:r>
      <w:r>
        <w:t xml:space="preserve"> </w:t>
      </w:r>
      <w:r>
        <w:t xml:space="preserve">audit-readiness. Keep it paired with the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caption so coverage ≠ disclosure-grade.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Scope 3 status caption:</w:t>
      </w:r>
      <w:r>
        <w:t xml:space="preserve"> </w:t>
      </w:r>
      <w:r>
        <w:t xml:space="preserve">the honesty flag. Reads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because Scope 3 is a category-</w:t>
      </w:r>
      <w:r>
        <w:t xml:space="preserve"> </w:t>
      </w:r>
      <w:r>
        <w:t xml:space="preserve">structured estimate, not disclosure-grade.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EU Carbon Score = bizim iç skorumuz (resmî değil — öyle sun). Coverage % = veri kapsamı,</w:t>
      </w:r>
      <w:r>
        <w:t xml:space="preserve"> </w:t>
      </w:r>
      <w:r>
        <w:t xml:space="preserve">“</w:t>
      </w:r>
      <w:r>
        <w:t xml:space="preserve">denetime hazır</w:t>
      </w:r>
      <w:r>
        <w:t xml:space="preserve">”</w:t>
      </w:r>
      <w:r>
        <w:t xml:space="preserve"> </w:t>
      </w:r>
      <w:r>
        <w:t xml:space="preserve">demek DEĞİL.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= Scope 3 dürüstlük etiketi.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Xaa04cb267789a9a2f41aaef2950aaa5294fb85f"/>
      <w:r>
        <w:t xml:space="preserve">5. The six main visuals — read / tell / calc / know / say</w:t>
      </w:r>
      <w:bookmarkEnd w:id="32"/>
    </w:p>
    <w:p>
      <w:pPr>
        <w:pStyle w:val="Heading3"/>
      </w:pPr>
      <w:bookmarkStart w:id="33" w:name="Xdea44457b1956e3a0c1ec3b0640749accd876eb"/>
      <w:r>
        <w:t xml:space="preserve">V1 · Carbon Intensity vs CRREM Pathway &amp; annual GHG trend (line)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two lines over time — your portfolio’s carbon intensity (S1+2, kg CO₂/m²) and the CRREM</w:t>
      </w:r>
      <w:r>
        <w:t xml:space="preserve"> </w:t>
      </w:r>
      <w:r>
        <w:t xml:space="preserve">2 °C pathway. Where your line sits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 pathway, you’re stranded.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 trajectory — are you decarbonising fast enough to stay under the curve?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intensity per year vs the pathway value per year (type/region).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the pathway</w:t>
      </w:r>
      <w:r>
        <w:t xml:space="preserve"> </w:t>
      </w:r>
      <w:r>
        <w:rPr>
          <w:i/>
        </w:rPr>
        <w:t xml:space="preserve">falls</w:t>
      </w:r>
      <w:r>
        <w:t xml:space="preserve"> </w:t>
      </w:r>
      <w:r>
        <w:t xml:space="preserve">every year (the allowance tightens); staying flat means you strand</w:t>
      </w:r>
      <w:r>
        <w:t xml:space="preserve"> </w:t>
      </w:r>
      <w:r>
        <w:t xml:space="preserve">later as the curve drops to meet you.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pathway tightens annually — so even flat performance eventually strands. This visual</w:t>
      </w:r>
      <w:r>
        <w:rPr>
          <w:i/>
        </w:rPr>
        <w:t xml:space="preserve"> </w:t>
      </w:r>
      <w:r>
        <w:rPr>
          <w:i/>
        </w:rPr>
        <w:t xml:space="preserve">shows the year that happens.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Senin yoğunluk çizgin vs CRREM eğrisi. Eğri her yıl düşer; üstünde kaldığın yıl = stranded.</w:t>
      </w:r>
    </w:p>
    <w:p>
      <w:pPr>
        <w:pStyle w:val="Heading3"/>
      </w:pPr>
      <w:bookmarkStart w:id="34" w:name="X829847b88a14d1f39d690f118689615d97d0e2c"/>
      <w:r>
        <w:t xml:space="preserve">V2 · CRREM Status by Building (table, worst-first)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per building — current intensity, the pathway value, and STRANDED / On track. Sorted so</w:t>
      </w:r>
      <w:r>
        <w:t xml:space="preserve"> </w:t>
      </w:r>
      <w:r>
        <w:t xml:space="preserve">the worst offenders are at the top (Frankfurt Datacenter 2238, Klinikum 760, …).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rPr>
          <w:i/>
        </w:rPr>
        <w:t xml:space="preserve">which buildings drag the portfolio down</w:t>
      </w:r>
      <w:r>
        <w:t xml:space="preserve"> </w:t>
      </w:r>
      <w:r>
        <w:t xml:space="preserve">— the retrofit priority list.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per-building intensity vs that building’s pathway.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datacenters/hospitals are structurally high-intensity —</w:t>
      </w:r>
      <w:r>
        <w:t xml:space="preserve"> </w:t>
      </w:r>
      <w:r>
        <w:t xml:space="preserve">“</w:t>
      </w:r>
      <w:r>
        <w:t xml:space="preserve">stranded</w:t>
      </w:r>
      <w:r>
        <w:t xml:space="preserve">”</w:t>
      </w:r>
      <w:r>
        <w:t xml:space="preserve"> </w:t>
      </w:r>
      <w:r>
        <w:t xml:space="preserve">there often means</w:t>
      </w:r>
      <w:r>
        <w:t xml:space="preserve"> </w:t>
      </w:r>
      <w:r>
        <w:t xml:space="preserve">“</w:t>
      </w:r>
      <w:r>
        <w:t xml:space="preserve">needs on-site generation / heat recovery,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close it.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is your action triage — the top three rows are where 80% of the stranding risk and</w:t>
      </w:r>
      <w:r>
        <w:rPr>
          <w:i/>
        </w:rPr>
        <w:t xml:space="preserve"> </w:t>
      </w:r>
      <w:r>
        <w:rPr>
          <w:i/>
        </w:rPr>
        <w:t xml:space="preserve">the retrofit budget should go.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Bina-bazlı stranded/on-track, en kötü başta = yenileme öncelik listesi. Datacenter/hastane</w:t>
      </w:r>
      <w:r>
        <w:t xml:space="preserve"> </w:t>
      </w:r>
      <w:r>
        <w:t xml:space="preserve">doğal olarak yüksek —</w:t>
      </w:r>
      <w:r>
        <w:t xml:space="preserve"> </w:t>
      </w:r>
      <w:r>
        <w:t xml:space="preserve">“</w:t>
      </w:r>
      <w:r>
        <w:t xml:space="preserve">stranded</w:t>
      </w:r>
      <w:r>
        <w:t xml:space="preserve">”</w:t>
      </w:r>
      <w:r>
        <w:t xml:space="preserve"> </w:t>
      </w:r>
      <w:r>
        <w:t xml:space="preserve">= müdahale gerek,</w:t>
      </w:r>
      <w:r>
        <w:t xml:space="preserve"> </w:t>
      </w:r>
      <w:r>
        <w:t xml:space="preserve">“</w:t>
      </w:r>
      <w:r>
        <w:t xml:space="preserve">kapat</w:t>
      </w:r>
      <w:r>
        <w:t xml:space="preserve">”</w:t>
      </w:r>
      <w:r>
        <w:t xml:space="preserve"> </w:t>
      </w:r>
      <w:r>
        <w:t xml:space="preserve">değil.</w:t>
      </w:r>
    </w:p>
    <w:p>
      <w:pPr>
        <w:pStyle w:val="Heading3"/>
      </w:pPr>
      <w:bookmarkStart w:id="35" w:name="X0795beb9e4ae66848daaf06157d522df8f92178"/>
      <w:r>
        <w:t xml:space="preserve">V3 · Emissions by building &amp; category (stacked column + Scope 1/2/3 button)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per building, emissions broken into</w:t>
      </w:r>
      <w:r>
        <w:t xml:space="preserve"> </w:t>
      </w:r>
      <w:r>
        <w:rPr>
          <w:b/>
        </w:rPr>
        <w:t xml:space="preserve">categories</w:t>
      </w:r>
      <w:r>
        <w:t xml:space="preserve">, filtered by the Scope button. Pick</w:t>
      </w:r>
      <w:r>
        <w:t xml:space="preserve"> </w:t>
      </w:r>
      <w:r>
        <w:t xml:space="preserve">Scope 3 → the six Scope 3 categories; Scope 1 → gas/diesel/refrigerant; Scope 2 → electricity.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rPr>
          <w:i/>
        </w:rPr>
        <w:t xml:space="preserve">what kind</w:t>
      </w:r>
      <w:r>
        <w:t xml:space="preserve"> </w:t>
      </w:r>
      <w:r>
        <w:t xml:space="preserve">of emissions each building has — the composition that drives the right action</w:t>
      </w:r>
      <w:r>
        <w:t xml:space="preserve"> </w:t>
      </w:r>
      <w:r>
        <w:t xml:space="preserve">(e.g. high Cat 13 → engage tenants; high Cat 1 → it’s embodied, a one-off).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one measure</w:t>
      </w:r>
      <w:r>
        <w:t xml:space="preserve"> </w:t>
      </w:r>
      <w:r>
        <w:rPr>
          <w:rStyle w:val="VerbatimChar"/>
        </w:rPr>
        <w:t xml:space="preserve">Emissions tCO2e = SUM(gold_ghg_breakdown_long[value_tco2])</w:t>
      </w:r>
      <w:r>
        <w:t xml:space="preserve">, split by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dimension; the Scope button slices the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dimension.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Scope 3 categories are</w:t>
      </w:r>
      <w:r>
        <w:t xml:space="preserve"> </w:t>
      </w:r>
      <w:r>
        <w:rPr>
          <w:b/>
        </w:rPr>
        <w:t xml:space="preserve">estimates</w:t>
      </w:r>
      <w:r>
        <w:t xml:space="preserve"> </w:t>
      </w:r>
      <w:r>
        <w:t xml:space="preserve">(embodied benchmark, headcount-based, tenant proxy)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data_grade</w:t>
      </w:r>
      <w:r>
        <w:t xml:space="preserve"> </w:t>
      </w:r>
      <w:r>
        <w:t xml:space="preserve">field separates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estimated.</w:t>
      </w:r>
      <w:r>
        <w:t xml:space="preserve">”</w:t>
      </w:r>
      <w:r>
        <w:t xml:space="preserve"> </w:t>
      </w:r>
      <w:r>
        <w:t xml:space="preserve">Cat 3 (fuel &amp; energy upstream) is the one</w:t>
      </w:r>
      <w:r>
        <w:t xml:space="preserve"> </w:t>
      </w:r>
      <w:r>
        <w:t xml:space="preserve">Scope 3 category computed from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consumption, so it’s the most defensible.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Because category is a real dimension, you drill from any scope into its components — and</w:t>
      </w:r>
      <w:r>
        <w:rPr>
          <w:i/>
        </w:rPr>
        <w:t xml:space="preserve"> </w:t>
      </w:r>
      <w:r>
        <w:rPr>
          <w:i/>
        </w:rPr>
        <w:t xml:space="preserve">I flag which parts are measured versus estimated, so nothing is overstated.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Scope butonuyla kategori-bazlı kompozisyon. Tek ölçü +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boyutu. Scope 3 kategorileri</w:t>
      </w:r>
      <w:r>
        <w:t xml:space="preserve"> </w:t>
      </w:r>
      <w:r>
        <w:t xml:space="preserve">tahmin;</w:t>
      </w:r>
      <w:r>
        <w:t xml:space="preserve"> </w:t>
      </w:r>
      <w:r>
        <w:rPr>
          <w:b/>
        </w:rPr>
        <w:t xml:space="preserve">Cat 3</w:t>
      </w:r>
      <w:r>
        <w:t xml:space="preserve"> </w:t>
      </w:r>
      <w:r>
        <w:t xml:space="preserve">gerçek tüketimden hesaplanır (en savunulabilir).</w:t>
      </w:r>
      <w:r>
        <w:t xml:space="preserve"> </w:t>
      </w:r>
      <w:r>
        <w:rPr>
          <w:rStyle w:val="VerbatimChar"/>
        </w:rPr>
        <w:t xml:space="preserve">data_grade</w:t>
      </w:r>
      <w:r>
        <w:t xml:space="preserve"> </w:t>
      </w:r>
      <w:r>
        <w:t xml:space="preserve">core/estimated ayırır.</w:t>
      </w:r>
    </w:p>
    <w:p>
      <w:pPr>
        <w:pStyle w:val="Heading3"/>
      </w:pPr>
      <w:bookmarkStart w:id="36" w:name="X22a0f5ef71f45faa5448494a9d0c230dfd8eed6"/>
      <w:r>
        <w:t xml:space="preserve">V4 · Scope 2 — Location vs Market-based (ESRS E1-6) (clustered column)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per building, two bars — location-based and market-based Scope 2.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dual-reporting</w:t>
      </w:r>
      <w:r>
        <w:t xml:space="preserve"> </w:t>
      </w:r>
      <w:r>
        <w:t xml:space="preserve">story and the procurement quality of each building. A building with</w:t>
      </w:r>
      <w:r>
        <w:t xml:space="preserve"> </w:t>
      </w:r>
      <w:r>
        <w:t xml:space="preserve">a green contract shows market &lt;&lt; location; an unbacked one shows market &gt; location (residual mix).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location =</w:t>
      </w:r>
      <w:r>
        <w:t xml:space="preserve"> </w:t>
      </w:r>
      <w:r>
        <w:rPr>
          <w:rStyle w:val="VerbatimChar"/>
        </w:rPr>
        <w:t xml:space="preserve">grid_kwh × grid_factor</w:t>
      </w:r>
      <w:r>
        <w:t xml:space="preserve">. Market factor follows the</w:t>
      </w:r>
      <w:r>
        <w:t xml:space="preserve"> </w:t>
      </w:r>
      <w:r>
        <w:rPr>
          <w:b/>
        </w:rPr>
        <w:t xml:space="preserve">GHG Protocol hierarchy</w:t>
      </w:r>
      <w:r>
        <w:t xml:space="preserve">:</w:t>
      </w:r>
      <w:r>
        <w:t xml:space="preserve"> </w:t>
      </w:r>
      <w:r>
        <w:rPr>
          <w:rStyle w:val="VerbatimChar"/>
        </w:rPr>
        <w:t xml:space="preserve">supplier-specific (GoO/PPA) → residual mix → location</w:t>
      </w:r>
      <w:r>
        <w:t xml:space="preserve">. The residual mix is</w:t>
      </w:r>
      <w:r>
        <w:t xml:space="preserve"> </w:t>
      </w:r>
      <w:r>
        <w:rPr>
          <w:i/>
        </w:rPr>
        <w:t xml:space="preserve">higher</w:t>
      </w:r>
      <w:r>
        <w:t xml:space="preserve"> </w:t>
      </w:r>
      <w:r>
        <w:t xml:space="preserve">than the grid</w:t>
      </w:r>
      <w:r>
        <w:t xml:space="preserve"> </w:t>
      </w:r>
      <w:r>
        <w:t xml:space="preserve">average (e.g. Germany 0.725 vs 0.363 kg/kWh) because once the green attributes are sold as GoOs, the</w:t>
      </w:r>
      <w:r>
        <w:t xml:space="preserve"> </w:t>
      </w:r>
      <w:r>
        <w:rPr>
          <w:i/>
        </w:rPr>
        <w:t xml:space="preserve">remaining</w:t>
      </w:r>
      <w:r>
        <w:t xml:space="preserve"> </w:t>
      </w:r>
      <w:r>
        <w:t xml:space="preserve">mix is dirtier.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this is the single most common audit failure — companies use the grid average for unbacked</w:t>
      </w:r>
      <w:r>
        <w:t xml:space="preserve"> </w:t>
      </w:r>
      <w:r>
        <w:t xml:space="preserve">supply instead of the residual mix. Getting it right is a genuine differentiator.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Market-based isn’t just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green tariff = lower.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With no contract, the correct factor is the</w:t>
      </w:r>
      <w:r>
        <w:rPr>
          <w:i/>
        </w:rPr>
        <w:t xml:space="preserve"> </w:t>
      </w:r>
      <w:r>
        <w:rPr>
          <w:i/>
        </w:rPr>
        <w:t xml:space="preserve">residual mix, which is dirtier than the grid average. Most tools get this wrong; mine follows the GHG</w:t>
      </w:r>
      <w:r>
        <w:rPr>
          <w:i/>
        </w:rPr>
        <w:t xml:space="preserve"> </w:t>
      </w:r>
      <w:r>
        <w:rPr>
          <w:i/>
        </w:rPr>
        <w:t xml:space="preserve">Protocol hierarchy.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İki bar = location vs market. Market faktörü: sözleşme(GoO) →</w:t>
      </w:r>
      <w:r>
        <w:t xml:space="preserve"> </w:t>
      </w:r>
      <w:r>
        <w:rPr>
          <w:b/>
        </w:rPr>
        <w:t xml:space="preserve">residual mix</w:t>
      </w:r>
      <w:r>
        <w:t xml:space="preserve"> </w:t>
      </w:r>
      <w:r>
        <w:t xml:space="preserve">→ location.</w:t>
      </w:r>
      <w:r>
        <w:t xml:space="preserve"> </w:t>
      </w:r>
      <w:r>
        <w:t xml:space="preserve">Residual location’dan YÜKSEK (DE 0.725 vs 0.363). En sık denetim hatası — sen doğrusunu yapıyorsun.</w:t>
      </w:r>
    </w:p>
    <w:p>
      <w:pPr>
        <w:pStyle w:val="Heading3"/>
      </w:pPr>
      <w:bookmarkStart w:id="37" w:name="v5-co₂-emission-trend-annual-line"/>
      <w:r>
        <w:t xml:space="preserve">V5 · CO₂ Emission Trend (annual) (line)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total emissions, net carbon footprint, and total savings over the years.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 decarbonisation trajectory and the impact of interventions (solar, efficiency).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annual aggregation of total CO₂; net = gross − avoided (solar etc.); savings = avoided.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Know (gotcha):</w:t>
      </w:r>
      <w:r>
        <w:t xml:space="preserve"> </w:t>
      </w:r>
      <w:r>
        <w:t xml:space="preserve">if the latest year is a</w:t>
      </w:r>
      <w:r>
        <w:t xml:space="preserve"> </w:t>
      </w:r>
      <w:r>
        <w:rPr>
          <w:b/>
        </w:rPr>
        <w:t xml:space="preserve">partial year</w:t>
      </w:r>
      <w:r>
        <w:t xml:space="preserve">, the line drops sharply and looks like</w:t>
      </w:r>
      <w:r>
        <w:t xml:space="preserve"> </w:t>
      </w:r>
      <w:r>
        <w:t xml:space="preserve">emissions crashed — filter to complete years or label the partial one.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Net footprint is gross minus what your on-site generation avoided — it’s the number that</w:t>
      </w:r>
      <w:r>
        <w:rPr>
          <w:i/>
        </w:rPr>
        <w:t xml:space="preserve"> </w:t>
      </w:r>
      <w:r>
        <w:rPr>
          <w:i/>
        </w:rPr>
        <w:t xml:space="preserve">improves when you act.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Yıllık toplam/net/tasarruf.</w:t>
      </w:r>
      <w:r>
        <w:t xml:space="preserve"> </w:t>
      </w:r>
      <w:r>
        <w:rPr>
          <w:b/>
        </w:rPr>
        <w:t xml:space="preserve">Dikkat:</w:t>
      </w:r>
      <w:r>
        <w:t xml:space="preserve"> </w:t>
      </w:r>
      <w:r>
        <w:t xml:space="preserve">son yıl yarımsa çizgi çakılır, yanlış okunur — tam</w:t>
      </w:r>
      <w:r>
        <w:t xml:space="preserve"> </w:t>
      </w:r>
      <w:r>
        <w:t xml:space="preserve">yıllara filtrele.</w:t>
      </w:r>
    </w:p>
    <w:p>
      <w:pPr>
        <w:pStyle w:val="Heading3"/>
      </w:pPr>
      <w:bookmarkStart w:id="38" w:name="v6-priority-actions-incentives-cards"/>
      <w:r>
        <w:t xml:space="preserve">V6 · Priority Actions &amp; Incentives (cards)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recommended action per selected building + matched funding programme + risk flag.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Tells: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decision-support</w:t>
      </w:r>
      <w:r>
        <w:t xml:space="preserve"> </w:t>
      </w:r>
      <w:r>
        <w:t xml:space="preserve">layer — turns the diagnosis into</w:t>
      </w:r>
      <w:r>
        <w:t xml:space="preserve"> </w:t>
      </w:r>
      <w:r>
        <w:t xml:space="preserve">“</w:t>
      </w:r>
      <w:r>
        <w:t xml:space="preserve">do this, here’s the grant.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Calc:</w:t>
      </w:r>
      <w:r>
        <w:t xml:space="preserve"> </w:t>
      </w:r>
      <w:r>
        <w:t xml:space="preserve">rule-based recommendations ranked by priority/savings, matched to incentives (KfW, BAFA,</w:t>
      </w:r>
      <w:r>
        <w:t xml:space="preserve"> </w:t>
      </w:r>
      <w:r>
        <w:t xml:space="preserve">YEKA, EEG) by country and measure.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Know:</w:t>
      </w:r>
      <w:r>
        <w:t xml:space="preserve"> </w:t>
      </w:r>
      <w:r>
        <w:t xml:space="preserve">this is what moves the page from</w:t>
      </w:r>
      <w:r>
        <w:t xml:space="preserve"> </w:t>
      </w:r>
      <w:r>
        <w:t xml:space="preserve">“</w:t>
      </w:r>
      <w:r>
        <w:t xml:space="preserve">reporting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advisory</w:t>
      </w:r>
      <w:r>
        <w:t xml:space="preserve">”</w:t>
      </w:r>
      <w:r>
        <w:t xml:space="preserve"> </w:t>
      </w:r>
      <w:r>
        <w:t xml:space="preserve">— and advisory is what clients</w:t>
      </w:r>
      <w:r>
        <w:t xml:space="preserve"> </w:t>
      </w:r>
      <w:r>
        <w:t xml:space="preserve">pay retainers for.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Reporting tells you the problem; this row tells you the cheapest fix and the grant that</w:t>
      </w:r>
      <w:r>
        <w:rPr>
          <w:i/>
        </w:rPr>
        <w:t xml:space="preserve"> </w:t>
      </w:r>
      <w:r>
        <w:rPr>
          <w:i/>
        </w:rPr>
        <w:t xml:space="preserve">pays for part of it. That’s the difference between a dashboard and a decision tool.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Bina-bazlı öneri + eşleşen teşvik. Sayfayı</w:t>
      </w:r>
      <w:r>
        <w:t xml:space="preserve"> </w:t>
      </w:r>
      <w:r>
        <w:t xml:space="preserve">“</w:t>
      </w:r>
      <w:r>
        <w:t xml:space="preserve">raporlama</w:t>
      </w:r>
      <w:r>
        <w:t xml:space="preserve">”</w:t>
      </w:r>
      <w:r>
        <w:t xml:space="preserve">dan</w:t>
      </w:r>
      <w:r>
        <w:t xml:space="preserve"> </w:t>
      </w:r>
      <w:r>
        <w:t xml:space="preserve">“</w:t>
      </w:r>
      <w:r>
        <w:t xml:space="preserve">danışmanlık</w:t>
      </w:r>
      <w:r>
        <w:t xml:space="preserve">”</w:t>
      </w:r>
      <w:r>
        <w:t xml:space="preserve">a taşır — retainer</w:t>
      </w:r>
      <w:r>
        <w:t xml:space="preserve"> </w:t>
      </w:r>
      <w:r>
        <w:t xml:space="preserve">burada satılır.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67ef35d645a19d778c30dcbedae5547c69976cc"/>
      <w:r>
        <w:t xml:space="preserve">6. The ten questions a client (or auditor) will ask — and your answers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Is Scope 2 location and market both there?</w:t>
      </w:r>
      <w:r>
        <w:rPr>
          <w:b/>
        </w:rPr>
        <w:t xml:space="preserve">”</w:t>
      </w:r>
      <w:r>
        <w:t xml:space="preserve"> </w:t>
      </w:r>
      <w:r>
        <w:t xml:space="preserve">→ Yes (V4). Market follows the GHG Protocol</w:t>
      </w:r>
      <w:r>
        <w:t xml:space="preserve"> </w:t>
      </w:r>
      <w:r>
        <w:t xml:space="preserve">hierarchy with the residual mix as the no-instrument fallback.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How do you do Scope 3?</w:t>
      </w:r>
      <w:r>
        <w:rPr>
          <w:b/>
        </w:rPr>
        <w:t xml:space="preserve">”</w:t>
      </w:r>
      <w:r>
        <w:t xml:space="preserve"> </w:t>
      </w:r>
      <w:r>
        <w:t xml:space="preserve">→ Category-based for the material ones (Cat 13 tenant, Cat 1 embodied,</w:t>
      </w:r>
      <w:r>
        <w:t xml:space="preserve"> </w:t>
      </w:r>
      <w:r>
        <w:t xml:space="preserve">Cat 3 fuel &amp; energy upstream, Cat 5/6/7). Flagged as an estimate, not disclosure-grade.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Is this Scope 3 disclosure-grade?</w:t>
      </w:r>
      <w:r>
        <w:rPr>
          <w:b/>
        </w:rPr>
        <w:t xml:space="preserve">”</w:t>
      </w:r>
      <w:r>
        <w:t xml:space="preserve"> </w:t>
      </w:r>
      <w:r>
        <w:t xml:space="preserve">→ No, and I label it. Cat 3 is real-method on real</w:t>
      </w:r>
      <w:r>
        <w:t xml:space="preserve"> </w:t>
      </w:r>
      <w:r>
        <w:t xml:space="preserve">consumption; the rest are benchmark/activity estimates until I get tenant &amp; supplier data.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Did you include refrigerants in Scope 1?</w:t>
      </w:r>
      <w:r>
        <w:rPr>
          <w:b/>
        </w:rPr>
        <w:t xml:space="preserve">”</w:t>
      </w:r>
      <w:r>
        <w:t xml:space="preserve"> </w:t>
      </w:r>
      <w:r>
        <w:t xml:space="preserve">→ Yes — the F-Gas logbook top-up × IPCC GWP. The</w:t>
      </w:r>
      <w:r>
        <w:t xml:space="preserve"> </w:t>
      </w:r>
      <w:r>
        <w:t xml:space="preserve">most-forgotten Scope 1 source.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Are your grid factors current and sourced?</w:t>
      </w:r>
      <w:r>
        <w:rPr>
          <w:b/>
        </w:rPr>
        <w:t xml:space="preserve">”</w:t>
      </w:r>
      <w:r>
        <w:t xml:space="preserve"> </w:t>
      </w:r>
      <w:r>
        <w:t xml:space="preserve">→ Year-indexed: UBA for Germany (0.363/2024),</w:t>
      </w:r>
      <w:r>
        <w:t xml:space="preserve"> </w:t>
      </w:r>
      <w:r>
        <w:t xml:space="preserve">EEA for the rest, TEİAŞ for Turkey — each with source + URL.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Is this CRREM official?</w:t>
      </w:r>
      <w:r>
        <w:rPr>
          <w:b/>
        </w:rPr>
        <w:t xml:space="preserve">”</w:t>
      </w:r>
      <w:r>
        <w:t xml:space="preserve"> </w:t>
      </w:r>
      <w:r>
        <w:t xml:space="preserve">→ The curves are indicative 1.5 °C anchors today, isolated in one</w:t>
      </w:r>
      <w:r>
        <w:t xml:space="preserve"> </w:t>
      </w:r>
      <w:r>
        <w:t xml:space="preserve">module; official CRREM v2 swaps in via the License Partner step / the free CRREM Library.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Can you guarantee CSRD compliance?</w:t>
      </w:r>
      <w:r>
        <w:rPr>
          <w:b/>
        </w:rPr>
        <w:t xml:space="preserve">”</w:t>
      </w:r>
      <w:r>
        <w:t xml:space="preserve"> </w:t>
      </w:r>
      <w:r>
        <w:t xml:space="preserve">→ No tool can — the auditor issues assurance. I provide</w:t>
      </w:r>
      <w:r>
        <w:t xml:space="preserve"> </w:t>
      </w:r>
      <w:r>
        <w:rPr>
          <w:b/>
        </w:rPr>
        <w:t xml:space="preserve">ESRS-E1-aligned, report-ready</w:t>
      </w:r>
      <w:r>
        <w:t xml:space="preserve"> </w:t>
      </w:r>
      <w:r>
        <w:t xml:space="preserve">numbers with full lineage that make the audit fast.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Where does the data come from?</w:t>
      </w:r>
      <w:r>
        <w:rPr>
          <w:b/>
        </w:rPr>
        <w:t xml:space="preserve">”</w:t>
      </w:r>
      <w:r>
        <w:t xml:space="preserve"> </w:t>
      </w:r>
      <w:r>
        <w:t xml:space="preserve">→ Real building data via meters/bills/BMS; external signals</w:t>
      </w:r>
      <w:r>
        <w:t xml:space="preserve"> </w:t>
      </w:r>
      <w:r>
        <w:t xml:space="preserve">(weather, prices, grid CO₂) from free official APIs; factors from the sourced reference layer.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What’s your EPC methodology?</w:t>
      </w:r>
      <w:r>
        <w:rPr>
          <w:b/>
        </w:rPr>
        <w:t xml:space="preserve">”</w:t>
      </w:r>
      <w:r>
        <w:t xml:space="preserve"> </w:t>
      </w:r>
      <w:r>
        <w:t xml:space="preserve">→ Area-weighted across the portfolio, not a plain average.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Can I resell this to my clients?</w:t>
      </w:r>
      <w:r>
        <w:rPr>
          <w:b/>
        </w:rPr>
        <w:t xml:space="preserve">”</w:t>
      </w:r>
      <w:r>
        <w:t xml:space="preserve"> </w:t>
      </w:r>
      <w:r>
        <w:t xml:space="preserve">→ Yes — it’s a productised template; we adapt the silver</w:t>
      </w:r>
      <w:r>
        <w:t xml:space="preserve"> </w:t>
      </w:r>
      <w:r>
        <w:t xml:space="preserve">tables to each client’s data, the engine and the model stay the same.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Bu 10 soruyu ezberle — müşteri/auditor ilk yarım saatte sorar. Her birinde dürüst + net</w:t>
      </w:r>
      <w:r>
        <w:t xml:space="preserve"> </w:t>
      </w:r>
      <w:r>
        <w:t xml:space="preserve">cevap güven verir.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X45e1a0049da673e199945fc1082f4d758c7e9ef"/>
      <w:r>
        <w:t xml:space="preserve">7. What to say — and what NOT to say (claims discipline)</w:t>
      </w:r>
      <w:bookmarkEnd w:id="40"/>
    </w:p>
    <w:p>
      <w:pPr>
        <w:pStyle w:val="FirstParagraph"/>
      </w:pPr>
      <w:r>
        <w:rPr>
          <w:b/>
        </w:rPr>
        <w:t xml:space="preserve">Say:</w:t>
      </w:r>
      <w:r>
        <w:t xml:space="preserve"> </w:t>
      </w:r>
      <w:r>
        <w:t xml:space="preserve">“</w:t>
      </w:r>
      <w:r>
        <w:t xml:space="preserve">ESRS-E1-aligned reporting support.</w:t>
      </w:r>
      <w:r>
        <w:t xml:space="preserve">”</w:t>
      </w:r>
      <w:r>
        <w:t xml:space="preserve"> </w:t>
      </w:r>
      <w:r>
        <w:t xml:space="preserve">“</w:t>
      </w:r>
      <w:r>
        <w:t xml:space="preserve">Auditable Scope 1 &amp; 2 with row-level lineage.</w:t>
      </w:r>
      <w:r>
        <w:t xml:space="preserve">”</w:t>
      </w:r>
      <w:r>
        <w:t xml:space="preserve"> </w:t>
      </w:r>
      <w:r>
        <w:t xml:space="preserve">“</w:t>
      </w:r>
      <w:r>
        <w:t xml:space="preserve">Method-correct market-based Scope 2 (residual mix).</w:t>
      </w:r>
      <w:r>
        <w:t xml:space="preserve">”</w:t>
      </w:r>
      <w:r>
        <w:t xml:space="preserve"> </w:t>
      </w:r>
      <w:r>
        <w:t xml:space="preserve">“</w:t>
      </w:r>
      <w:r>
        <w:t xml:space="preserve">Indicative CRREM pathways.</w:t>
      </w:r>
      <w:r>
        <w:t xml:space="preserve">”</w:t>
      </w:r>
      <w:r>
        <w:t xml:space="preserve"> </w:t>
      </w:r>
      <w:r>
        <w:t xml:space="preserve">“</w:t>
      </w:r>
      <w:r>
        <w:t xml:space="preserve">Estimated,</w:t>
      </w:r>
      <w:r>
        <w:t xml:space="preserve"> </w:t>
      </w:r>
      <w:r>
        <w:t xml:space="preserve">category-structured Scope 3.</w:t>
      </w:r>
      <w:r>
        <w:t xml:space="preserve">”</w:t>
      </w:r>
    </w:p>
    <w:p>
      <w:pPr>
        <w:pStyle w:val="BodyText"/>
      </w:pPr>
      <w:r>
        <w:rPr>
          <w:b/>
        </w:rPr>
        <w:t xml:space="preserve">Never say:</w:t>
      </w:r>
      <w:r>
        <w:t xml:space="preserve"> </w:t>
      </w:r>
      <w:r>
        <w:t xml:space="preserve">“</w:t>
      </w:r>
      <w:r>
        <w:t xml:space="preserve">CSRD-compliant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audited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guaranteed accurate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Taxonomy-aligned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official CRREM.</w:t>
      </w:r>
      <w:r>
        <w:t xml:space="preserve">”</w:t>
      </w:r>
      <w:r>
        <w:t xml:space="preserve"> </w:t>
      </w:r>
      <w:r>
        <w:t xml:space="preserve">These are overclaims that an academic will catch and that create</w:t>
      </w:r>
      <w:r>
        <w:t xml:space="preserve"> </w:t>
      </w:r>
      <w:r>
        <w:rPr>
          <w:b/>
        </w:rPr>
        <w:t xml:space="preserve">greenwashing / legal risk</w:t>
      </w:r>
      <w:r>
        <w:t xml:space="preserve"> </w:t>
      </w:r>
      <w:r>
        <w:t xml:space="preserve">— the opposite of what wins the deal.</w:t>
      </w:r>
    </w:p>
    <w:p>
      <w:pPr>
        <w:pStyle w:val="BodyText"/>
      </w:pPr>
      <w:r>
        <w:rPr>
          <w:b/>
        </w:rPr>
        <w:t xml:space="preserve">Why this wins:</w:t>
      </w:r>
      <w:r>
        <w:t xml:space="preserve"> </w:t>
      </w:r>
      <w:r>
        <w:t xml:space="preserve">naming the exact gap and the exact source to close it is the strongest possible</w:t>
      </w:r>
      <w:r>
        <w:t xml:space="preserve"> </w:t>
      </w:r>
      <w:r>
        <w:t xml:space="preserve">credibility signal.</w:t>
      </w:r>
      <w:r>
        <w:t xml:space="preserve"> </w:t>
      </w:r>
      <w:r>
        <w:t xml:space="preserve">“</w:t>
      </w:r>
      <w:r>
        <w:t xml:space="preserve">I know precisely what isn’t real yet and precisely how to fix it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everything is finished</w:t>
      </w:r>
      <w:r>
        <w:t xml:space="preserve">”</w:t>
      </w:r>
      <w:r>
        <w:t xml:space="preserve"> </w:t>
      </w:r>
      <w:r>
        <w:t xml:space="preserve">every time — with a professor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with a paying client.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“</w:t>
      </w:r>
      <w:r>
        <w:t xml:space="preserve">ESRS-E1-aligned / report-ready</w:t>
      </w:r>
      <w:r>
        <w:t xml:space="preserve">”</w:t>
      </w:r>
      <w:r>
        <w:t xml:space="preserve"> </w:t>
      </w:r>
      <w:r>
        <w:t xml:space="preserve">de;</w:t>
      </w:r>
      <w:r>
        <w:t xml:space="preserve"> </w:t>
      </w:r>
      <w:r>
        <w:t xml:space="preserve">“</w:t>
      </w:r>
      <w:r>
        <w:t xml:space="preserve">CSRD-compliant / audited / guaranteed</w:t>
      </w:r>
      <w:r>
        <w:t xml:space="preserve">”</w:t>
      </w:r>
      <w:r>
        <w:t xml:space="preserve"> </w:t>
      </w:r>
      <w:r>
        <w:t xml:space="preserve">DEME. Aşırı</w:t>
      </w:r>
      <w:r>
        <w:t xml:space="preserve"> </w:t>
      </w:r>
      <w:r>
        <w:t xml:space="preserve">iddia = greenwashing/hukuk riski. Dürüst sınır söylemek en güçlü güven sinyali.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one-page-recap-print-this"/>
      <w:r>
        <w:t xml:space="preserve">8. One-page recap (print this)</w:t>
      </w:r>
      <w:bookmarkEnd w:id="41"/>
    </w:p>
    <w:p>
      <w:pPr>
        <w:numPr>
          <w:ilvl w:val="0"/>
          <w:numId w:val="1018"/>
        </w:numPr>
        <w:pStyle w:val="Compact"/>
      </w:pPr>
      <w:r>
        <w:t xml:space="preserve">Page 6 = the ESRS E1 carbon report: Scope 1/2/3 + dual Scope 2 + CRREM + EPC + actions.</w:t>
      </w:r>
    </w:p>
    <w:p>
      <w:pPr>
        <w:numPr>
          <w:ilvl w:val="0"/>
          <w:numId w:val="1018"/>
        </w:numPr>
        <w:pStyle w:val="Compact"/>
      </w:pPr>
      <w:r>
        <w:t xml:space="preserve">ESRS = what to report; GHG Protocol = how; CRREM = stranding (S1+2 basis); EPC = compliance.</w:t>
      </w:r>
    </w:p>
    <w:p>
      <w:pPr>
        <w:numPr>
          <w:ilvl w:val="0"/>
          <w:numId w:val="1018"/>
        </w:numPr>
        <w:pStyle w:val="Compact"/>
      </w:pPr>
      <w:r>
        <w:t xml:space="preserve">Scope 1 = gas + diesel +</w:t>
      </w:r>
      <w:r>
        <w:t xml:space="preserve"> </w:t>
      </w:r>
      <w:r>
        <w:rPr>
          <w:b/>
        </w:rPr>
        <w:t xml:space="preserve">refrigerant</w:t>
      </w:r>
      <w:r>
        <w:t xml:space="preserve">. Scope 2 = location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market (residual-mix fallback).</w:t>
      </w:r>
      <w:r>
        <w:t xml:space="preserve"> </w:t>
      </w:r>
      <w:r>
        <w:t xml:space="preserve">Scope 3 = Cat 1/3/5/6/7/13,</w:t>
      </w:r>
      <w:r>
        <w:t xml:space="preserve"> </w:t>
      </w:r>
      <w:r>
        <w:rPr>
          <w:b/>
        </w:rPr>
        <w:t xml:space="preserve">estimated and labelled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Intensity, CRREM and the multi-row split are</w:t>
      </w:r>
      <w:r>
        <w:t xml:space="preserve"> </w:t>
      </w:r>
      <w:r>
        <w:rPr>
          <w:b/>
        </w:rPr>
        <w:t xml:space="preserve">Scope 1+2</w:t>
      </w:r>
      <w:r>
        <w:t xml:space="preserve">; totals add Scope 3.</w:t>
      </w:r>
    </w:p>
    <w:p>
      <w:pPr>
        <w:numPr>
          <w:ilvl w:val="0"/>
          <w:numId w:val="1018"/>
        </w:numPr>
        <w:pStyle w:val="Compact"/>
      </w:pPr>
      <w:r>
        <w:t xml:space="preserve">Market &gt; location ⇒ unbacked supply on the residual mix (the dual-reporting story).</w:t>
      </w:r>
    </w:p>
    <w:p>
      <w:pPr>
        <w:numPr>
          <w:ilvl w:val="0"/>
          <w:numId w:val="1018"/>
        </w:numPr>
        <w:pStyle w:val="Compact"/>
      </w:pPr>
      <w:r>
        <w:t xml:space="preserve">Lineage = every kg traces to a sourced factor (your credibility).</w:t>
      </w:r>
    </w:p>
    <w:p>
      <w:pPr>
        <w:numPr>
          <w:ilvl w:val="0"/>
          <w:numId w:val="1018"/>
        </w:numPr>
        <w:pStyle w:val="Compact"/>
      </w:pPr>
      <w:r>
        <w:t xml:space="preserve">Honesty = label every estimate;</w:t>
      </w:r>
      <w:r>
        <w:t xml:space="preserve"> </w:t>
      </w:r>
      <w:r>
        <w:t xml:space="preserve">“</w:t>
      </w:r>
      <w:r>
        <w:t xml:space="preserve">support, not assurance</w:t>
      </w:r>
      <w:r>
        <w:t xml:space="preserve">”</w:t>
      </w:r>
      <w:r>
        <w:t xml:space="preserve">; the auditor signs, not the tool.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Bu son sayfayı yazıcıdan çıkar, toplantı öncesi 2 dakika oku. Hepsi burada.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EnergyLens — a Microsoft Fabric-native energy-intelligence &amp; ESG-reporting platform for commercial</w:t>
      </w:r>
      <w:r>
        <w:rPr>
          <w:i/>
        </w:rPr>
        <w:t xml:space="preserve"> </w:t>
      </w:r>
      <w:r>
        <w:rPr>
          <w:i/>
        </w:rPr>
        <w:t xml:space="preserve">buildings. This guide describes Page 6 (Sustainability &amp; GHG). Methodology and factors are real and</w:t>
      </w:r>
      <w:r>
        <w:rPr>
          <w:i/>
        </w:rPr>
        <w:t xml:space="preserve"> </w:t>
      </w:r>
      <w:r>
        <w:rPr>
          <w:i/>
        </w:rPr>
        <w:t xml:space="preserve">sourced; demo operational data is synthetic and flagged, swappable for real client data with no</w:t>
      </w:r>
      <w:r>
        <w:rPr>
          <w:i/>
        </w:rPr>
        <w:t xml:space="preserve"> </w:t>
      </w:r>
      <w:r>
        <w:rPr>
          <w:i/>
        </w:rPr>
        <w:t xml:space="preserve">engine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EnergyLens — Page 6 (Sustainability &amp; GHG): the sell-it study guide</dc:title>
  <dc:creator>Ali Mert Özdemir</dc:creator>
  <cp:keywords/>
  <dcterms:created xsi:type="dcterms:W3CDTF">2026-06-10T22:48:22Z</dcterms:created>
  <dcterms:modified xsi:type="dcterms:W3CDTF">2026-06-10T22:48:22Z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subtitle">
    <vt:lpwstr>Read every visual · know every formula · answer every client question</vt:lpwstr>
  </property>
</Properties>
</file>