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  <w:bidi w:val="1"/>
      </w:pPr>
      <w:r>
        <w:rPr>
          <w:rFonts w:ascii="Calibri" w:hAnsi="Calibri" w:cs="Tahoma"/>
          <w:b/>
          <w:color w:val="1F4D78"/>
          <w:sz w:val="50"/>
        </w:rPr>
        <w:t>گزارش جامع فعالیت‌های پروژه PTB-XL</w:t>
      </w:r>
    </w:p>
    <w:p>
      <w:pPr>
        <w:spacing w:after="480"/>
        <w:jc w:val="center"/>
        <w:bidi w:val="1"/>
      </w:pPr>
      <w:r>
        <w:rPr>
          <w:rFonts w:ascii="Calibri" w:hAnsi="Calibri" w:cs="Tahoma"/>
          <w:b w:val="0"/>
          <w:color w:val="2E74B5"/>
          <w:sz w:val="28"/>
        </w:rPr>
        <w:t>توسعه Teacher و آماده‌سازی Multi-Level Knowledge Distillation</w:t>
      </w:r>
    </w:p>
    <w:p>
      <w:pPr>
        <w:spacing w:after="1400"/>
        <w:jc w:val="center"/>
        <w:bidi w:val="1"/>
      </w:pPr>
      <w:r>
        <w:rPr>
          <w:rFonts w:ascii="Calibri" w:hAnsi="Calibri" w:cs="Tahoma"/>
          <w:b w:val="0"/>
          <w:color w:val="555555"/>
          <w:sz w:val="22"/>
        </w:rPr>
        <w:t>گزارش فنی اجرا، خطاها، تصمیم‌ها و نتایج اعتبارسنجی</w:t>
      </w:r>
    </w:p>
    <w:p>
      <w:pPr>
        <w:jc w:val="center"/>
        <w:bidi w:val="1"/>
      </w:pPr>
      <w:r>
        <w:rPr>
          <w:rFonts w:ascii="Calibri" w:hAnsi="Calibri" w:cs="Tahoma"/>
          <w:b/>
          <w:color w:val="1F4D78"/>
          <w:sz w:val="22"/>
        </w:rPr>
        <w:t>نسخه ثبت‌شده: ۲۱ اوت ۲۰۲۶</w:t>
        <w:br/>
        <w:t>وضعیت Test: ارزیابی نشده</w:t>
      </w:r>
    </w:p>
    <w:p>
      <w:r>
        <w:br w:type="page"/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وضعیت Test: تا این نقطه باز نشده و ارزیابی نشده است.</w:t>
      </w:r>
    </w:p>
    <w:p>
      <w:pPr>
        <w:pStyle w:val="Heading2"/>
        <w:jc w:val="right"/>
        <w:bidi w:val="1"/>
      </w:pPr>
      <w:r>
        <w:rPr>
          <w:rFonts w:ascii="Calibri" w:hAnsi="Calibri" w:cs="Tahoma"/>
          <w:b/>
          <w:color w:val="2E74B5"/>
          <w:sz w:val="26"/>
        </w:rPr>
        <w:t>1. هدف پروژه</w:t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هدف، ساخت یک سامانه پژوهشی تکرارپذیر برای تشخیص دودویی «MI یا ایسکمی» در برابر سایر وضعیت‌ها روی PTB-XL و سپس انتقال دانش Teacher به Student است. اولویت فعلی طبق تصمیم کاربر، رساندن Teacher به Accuracy اعتبارسنجی بیش از 90 درصد پیش از شروع آموزش Student و ارزیابی نهایی Test است.</w:t>
      </w:r>
    </w:p>
    <w:p>
      <w:pPr>
        <w:pStyle w:val="Heading2"/>
        <w:jc w:val="right"/>
        <w:bidi w:val="1"/>
      </w:pPr>
      <w:r>
        <w:rPr>
          <w:rFonts w:ascii="Calibri" w:hAnsi="Calibri" w:cs="Tahoma"/>
          <w:b/>
          <w:color w:val="2E74B5"/>
          <w:sz w:val="26"/>
        </w:rPr>
        <w:t>2. قواعد روش‌شناسی که رعایت شد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تعریف کلاس مثبت: وجود هر کد تشخیصی متعلق به کلاس MI یا کد صریح ایسکمی با الگوی ISC*.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Train: foldهای 1 تا 8؛ Validation: fold 9؛ Test: fold 10.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جداسازی بیماران بین سه بخش کنترل و تأیید شد.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انتخاب epoch، threshold، TTA و ensemble فقط با Validation انجام شد.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Test تا نهایی‌شدن Teacher عمداً دست‌نخورده باقی ماند.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checkpointهای دوره‌ای برای بازیابی پس از قطع برق یا restart طراحی شدند.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خروجی‌های پژوهشی در قالب CSV، JSON و Markdown ثبت شدند.</w:t>
      </w:r>
    </w:p>
    <w:p>
      <w:pPr>
        <w:pStyle w:val="Heading2"/>
        <w:jc w:val="right"/>
        <w:bidi w:val="1"/>
      </w:pPr>
      <w:r>
        <w:rPr>
          <w:rFonts w:ascii="Calibri" w:hAnsi="Calibri" w:cs="Tahoma"/>
          <w:b/>
          <w:color w:val="2E74B5"/>
          <w:sz w:val="26"/>
        </w:rPr>
        <w:t>3. مستندات و ساختار اولیه</w:t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در شروع، فایل‌های README.txt، راهنمای آموزش Teacher و طرح Student دو-لید با Multi-Level Knowledge Distillation بررسی شدند. مسیر کلی پروژه شامل آماده‌سازی داده، آموزش Teacher دوازده‌لید، آموزش Student دو‌لید، ارزیابی نهایی و تولید بسته پژوهشی بود.</w:t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اسکریپت‌های اصلی ایجاد یا تکمیل‌شده عبارت‌اند از: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اسکریپت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نقش</w:t>
            </w:r>
          </w:p>
        </w:tc>
        <w:trPr>
          <w:tblHeader/>
        </w:trPr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01_audit_dataset.py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ممیزی فایل‌ها، رکوردها و برچسب‌ها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02_create_splits.py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ساخت splitهای patient-disjoint و تعریف برچسب دودویی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03_train_teacher.py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آموزش Teacher اصلی 500Hz با checkpoint و EMA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04_train_student.py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آموزش Student baseline/KD؛ اجرای آن تا تثبیت Teacher متوقف ماند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05_evaluate_and_export.py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ارزیابی نهایی یک‌باره Test و تولید نمودار/جدول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06_build_research_bundle.py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تجمیع خروجی‌ها در JSON و Markdown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07_optimize_teacher_validation.py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بهینه‌سازی TTA و threshold فقط روی Validation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08_finetune_teacher.py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fine-tune با augmentation ضعیف و checkpoint پنج‌دقیقه‌ای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09_fast_teacher_ensemble.py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ensemble سریع Teacher اصلی و fine-tuned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10_train_fast_teacher_100hz.py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Teacher سریع 100Hz با ResNet-SE و metadata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</w:pPr>
      <w:r>
        <w:rPr>
          <w:rFonts w:ascii="Calibri" w:hAnsi="Calibri" w:cs="Tahoma"/>
          <w:b/>
          <w:color w:val="2E74B5"/>
          <w:sz w:val="26"/>
        </w:rPr>
        <w:t>4. خط زمانی فعالیت‌ها و تصمیم‌ها</w:t>
      </w:r>
    </w:p>
    <w:p>
      <w:pPr>
        <w:pStyle w:val="Heading3"/>
        <w:jc w:val="right"/>
        <w:bidi w:val="1"/>
      </w:pPr>
      <w:r>
        <w:rPr>
          <w:rFonts w:ascii="Calibri" w:hAnsi="Calibri" w:cs="Tahoma"/>
          <w:b/>
          <w:color w:val="1F4D78"/>
          <w:sz w:val="24"/>
        </w:rPr>
        <w:t>4.1 آموزش Teacher اصلی</w:t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Teacher اصلی از بلوک‌های ResNet یک‌بعدی، Squeeze-and-Excitation و Transformer روی سیگنال 500Hz استفاده کرد. آموزش 15 epoch کامل شد.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معیار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نتیجه منتخب</w:t>
            </w:r>
          </w:p>
        </w:tc>
        <w:trPr>
          <w:tblHeader/>
        </w:trPr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Accuracy حین آموزش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86.532%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Accuracy پس از تنظیم threshold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87.357%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Sensitivity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82.353%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Specificity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88.423%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F1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79.208%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AUC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93.096%</w:t>
            </w:r>
          </w:p>
        </w:tc>
      </w:tr>
    </w:tbl>
    <w:p>
      <w:pPr>
        <w:spacing w:after="40"/>
      </w:pP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تصمیم: چون AUC مناسب ولی Accuracy کمتر از 90 بود، ابتدا از روش‌های کم‌هزینه مانند threshold tuning و TTA استفاده شد.</w:t>
      </w:r>
    </w:p>
    <w:p>
      <w:pPr>
        <w:pStyle w:val="Heading3"/>
        <w:jc w:val="right"/>
        <w:bidi w:val="1"/>
      </w:pPr>
      <w:r>
        <w:rPr>
          <w:rFonts w:ascii="Calibri" w:hAnsi="Calibri" w:cs="Tahoma"/>
          <w:b/>
          <w:color w:val="1F4D78"/>
          <w:sz w:val="24"/>
        </w:rPr>
        <w:t>4.2 بهینه‌سازی Validation با TTA و threshold</w:t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چهار وضعیت TTA شامل 0، 1، 2 و 4 عبور و threshold با گام 0.001 بررسی شد.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612"/>
        <w:gridCol w:w="1612"/>
        <w:gridCol w:w="1612"/>
        <w:gridCol w:w="1612"/>
        <w:gridCol w:w="1612"/>
      </w:tblGrid>
      <w:tr>
        <w:tc>
          <w:tcPr>
            <w:tcW w:type="dxa" w:w="13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پیکربندی منتخب</w:t>
            </w:r>
          </w:p>
        </w:tc>
        <w:tc>
          <w:tcPr>
            <w:tcW w:type="dxa" w:w="1612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Accuracy</w:t>
            </w:r>
          </w:p>
        </w:tc>
        <w:tc>
          <w:tcPr>
            <w:tcW w:type="dxa" w:w="1612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Sensitivity</w:t>
            </w:r>
          </w:p>
        </w:tc>
        <w:tc>
          <w:tcPr>
            <w:tcW w:type="dxa" w:w="1612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Specificity</w:t>
            </w:r>
          </w:p>
        </w:tc>
        <w:tc>
          <w:tcPr>
            <w:tcW w:type="dxa" w:w="1612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F1</w:t>
            </w:r>
          </w:p>
        </w:tc>
        <w:tc>
          <w:tcPr>
            <w:tcW w:type="dxa" w:w="1612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AUC</w:t>
            </w:r>
          </w:p>
        </w:tc>
        <w:trPr>
          <w:tblHeader/>
        </w:trPr>
      </w:tr>
      <w:tr>
        <w:tc>
          <w:tcPr>
            <w:tcW w:type="dxa" w:w="13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TTA=1، threshold=0.591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87.448%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78.235%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91.617%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79.522%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93.072%</w:t>
            </w:r>
          </w:p>
        </w:tc>
      </w:tr>
    </w:tbl>
    <w:p>
      <w:pPr>
        <w:spacing w:after="40"/>
      </w:pP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نتیجه: بهبود حدود 0.09 واحد درصد بود؛ بنابراین inference optimization به‌تنهایی کافی نبود.</w:t>
      </w:r>
    </w:p>
    <w:p>
      <w:pPr>
        <w:pStyle w:val="Heading3"/>
        <w:jc w:val="right"/>
        <w:bidi w:val="1"/>
      </w:pPr>
      <w:r>
        <w:rPr>
          <w:rFonts w:ascii="Calibri" w:hAnsi="Calibri" w:cs="Tahoma"/>
          <w:b/>
          <w:color w:val="1F4D78"/>
          <w:sz w:val="24"/>
        </w:rPr>
        <w:t>4.3 Fine-tune با augmentation ضعیف</w:t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augmentation شدید مدل اصلی می‌توانست ویژگی‌های ظریف ECG را تخریب کند. در نتیجه noise، scale و shift ضعیف‌تر، learning rate برابر 1e-5، label smoothing برابر 0.02 و EMA برابر 0.99 استفاده شد.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612"/>
        <w:gridCol w:w="1612"/>
        <w:gridCol w:w="1612"/>
        <w:gridCol w:w="1612"/>
        <w:gridCol w:w="1612"/>
      </w:tblGrid>
      <w:tr>
        <w:tc>
          <w:tcPr>
            <w:tcW w:type="dxa" w:w="13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Epoch</w:t>
            </w:r>
          </w:p>
        </w:tc>
        <w:tc>
          <w:tcPr>
            <w:tcW w:type="dxa" w:w="1612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Accuracy</w:t>
            </w:r>
          </w:p>
        </w:tc>
        <w:tc>
          <w:tcPr>
            <w:tcW w:type="dxa" w:w="1612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Sensitivity</w:t>
            </w:r>
          </w:p>
        </w:tc>
        <w:tc>
          <w:tcPr>
            <w:tcW w:type="dxa" w:w="1612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Specificity</w:t>
            </w:r>
          </w:p>
        </w:tc>
        <w:tc>
          <w:tcPr>
            <w:tcW w:type="dxa" w:w="1612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F1</w:t>
            </w:r>
          </w:p>
        </w:tc>
        <w:tc>
          <w:tcPr>
            <w:tcW w:type="dxa" w:w="1612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AUC</w:t>
            </w:r>
          </w:p>
        </w:tc>
        <w:trPr>
          <w:tblHeader/>
        </w:trPr>
      </w:tr>
      <w:tr>
        <w:tc>
          <w:tcPr>
            <w:tcW w:type="dxa" w:w="13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87.540%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77.059%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92.282%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79.394%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93.138%</w:t>
            </w:r>
          </w:p>
        </w:tc>
      </w:tr>
      <w:tr>
        <w:tc>
          <w:tcPr>
            <w:tcW w:type="dxa" w:w="13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612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87.586%</w:t>
            </w:r>
          </w:p>
        </w:tc>
        <w:tc>
          <w:tcPr>
            <w:tcW w:type="dxa" w:w="1612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75.441%</w:t>
            </w:r>
          </w:p>
        </w:tc>
        <w:tc>
          <w:tcPr>
            <w:tcW w:type="dxa" w:w="1612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93.081%</w:t>
            </w:r>
          </w:p>
        </w:tc>
        <w:tc>
          <w:tcPr>
            <w:tcW w:type="dxa" w:w="1612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79.106%</w:t>
            </w:r>
          </w:p>
        </w:tc>
        <w:tc>
          <w:tcPr>
            <w:tcW w:type="dxa" w:w="1612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93.131%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87.494%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77.059%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92.216%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79.334%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93.162%</w:t>
            </w:r>
          </w:p>
        </w:tc>
      </w:tr>
      <w:tr>
        <w:tc>
          <w:tcPr>
            <w:tcW w:type="dxa" w:w="13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612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87.448%</w:t>
            </w:r>
          </w:p>
        </w:tc>
        <w:tc>
          <w:tcPr>
            <w:tcW w:type="dxa" w:w="1612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76.618%</w:t>
            </w:r>
          </w:p>
        </w:tc>
        <w:tc>
          <w:tcPr>
            <w:tcW w:type="dxa" w:w="1612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92.349%</w:t>
            </w:r>
          </w:p>
        </w:tc>
        <w:tc>
          <w:tcPr>
            <w:tcW w:type="dxa" w:w="1612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79.179%</w:t>
            </w:r>
          </w:p>
        </w:tc>
        <w:tc>
          <w:tcPr>
            <w:tcW w:type="dxa" w:w="1612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93.122%</w:t>
            </w:r>
          </w:p>
        </w:tc>
      </w:tr>
      <w:tr>
        <w:tc>
          <w:tcPr>
            <w:tcW w:type="dxa" w:w="13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87.403%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77.059%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92.083%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79.214%</w:t>
            </w:r>
          </w:p>
        </w:tc>
        <w:tc>
          <w:tcPr>
            <w:tcW w:type="dxa" w:w="1612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93.124%</w:t>
            </w:r>
          </w:p>
        </w:tc>
      </w:tr>
    </w:tbl>
    <w:p>
      <w:pPr>
        <w:spacing w:after="40"/>
      </w:pP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تصمیم: روند ثابت پنج epoch نشان داد که ادامه همین fine-tune احتمالاً بازده اندکی دارد.</w:t>
      </w:r>
    </w:p>
    <w:p>
      <w:pPr>
        <w:pStyle w:val="Heading3"/>
        <w:jc w:val="right"/>
        <w:bidi w:val="1"/>
      </w:pPr>
      <w:r>
        <w:rPr>
          <w:rFonts w:ascii="Calibri" w:hAnsi="Calibri" w:cs="Tahoma"/>
          <w:b/>
          <w:color w:val="1F4D78"/>
          <w:sz w:val="24"/>
        </w:rPr>
        <w:t>4.4 Ensemble سریع</w:t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پیش‌بینی Teacher اصلی و بهترین fine-tune با TTAهای مختلف، وزن‌های ترکیب و thresholdهای متعدد ترکیب شدند. در مجموع 389 پیکربندی بررسی شد.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معیار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نتیجه</w:t>
            </w:r>
          </w:p>
        </w:tc>
        <w:trPr>
          <w:tblHeader/>
        </w:trPr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Accuracy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87.769%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Sensitivity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77.500%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Specificity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92.415%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F1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79.788%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AUC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93.225%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پیکربندی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Original TTA4 + Fine-tuned TTA4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وزن Fine-tuned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0.90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Threshold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0.625</w:t>
            </w:r>
          </w:p>
        </w:tc>
      </w:tr>
    </w:tbl>
    <w:p>
      <w:pPr>
        <w:spacing w:after="40"/>
      </w:pP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این بهترین نتیجه کل پروژه تا زمان تنظیم این گزارش است، ولی هدف 90 درصد حاصل نشد.</w:t>
      </w:r>
    </w:p>
    <w:p>
      <w:pPr>
        <w:pStyle w:val="Heading3"/>
        <w:jc w:val="right"/>
        <w:bidi w:val="1"/>
      </w:pPr>
      <w:r>
        <w:rPr>
          <w:rFonts w:ascii="Calibri" w:hAnsi="Calibri" w:cs="Tahoma"/>
          <w:b/>
          <w:color w:val="1F4D78"/>
          <w:sz w:val="24"/>
        </w:rPr>
        <w:t>4.5 Teacher سریع 100Hz</w:t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برای آزمایش سریع یک خانواده معماری متفاوت، مدل سبک ResNet-SE روی رکورد رسمی 100Hz ساخته شد. میانگین و بیشینه ویژگی‌ها با سن و جنس ادغام شدند. AMP و batch size 128 استفاده شد و DataLoader چهار worker موازی داشت.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مشخصه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مقدار</w:t>
            </w:r>
          </w:p>
        </w:tc>
        <w:trPr>
          <w:tblHeader/>
        </w:trPr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Train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17,418 رکورد؛ 5,592 مثبت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Validation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2,183 رکورد؛ 680 مثبت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Epoch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20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Batch size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128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Optimizer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AdamW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Scheduler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OneCycleLR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بهترین epoch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11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معیار بهترین epoch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نتیجه</w:t>
            </w:r>
          </w:p>
        </w:tc>
        <w:trPr>
          <w:tblHeader/>
        </w:trPr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Accuracy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86.257%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Sensitivity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71.618%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Specificity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92.881%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F1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76.452%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AUC</w:t>
            </w:r>
          </w:p>
        </w:tc>
        <w:tc>
          <w:tcPr>
            <w:tcW w:type="dxa" w:w="666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92.184%</w:t>
            </w:r>
          </w:p>
        </w:tc>
      </w:tr>
      <w:tr>
        <w:tc>
          <w:tcPr>
            <w:tcW w:type="dxa" w:w="27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Threshold</w:t>
            </w:r>
          </w:p>
        </w:tc>
        <w:tc>
          <w:tcPr>
            <w:tcW w:type="dxa" w:w="666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0.605</w:t>
            </w:r>
          </w:p>
        </w:tc>
      </w:tr>
    </w:tbl>
    <w:p>
      <w:pPr>
        <w:spacing w:after="40"/>
      </w:pP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epoch بیستم با Accuracy برابر 84.333 درصد تمام شد. افت epochهای پایانی نشان داد این شاخه از بهترین مدل قبلی عبور نکرد.</w:t>
      </w:r>
    </w:p>
    <w:p>
      <w:pPr>
        <w:pStyle w:val="Heading2"/>
        <w:jc w:val="right"/>
        <w:bidi w:val="1"/>
      </w:pPr>
      <w:r>
        <w:rPr>
          <w:rFonts w:ascii="Calibri" w:hAnsi="Calibri" w:cs="Tahoma"/>
          <w:b/>
          <w:color w:val="2E74B5"/>
          <w:sz w:val="26"/>
        </w:rPr>
        <w:t>5. مشکلات عملیاتی و راه‌حل‌ها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86"/>
        <w:gridCol w:w="2487"/>
        <w:gridCol w:w="2487"/>
      </w:tblGrid>
      <w:tr>
        <w:tc>
          <w:tcPr>
            <w:tcW w:type="dxa" w:w="19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مشکل مشاهده‌شده</w:t>
            </w:r>
          </w:p>
        </w:tc>
        <w:tc>
          <w:tcPr>
            <w:tcW w:type="dxa" w:w="2486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علت</w:t>
            </w:r>
          </w:p>
        </w:tc>
        <w:tc>
          <w:tcPr>
            <w:tcW w:type="dxa" w:w="2487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اقدام انجام‌شده</w:t>
            </w:r>
          </w:p>
        </w:tc>
        <w:tc>
          <w:tcPr>
            <w:tcW w:type="dxa" w:w="2487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نتیجه</w:t>
            </w:r>
          </w:p>
        </w:tc>
        <w:trPr>
          <w:tblHeader/>
        </w:trPr>
      </w:tr>
      <w:tr>
        <w:tc>
          <w:tcPr>
            <w:tcW w:type="dxa" w:w="19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قطع برق و نیاز به خاموش‌کردن لپ‌تاپ</w:t>
            </w:r>
          </w:p>
        </w:tc>
        <w:tc>
          <w:tcPr>
            <w:tcW w:type="dxa" w:w="248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محدودیت انرژی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checkpoint و ثبت وضعیت مرحله‌ای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امکان ادامه بدون شروع از صفر</w:t>
            </w:r>
          </w:p>
        </w:tc>
      </w:tr>
      <w:tr>
        <w:tc>
          <w:tcPr>
            <w:tcW w:type="dxa" w:w="19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GPU ظاهراً بیکار</w:t>
            </w:r>
          </w:p>
        </w:tc>
        <w:tc>
          <w:tcPr>
            <w:tcW w:type="dxa" w:w="2486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خواندن WFDB و فاصله بین batchها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بررسی پردازش و nvidia-smi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مشخص شد استفاده GPU bursty است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GPU واقعاً کم‌استفاده در مدل 100Hz</w:t>
            </w:r>
          </w:p>
        </w:tc>
        <w:tc>
          <w:tcPr>
            <w:tcW w:type="dxa" w:w="248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DataLoader تک‌پردازه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چهار worker، prefetch و persistent workers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پس از warm-up، GPU به 100% رسید و سرعت batch بالا رفت</w:t>
            </w:r>
          </w:p>
        </w:tc>
      </w:tr>
      <w:tr>
        <w:tc>
          <w:tcPr>
            <w:tcW w:type="dxa" w:w="19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فضای C به 0.12GB رسید</w:t>
            </w:r>
          </w:p>
        </w:tc>
        <w:tc>
          <w:tcPr>
            <w:tcW w:type="dxa" w:w="2486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فایل‌های موقت و checkpointهای حجیم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پاک‌سازی سه هدف موقت مشخص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فضای آزاد ابتدا به 5.63GB و سپس حدود 47GB رسید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درایو D دیده می‌شد ولی قابل دسترسی نبود</w:t>
            </w:r>
          </w:p>
        </w:tc>
        <w:tc>
          <w:tcPr>
            <w:tcW w:type="dxa" w:w="248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محدودیت محیط اجرای فعلی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عدم انتقال checkpoint و پاک‌سازی امن Temp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ادامه ذخیره روی C</w:t>
            </w:r>
          </w:p>
        </w:tc>
      </w:tr>
      <w:tr>
        <w:tc>
          <w:tcPr>
            <w:tcW w:type="dxa" w:w="19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failure ذخیره snapshot</w:t>
            </w:r>
          </w:p>
        </w:tc>
        <w:tc>
          <w:tcPr>
            <w:tcW w:type="dxa" w:w="2486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وجود state حجیم تکراری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snapshot فشرده‌تر و ذخیره اتمیک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جلوگیری از فایل نیمه‌کاره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خطای resume در RNG</w:t>
            </w:r>
          </w:p>
        </w:tc>
        <w:tc>
          <w:tcPr>
            <w:tcW w:type="dxa" w:w="248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tensor وضعیت RNG با map_location روی CUDA قرار گرفت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تبدیل صریح RNG به ByteTensor روی CPU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resume از batch 156 موفق شد</w:t>
            </w:r>
          </w:p>
        </w:tc>
      </w:tr>
      <w:tr>
        <w:tc>
          <w:tcPr>
            <w:tcW w:type="dxa" w:w="19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اجرای ensemble بدون خروجی لحظه‌ای</w:t>
            </w:r>
          </w:p>
        </w:tc>
        <w:tc>
          <w:tcPr>
            <w:tcW w:type="dxa" w:w="2486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inference فاقد progress bar و I/O-bound بود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بررسی CPU/process و انتظار تا پایان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389 ترکیب کامل و نتیجه ثبت شد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loss مدل 100Hz در CSV غیرعادی بزرگ بود</w:t>
            </w:r>
          </w:p>
        </w:tc>
        <w:tc>
          <w:tcPr>
            <w:tcW w:type="dxa" w:w="248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جمع epoch به‌جای میانگین ثبت شد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فرمول گزارش اصلاح و میانگین‌های صحیح مستند شد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معیارهای Accuracy/AUC و خود آموزش تحت تأثیر نبودند</w:t>
            </w:r>
          </w:p>
        </w:tc>
      </w:tr>
      <w:tr>
        <w:tc>
          <w:tcPr>
            <w:tcW w:type="dxa" w:w="19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checkpoint پیشرفت قدیمی‌تر از history نهایی</w:t>
            </w:r>
          </w:p>
        </w:tc>
        <w:tc>
          <w:tcPr>
            <w:tcW w:type="dxa" w:w="2486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progress فقط هر پنج دقیقه نوشته می‌شد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اعتبار نهایی از history.csv و report.json گرفته شد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20 epoch کامل تأیید شد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</w:pPr>
      <w:r>
        <w:rPr>
          <w:rFonts w:ascii="Calibri" w:hAnsi="Calibri" w:cs="Tahoma"/>
          <w:b/>
          <w:color w:val="2E74B5"/>
          <w:sz w:val="26"/>
        </w:rPr>
        <w:t>6. مدیریت GPU و کارایی</w:t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کارت NVIDIA از طریق PyTorch CUDA شناسایی شد. صفر بودن مصرف در بعضی نمونه‌گیری‌ها به معنی توقف نبود؛ عملیات خواندن و decode فایل‌های WFDB روی CPU و دیسک انجام می‌شود و GPU فقط هنگام forward/backward فعال است. در آزمایش 100Hz، پس از فعال‌سازی چهار worker، نمونه مصرف 100 درصد، وضعیت توان P0 و دمای حدود 65 درجه ثبت شد.</w:t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برای جلوگیری از برداشت اشتباه، در گزارش‌های بعدی باید هم‌زمان سه شاخص بررسی شوند: پیشرفت batch در ترمینال، وجود پردازش Python و تغییر CPU/I/O، و استفاده/حافظه GPU.</w:t>
      </w:r>
    </w:p>
    <w:p>
      <w:pPr>
        <w:pStyle w:val="Heading2"/>
        <w:jc w:val="right"/>
        <w:bidi w:val="1"/>
      </w:pPr>
      <w:r>
        <w:rPr>
          <w:rFonts w:ascii="Calibri" w:hAnsi="Calibri" w:cs="Tahoma"/>
          <w:b/>
          <w:color w:val="2E74B5"/>
          <w:sz w:val="26"/>
        </w:rPr>
        <w:t>7. وضعیت مدل‌ها در یک نگاه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86"/>
        <w:gridCol w:w="2487"/>
        <w:gridCol w:w="2487"/>
      </w:tblGrid>
      <w:tr>
        <w:tc>
          <w:tcPr>
            <w:tcW w:type="dxa" w:w="1900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مدل/روش</w:t>
            </w:r>
          </w:p>
        </w:tc>
        <w:tc>
          <w:tcPr>
            <w:tcW w:type="dxa" w:w="2486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بهترین Accuracy Validation</w:t>
            </w:r>
          </w:p>
        </w:tc>
        <w:tc>
          <w:tcPr>
            <w:tcW w:type="dxa" w:w="2487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AUC</w:t>
            </w:r>
          </w:p>
        </w:tc>
        <w:tc>
          <w:tcPr>
            <w:tcW w:type="dxa" w:w="2487"/>
            <w:vAlign w:val="center"/>
            <w:shd w:fill="E8EEF5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/>
                <w:color w:val="1F4D78"/>
                <w:sz w:val="17"/>
              </w:rPr>
              <w:t>وضعیت</w:t>
            </w:r>
          </w:p>
        </w:tc>
        <w:trPr>
          <w:tblHeader/>
        </w:trPr>
      </w:tr>
      <w:tr>
        <w:tc>
          <w:tcPr>
            <w:tcW w:type="dxa" w:w="19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Teacher اصلی + threshold</w:t>
            </w:r>
          </w:p>
        </w:tc>
        <w:tc>
          <w:tcPr>
            <w:tcW w:type="dxa" w:w="248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87.357%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حدود 93.1%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تکمیل</w:t>
            </w:r>
          </w:p>
        </w:tc>
      </w:tr>
      <w:tr>
        <w:tc>
          <w:tcPr>
            <w:tcW w:type="dxa" w:w="19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TTA optimization</w:t>
            </w:r>
          </w:p>
        </w:tc>
        <w:tc>
          <w:tcPr>
            <w:tcW w:type="dxa" w:w="2486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87.448%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93.143%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تکمیل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Weak-augmentation fine-tune</w:t>
            </w:r>
          </w:p>
        </w:tc>
        <w:tc>
          <w:tcPr>
            <w:tcW w:type="dxa" w:w="248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87.586%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93.162%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تکمیل</w:t>
            </w:r>
          </w:p>
        </w:tc>
      </w:tr>
      <w:tr>
        <w:tc>
          <w:tcPr>
            <w:tcW w:type="dxa" w:w="1900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Ensemble</w:t>
            </w:r>
          </w:p>
        </w:tc>
        <w:tc>
          <w:tcPr>
            <w:tcW w:type="dxa" w:w="2486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87.769%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93.225%</w:t>
            </w:r>
          </w:p>
        </w:tc>
        <w:tc>
          <w:tcPr>
            <w:tcW w:type="dxa" w:w="2487"/>
            <w:vAlign w:val="center"/>
            <w:shd w:fill="F8FAFC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بهترین فعلی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FastTeacher100Hz</w:t>
            </w:r>
          </w:p>
        </w:tc>
        <w:tc>
          <w:tcPr>
            <w:tcW w:type="dxa" w:w="248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86.257%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92.184%</w:t>
            </w:r>
          </w:p>
        </w:tc>
        <w:tc>
          <w:tcPr>
            <w:tcW w:type="dxa" w:w="2487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Calibri" w:hAnsi="Calibri" w:cs="Tahoma"/>
                <w:b w:val="0"/>
                <w:color w:val="000000"/>
                <w:sz w:val="17"/>
              </w:rPr>
              <w:t>تکمیل؛ ضعیف‌تر از ensemble</w:t>
            </w:r>
          </w:p>
        </w:tc>
      </w:tr>
    </w:tbl>
    <w:p>
      <w:pPr>
        <w:spacing w:after="40"/>
      </w:pPr>
    </w:p>
    <w:p>
      <w:pPr>
        <w:pStyle w:val="Heading2"/>
        <w:jc w:val="right"/>
        <w:bidi w:val="1"/>
      </w:pPr>
      <w:r>
        <w:rPr>
          <w:rFonts w:ascii="Calibri" w:hAnsi="Calibri" w:cs="Tahoma"/>
          <w:b/>
          <w:color w:val="2E74B5"/>
          <w:sz w:val="26"/>
        </w:rPr>
        <w:t>8. فایل‌های خروجی مهم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Teacher اصلی: C:\ptbxl\project\checkpoints\teacher\teacher_mi_binary_best.pt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Fine-tuned Teacher: C:\ptbxl\results\teacher_optimization\finetune_weak_aug\teacher_finetuned_best.pt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گزارش fine-tune: C:\ptbxl\results\teacher_optimization\finetune_weak_aug\report.json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گزارش ensemble: C:\ptbxl\results\teacher_optimization\fast_ensemble\report.json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Teacher سریع: C:\ptbxl\results\teacher_fast_100hz\teacher_fast_best.pt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گزارش Teacher سریع: C:\ptbxl\results\teacher_fast_100hz\report.json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گزارش توسعه قبلی: C:\ptbxl\results\TEACHER_DEVELOPMENT_LOG.md/.json</w:t>
      </w:r>
    </w:p>
    <w:p>
      <w:pPr>
        <w:pStyle w:val="Heading2"/>
        <w:jc w:val="right"/>
        <w:bidi w:val="1"/>
      </w:pPr>
      <w:r>
        <w:rPr>
          <w:rFonts w:ascii="Calibri" w:hAnsi="Calibri" w:cs="Tahoma"/>
          <w:b/>
          <w:color w:val="2E74B5"/>
          <w:sz w:val="26"/>
        </w:rPr>
        <w:t>9. تفسیر علمی نتایج</w:t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AUC حدود 93 درصد نشان می‌دهد Teacher اصلی رتبه‌بندی مناسبی دارد، اما هم‌پوشانی توزیع احتمال دو کلاس اجازه نمی‌دهد threshold به‌تنهایی Accuracy را به 90 درصد برساند. fine-tune و ensemble تنها بهبود محدود ایجاد کردند. مدل 100Hz سریع‌تر بود، اما کاهش وضوح زمانی و ظرفیت کمتر، نتیجه را بهتر نکرد. بنابراین افزایش epoch یا دست‌کاری بیشتر threshold روی همان Validation احتمال overfitting انتخابی را بالا می‌برد و از نظر پژوهشی توصیه نمی‌شود.</w:t>
      </w:r>
    </w:p>
    <w:p>
      <w:pPr>
        <w:pStyle w:val="Heading2"/>
        <w:jc w:val="right"/>
        <w:bidi w:val="1"/>
      </w:pPr>
      <w:r>
        <w:rPr>
          <w:rFonts w:ascii="Calibri" w:hAnsi="Calibri" w:cs="Tahoma"/>
          <w:b/>
          <w:color w:val="2E74B5"/>
          <w:sz w:val="26"/>
        </w:rPr>
        <w:t>10. برنامه ادامه</w:t>
      </w:r>
    </w:p>
    <w:p>
      <w:pPr>
        <w:pStyle w:val="ListNumber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استفاده از معماری رسمی benchmark مانند xresnet1d101 یا inception1d که در ادبیات PTB-XL AUC حدود 0.925 تا 0.937 گزارش کرده‌اند.</w:t>
      </w:r>
    </w:p>
    <w:p>
      <w:pPr>
        <w:pStyle w:val="ListNumber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تطبیق خروجی مدل با برچسب دودویی فعلی، بدون تغییر split و بدون استفاده از Test.</w:t>
      </w:r>
    </w:p>
    <w:p>
      <w:pPr>
        <w:pStyle w:val="ListNumber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checkpoint پنج‌دقیقه‌ای و early stopping بر اساس Accuracy/AUC Validation.</w:t>
      </w:r>
    </w:p>
    <w:p>
      <w:pPr>
        <w:pStyle w:val="ListNumber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در صورت بهبود، ensemble مدل benchmark با Teacher 500Hz فعلی.</w:t>
      </w:r>
    </w:p>
    <w:p>
      <w:pPr>
        <w:pStyle w:val="ListNumber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قفل‌کردن مدل و threshold، سپس یک ارزیابی نهایی روی fold 10.</w:t>
      </w:r>
    </w:p>
    <w:p>
      <w:pPr>
        <w:pStyle w:val="ListNumber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پس از تثبیت Teacher، ادامه Student دو‌لید و Multi-Level Knowledge Distillation.</w:t>
      </w:r>
    </w:p>
    <w:p>
      <w:pPr>
        <w:pStyle w:val="Heading2"/>
        <w:jc w:val="right"/>
        <w:bidi w:val="1"/>
      </w:pPr>
      <w:r>
        <w:rPr>
          <w:rFonts w:ascii="Calibri" w:hAnsi="Calibri" w:cs="Tahoma"/>
          <w:b/>
          <w:color w:val="2E74B5"/>
          <w:sz w:val="26"/>
        </w:rPr>
        <w:t>11. ملاحظات بازتولیدپذیری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seed اصلی 42 است.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تعداد نمونه‌ها و ماتریس اغتشاش هر مرحله ثبت شده است.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تمام انتخاب‌ها بر اساس Validation انجام شده‌اند.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هیچ نتیجه Test در این گزارش وجود ندارد.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مقدار loss تاریخی FastTeacher100Hz در فایل خام به‌صورت مجموع ثبت شده؛ برای مقایسه باید بر 137 batch تقسیم شود. کد آن برای اجراهای آینده اصلاح شده است.</w:t>
      </w:r>
    </w:p>
    <w:p>
      <w:pPr>
        <w:pStyle w:val="ListBullet"/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قبل از هر ادعای نهایی پایان‌نامه، فایل JSON/CSV متناظر باید منبع عدد باشد، نه خروجی کوتاه ترمینال.</w:t>
      </w:r>
    </w:p>
    <w:p>
      <w:pPr>
        <w:pStyle w:val="Heading2"/>
        <w:jc w:val="right"/>
        <w:bidi w:val="1"/>
      </w:pPr>
      <w:r>
        <w:rPr>
          <w:rFonts w:ascii="Calibri" w:hAnsi="Calibri" w:cs="Tahoma"/>
          <w:b/>
          <w:color w:val="2E74B5"/>
          <w:sz w:val="26"/>
        </w:rPr>
        <w:t>12. جمع‌بندی</w:t>
      </w:r>
    </w:p>
    <w:p>
      <w:pPr>
        <w:jc w:val="right"/>
        <w:bidi w:val="1"/>
      </w:pPr>
      <w:r>
        <w:rPr>
          <w:rFonts w:ascii="Calibri" w:hAnsi="Calibri" w:cs="Tahoma"/>
          <w:b w:val="0"/>
          <w:color w:val="000000"/>
          <w:sz w:val="21"/>
        </w:rPr>
        <w:t>پروژه از Teacher اولیه 87.357 درصد به بهترین Validation Accuracy برابر 87.769 درصد رسید. این افزایش با TTA، fine-tune و ensemble حاصل شد، اما هدف 90 درصد هنوز محقق نشده است. آزمایش سریع 100Hz نشان داد کاهش محاسبات لزوماً به دقت بهتر منجر نمی‌شود. ادامه منطقی، استفاده از backbone رسمی و قوی‌تر PTB-XL است؛ Test همچنان مهروموم باقی می‌ماند تا اعتبار روش‌شناسی حفظ شود.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Tahoma"/>
        <w:b w:val="0"/>
        <w:color w:val="666666"/>
        <w:sz w:val="18"/>
      </w:rPr>
      <w:t xml:space="preserve">صفحه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Calibri" w:hAnsi="Calibri" w:cs="Tahoma"/>
        <w:b w:val="0"/>
        <w:color w:val="666666"/>
        <w:sz w:val="18"/>
      </w:rPr>
      <w:t>گزارش فعالیت پژوهشی | پروژه PTB-XL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ahoma" w:hAnsi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ahoma" w:hAnsi="Tahoma" w:cs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ahoma" w:hAnsi="Tahoma" w:cs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جامع فعالیت‌های پروژه PTB-XL</dc:title>
  <dc:subject>Teacher training and knowledge distillation activity report</dc:subject>
  <dc:creator>PTB-XL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