
<file path=[Content_Types].xml><?xml version="1.0" encoding="utf-8"?>
<Types xmlns="http://schemas.openxmlformats.org/package/2006/content-types">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Default Extension="rels" ContentType="application/vnd.openxmlformats-package.relationships+xml"/>
  <Default Extension="png" ContentType="image/png"/>
  <Default Extension="jpeg" ContentType="image/jpeg"/>
  <Default Extension="jpg" ContentType="image/jpeg"/>
  <Default Extension="gif" ContentType="image/gif"/>
  <Default Extension="xml" ContentType="application/xml"/>
  <Default Extension="xlsx" ContentType="application/vnd.openxmlformats-officedocument.spreadsheetml.sheet"/>
</Types>
</file>

<file path=_rels/.rels><?xml version="1.0" encoding="UTF-8"?>
<Relationships xmlns="http://schemas.openxmlformats.org/package/2006/relationships"><Relationship Id="rId1" Type="http://schemas.openxmlformats.org/officeDocument/2006/relationships/officeDocument" Target="word/document.xml"></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pPr>
        <w:spacing w:before="480" w:after="480" w:line="288" w:lineRule="auto"/>
        <w:ind w:left="0"/>
      </w:pPr>
      <w:r>
        <w:rPr>
          <w:b w:val="true"/>
          <w:sz w:val="52"/>
        </w:rPr>
        <w:t xml:space="preserve">5M Class - 2026 2026-09-09 20:01(GMT+10:00)</w:t>
      </w:r>
    </w:p>
    <w:p>
      <w:pPr>
        <w:pStyle w:val="Heading2"/>
        <w:spacing w:before="120" w:after="120" w:line="288"/>
        <w:jc w:val="left"/>
      </w:pPr>
      <w:bookmarkStart w:name="_Toc1" w:id="1"/>
      <w:r>
        <w:rPr/>
        <w:t xml:space="preserve">Concept</w:t>
      </w:r>
      <w:bookmarkEnd w:id="1"/>
    </w:p>
    <w:p>
      <w:pPr>
        <w:pStyle w:val="ListParagraph"/>
        <w:numPr>
          <w:ilvl w:val="0"/>
          <w:numId w:val="1"/>
        </w:numPr>
        <w:spacing w:before="120" w:after="120" w:line="288"/>
        <w:jc w:val="left"/>
      </w:pPr>
      <w:r>
        <w:rPr>
          <w:b w:val="true"/>
          <w:bCs w:val="true"/>
        </w:rPr>
        <w:t xml:space="preserve">Nasab (Lineage/Paternity):</w:t>
      </w:r>
      <w:r>
        <w:rPr/>
        <w:t xml:space="preserve"> The legal establishment of a child's parentage under Islamic law, determining who is recognized as the child's father and what rights and obligations flow from that recognition.</w:t>
      </w:r>
    </w:p>
    <w:p>
      <w:pPr>
        <w:pStyle w:val="ListParagraph"/>
        <w:numPr>
          <w:ilvl w:val="0"/>
          <w:numId w:val="2"/>
        </w:numPr>
        <w:spacing w:before="120" w:after="120" w:line="288"/>
        <w:jc w:val="left"/>
      </w:pPr>
      <w:r>
        <w:rPr>
          <w:b w:val="true"/>
          <w:bCs w:val="true"/>
        </w:rPr>
        <w:t xml:space="preserve">Firaash:</w:t>
      </w:r>
      <w:r>
        <w:rPr/>
        <w:t xml:space="preserve"> The legal concept of a valid marital bed — when a valid marriage exists, the husband is presumed to be the father of any child born within it; this presumption is the primary basis for establishing nasab. </w:t>
      </w:r>
      <w:r>
        <w:rPr/>
        <w:t xml:space="preserve"/>
      </w:r>
    </w:p>
    <w:p>
      <w:pPr>
        <w:pStyle w:val="ListParagraph"/>
        <w:numPr>
          <w:ilvl w:val="0"/>
          <w:numId w:val="3"/>
        </w:numPr>
        <w:spacing w:before="120" w:after="120" w:line="288"/>
        <w:jc w:val="left"/>
      </w:pPr>
      <w:r>
        <w:rPr>
          <w:b w:val="true"/>
          <w:bCs w:val="true"/>
        </w:rPr>
        <w:t xml:space="preserve">Ulooq (Conception):</w:t>
      </w:r>
      <w:r>
        <w:rPr/>
        <w:t xml:space="preserve"> The moment of conception; Islamic jurisprudence determines paternity by examining whether conception could plausibly have occurred during a valid marriage or waiting period ('iddah).</w:t>
      </w:r>
    </w:p>
    <w:p>
      <w:pPr>
        <w:pStyle w:val="ListParagraph"/>
        <w:numPr>
          <w:ilvl w:val="0"/>
          <w:numId w:val="4"/>
        </w:numPr>
        <w:spacing w:before="120" w:after="120" w:line="288"/>
        <w:jc w:val="left"/>
      </w:pPr>
      <w:r>
        <w:rPr>
          <w:b w:val="true"/>
          <w:bCs w:val="true"/>
        </w:rPr>
        <w:t xml:space="preserve">'Iddah:</w:t>
      </w:r>
      <w:r>
        <w:rPr/>
        <w:t xml:space="preserve"> The mandatory waiting period a woman must observe after divorce or the death of her husband before she may remarry; its duration and type affect how long nasab can be established after the marriage ends.</w:t>
      </w:r>
    </w:p>
    <w:p>
      <w:pPr>
        <w:pStyle w:val="ListParagraph"/>
        <w:numPr>
          <w:ilvl w:val="0"/>
          <w:numId w:val="5"/>
        </w:numPr>
        <w:spacing w:before="120" w:after="120" w:line="288"/>
        <w:jc w:val="left"/>
      </w:pPr>
      <w:r>
        <w:rPr>
          <w:b w:val="true"/>
          <w:bCs w:val="true"/>
        </w:rPr>
        <w:t xml:space="preserve">Hadanah (Custody):</w:t>
      </w:r>
      <w:r>
        <w:rPr/>
        <w:t xml:space="preserve"> The right and responsibility to physically care for and raise a child after the separation of the parents; Islamic law establishes a detailed hierarchy of who holds this right.</w:t>
      </w:r>
    </w:p>
    <w:p>
      <w:pPr>
        <w:pStyle w:val="ListParagraph"/>
        <w:numPr>
          <w:ilvl w:val="0"/>
          <w:numId w:val="6"/>
        </w:numPr>
        <w:spacing w:before="120" w:after="120" w:line="288"/>
        <w:jc w:val="left"/>
      </w:pPr>
      <w:r>
        <w:rPr>
          <w:b w:val="true"/>
          <w:bCs w:val="true"/>
        </w:rPr>
        <w:t xml:space="preserve">Umm al-Walad:</w:t>
      </w:r>
      <w:r>
        <w:rPr/>
        <w:t xml:space="preserve"> A slave woman who gives birth to her master's child; this status grants her significant legal protections.</w:t>
      </w:r>
    </w:p>
    <w:p>
      <w:pPr>
        <w:pBdr>
          <w:bottom w:val="single" w:color="000000" w:sz="6" w:space="1"/>
          <w:between w:val="single" w:color="000000" w:sz="6" w:space="1"/>
        </w:pBdr>
        <w:spacing w:before="120" w:after="120" w:line="288" w:lineRule="auto"/>
        <w:ind w:left="0"/>
      </w:pPr>
    </w:p>
    <w:p>
      <w:pPr>
        <w:pStyle w:val="Heading2"/>
        <w:spacing w:before="120" w:after="120" w:line="288"/>
        <w:jc w:val="left"/>
      </w:pPr>
      <w:bookmarkStart w:name="_Toc2" w:id="2"/>
      <w:r>
        <w:rPr/>
        <w:t xml:space="preserve">What I Understood</w:t>
      </w:r>
      <w:bookmarkEnd w:id="2"/>
    </w:p>
    <w:p>
      <w:pPr>
        <w:pStyle w:val="Heading3"/>
        <w:spacing w:before="120" w:after="120" w:line="288"/>
        <w:jc w:val="left"/>
      </w:pPr>
      <w:bookmarkStart w:name="_Toc3" w:id="3"/>
      <w:r>
        <w:rPr/>
        <w:t xml:space="preserve">Establishing Nasab: The Core Framework</w:t>
      </w:r>
      <w:bookmarkEnd w:id="3"/>
    </w:p>
    <w:p>
      <w:pPr>
        <w:pStyle w:val="ListParagraph"/>
        <w:numPr>
          <w:ilvl w:val="0"/>
          <w:numId w:val="7"/>
        </w:numPr>
        <w:spacing w:before="120" w:after="120" w:line="288"/>
        <w:jc w:val="left"/>
      </w:pPr>
      <w:r>
        <w:rPr/>
        <w:t xml:space="preserve">The </w:t>
      </w:r>
      <w:r>
        <w:rPr>
          <w:b w:val="true"/>
          <w:bCs w:val="true"/>
        </w:rPr>
        <w:t xml:space="preserve">primary basis for nasab is firaash</w:t>
      </w:r>
      <w:r>
        <w:rPr/>
        <w:t xml:space="preserve"> — if a valid marriage exists and the child is born within it, the husband is presumed the father without any further proof required. </w:t>
      </w:r>
      <w:r>
        <w:rPr/>
        <w:t xml:space="preserve"/>
      </w:r>
    </w:p>
    <w:p>
      <w:pPr>
        <w:pStyle w:val="ListParagraph"/>
        <w:numPr>
          <w:ilvl w:val="0"/>
          <w:numId w:val="8"/>
        </w:numPr>
        <w:spacing w:before="120" w:after="120" w:line="288"/>
        <w:jc w:val="left"/>
      </w:pPr>
      <w:r>
        <w:rPr/>
        <w:t xml:space="preserve">Islamic law prioritizes establishing nasab wherever possible, because denying it carries the implication of accusing the mother of adultery (zina), which requires an extremely high evidentiary standard (four witnesses). </w:t>
      </w:r>
      <w:r>
        <w:rPr/>
        <w:t xml:space="preserve"/>
      </w:r>
    </w:p>
    <w:p>
      <w:pPr>
        <w:pStyle w:val="ListParagraph"/>
        <w:numPr>
          <w:ilvl w:val="0"/>
          <w:numId w:val="9"/>
        </w:numPr>
        <w:spacing w:before="120" w:after="120" w:line="288"/>
        <w:jc w:val="left"/>
      </w:pPr>
      <w:r>
        <w:rPr/>
        <w:t xml:space="preserve">The </w:t>
      </w:r>
      <w:r>
        <w:rPr>
          <w:b w:val="true"/>
          <w:bCs w:val="true"/>
        </w:rPr>
        <w:t xml:space="preserve">minimum gestation period is six months (six lunar months)</w:t>
      </w:r>
      <w:r>
        <w:rPr/>
        <w:t xml:space="preserve">; a child born fewer than six months after the marriage was contracted cannot be attributed to the husband, because conception must have occurred before the marriage. </w:t>
      </w:r>
      <w:r>
        <w:rPr/>
        <w:t xml:space="preserve"/>
      </w:r>
    </w:p>
    <w:p>
      <w:pPr>
        <w:pStyle w:val="ListParagraph"/>
        <w:numPr>
          <w:ilvl w:val="0"/>
          <w:numId w:val="10"/>
        </w:numPr>
        <w:spacing w:before="120" w:after="120" w:line="288"/>
        <w:jc w:val="left"/>
      </w:pPr>
      <w:r>
        <w:rPr/>
        <w:t xml:space="preserve">The </w:t>
      </w:r>
      <w:r>
        <w:rPr>
          <w:b w:val="true"/>
          <w:bCs w:val="true"/>
        </w:rPr>
        <w:t xml:space="preserve">maximum gestation period according to the Hanafi school (Imams Abu Hanifah and Muhammad)</w:t>
      </w:r>
      <w:r>
        <w:rPr/>
        <w:t xml:space="preserve"> is </w:t>
      </w:r>
      <w:r>
        <w:rPr>
          <w:b w:val="true"/>
          <w:bCs w:val="true"/>
        </w:rPr>
        <w:t xml:space="preserve">two years (dosal / سنتان)</w:t>
      </w:r>
      <w:r>
        <w:rPr/>
        <w:t xml:space="preserve">; Imam al-Shafi'i holds four years; Imam Malik holds five years. </w:t>
      </w:r>
      <w:r>
        <w:rPr/>
        <w:t xml:space="preserve"/>
      </w:r>
      <w:r>
        <w:rPr/>
        <w:t xml:space="preserve"/>
      </w:r>
    </w:p>
    <w:p>
      <w:pPr>
        <w:pStyle w:val="Heading3"/>
        <w:spacing w:before="120" w:after="120" w:line="288"/>
        <w:jc w:val="left"/>
      </w:pPr>
      <w:bookmarkStart w:name="_Toc4" w:id="4"/>
      <w:r>
        <w:rPr/>
        <w:t xml:space="preserve">Nasab in Different Divorce Scenarios</w:t>
      </w:r>
      <w:bookmarkEnd w:id="4"/>
    </w:p>
    <w:p>
      <w:pPr>
        <w:spacing w:before="120" w:after="120" w:line="288"/>
        <w:jc w:val="left"/>
      </w:pPr>
      <w:r>
        <w:rPr>
          <w:b w:val="true"/>
          <w:bCs w:val="true"/>
        </w:rPr>
        <w:t xml:space="preserve">Scenario 1 — Revocable Divorce (Talaq Raj'i):</w:t>
      </w:r>
    </w:p>
    <w:p>
      <w:pPr>
        <w:pStyle w:val="ListParagraph"/>
        <w:numPr>
          <w:ilvl w:val="0"/>
          <w:numId w:val="11"/>
        </w:numPr>
        <w:spacing w:before="120" w:after="120" w:line="288"/>
        <w:jc w:val="left"/>
      </w:pPr>
      <w:r>
        <w:rPr/>
        <w:t xml:space="preserve">If the wife is divorced revocably and gives birth </w:t>
      </w:r>
      <w:r>
        <w:rPr>
          <w:b w:val="true"/>
          <w:bCs w:val="true"/>
        </w:rPr>
        <w:t xml:space="preserve">within two years</w:t>
      </w:r>
      <w:r>
        <w:rPr/>
        <w:t xml:space="preserve"> of the divorce, nasab is established because conception could have occurred during the marriage or during the 'iddah (since the husband retains the right to return during 'iddah). </w:t>
      </w:r>
      <w:r>
        <w:rPr/>
        <w:t xml:space="preserve"/>
      </w:r>
    </w:p>
    <w:p>
      <w:pPr>
        <w:pStyle w:val="ListParagraph"/>
        <w:numPr>
          <w:ilvl w:val="0"/>
          <w:numId w:val="12"/>
        </w:numPr>
        <w:spacing w:before="120" w:after="120" w:line="288"/>
        <w:jc w:val="left"/>
      </w:pPr>
      <w:r>
        <w:rPr/>
        <w:t xml:space="preserve">If she gives birth </w:t>
      </w:r>
      <w:r>
        <w:rPr>
          <w:b w:val="true"/>
          <w:bCs w:val="true"/>
        </w:rPr>
        <w:t xml:space="preserve">after two years</w:t>
      </w:r>
      <w:r>
        <w:rPr/>
        <w:t xml:space="preserve">, nasab is not established automatically; the husband would need to claim the child, and his claim would be treated as an implicit ruju' (return to the marriage). </w:t>
      </w:r>
      <w:r>
        <w:rPr/>
        <w:t xml:space="preserve"/>
      </w:r>
    </w:p>
    <w:p>
      <w:pPr>
        <w:pStyle w:val="ListParagraph"/>
        <w:numPr>
          <w:ilvl w:val="0"/>
          <w:numId w:val="13"/>
        </w:numPr>
        <w:spacing w:before="120" w:after="120" w:line="288"/>
        <w:jc w:val="left"/>
      </w:pPr>
      <w:r>
        <w:rPr/>
        <w:t xml:space="preserve">The rationale: conception before the divorce is possible, and conception during 'iddah via ruju' is also possible — since doubt exists, nasab is established as a precaution (ihtiyatan). </w:t>
      </w:r>
      <w:r>
        <w:rPr/>
        <w:t xml:space="preserve"/>
      </w:r>
    </w:p>
    <w:p>
      <w:pPr>
        <w:spacing w:before="120" w:after="120" w:line="288"/>
        <w:jc w:val="left"/>
      </w:pPr>
      <w:r>
        <w:rPr>
          <w:b w:val="true"/>
          <w:bCs w:val="true"/>
        </w:rPr>
        <w:t xml:space="preserve">Scenario 2 — Irrevocable Divorce (Talaq Ba'in):</w:t>
      </w:r>
    </w:p>
    <w:p>
      <w:pPr>
        <w:pStyle w:val="ListParagraph"/>
        <w:numPr>
          <w:ilvl w:val="0"/>
          <w:numId w:val="14"/>
        </w:numPr>
        <w:spacing w:before="120" w:after="120" w:line="288"/>
        <w:jc w:val="left"/>
      </w:pPr>
      <w:r>
        <w:rPr/>
        <w:t xml:space="preserve">After a ba'in divorce, the husband has no right of return; therefore, if the child is born </w:t>
      </w:r>
      <w:r>
        <w:rPr>
          <w:b w:val="true"/>
          <w:bCs w:val="true"/>
        </w:rPr>
        <w:t xml:space="preserve">within two years</w:t>
      </w:r>
      <w:r>
        <w:rPr/>
        <w:t xml:space="preserve">, nasab is still established because conception before the divorce is plausible. </w:t>
      </w:r>
      <w:r>
        <w:rPr/>
        <w:t xml:space="preserve"/>
      </w:r>
    </w:p>
    <w:p>
      <w:pPr>
        <w:pStyle w:val="ListParagraph"/>
        <w:numPr>
          <w:ilvl w:val="0"/>
          <w:numId w:val="15"/>
        </w:numPr>
        <w:spacing w:before="120" w:after="120" w:line="288"/>
        <w:jc w:val="left"/>
      </w:pPr>
      <w:r>
        <w:rPr/>
        <w:t xml:space="preserve">If born </w:t>
      </w:r>
      <w:r>
        <w:rPr>
          <w:b w:val="true"/>
          <w:bCs w:val="true"/>
        </w:rPr>
        <w:t xml:space="preserve">after two years</w:t>
      </w:r>
      <w:r>
        <w:rPr/>
        <w:t xml:space="preserve">, nasab is not established unless the husband explicitly claims the child, because it is then certain that conception occurred after the divorce when intercourse was unlawful — unless he claims he had intercourse by mistake (shubha), which provides a valid legal basis. </w:t>
      </w:r>
      <w:r>
        <w:rPr/>
        <w:t xml:space="preserve"/>
      </w:r>
      <w:r>
        <w:rPr/>
        <w:t xml:space="preserve"/>
      </w:r>
    </w:p>
    <w:p>
      <w:pPr>
        <w:spacing w:before="120" w:after="120" w:line="288"/>
        <w:jc w:val="left"/>
      </w:pPr>
      <w:r>
        <w:rPr>
          <w:b w:val="true"/>
          <w:bCs w:val="true"/>
        </w:rPr>
        <w:t xml:space="preserve">Scenario 3 — Widow ('Iddah of Death):</w:t>
      </w:r>
    </w:p>
    <w:p>
      <w:pPr>
        <w:pStyle w:val="ListParagraph"/>
        <w:numPr>
          <w:ilvl w:val="0"/>
          <w:numId w:val="16"/>
        </w:numPr>
        <w:spacing w:before="120" w:after="120" w:line="288"/>
        <w:jc w:val="left"/>
      </w:pPr>
      <w:r>
        <w:rPr/>
        <w:t xml:space="preserve">If the husband dies and the wife gives birth </w:t>
      </w:r>
      <w:r>
        <w:rPr>
          <w:b w:val="true"/>
          <w:bCs w:val="true"/>
        </w:rPr>
        <w:t xml:space="preserve">within two years</w:t>
      </w:r>
      <w:r>
        <w:rPr/>
        <w:t xml:space="preserve"> of his death, nasab is established. </w:t>
      </w:r>
      <w:r>
        <w:rPr/>
        <w:t xml:space="preserve"/>
      </w:r>
    </w:p>
    <w:p>
      <w:pPr>
        <w:pStyle w:val="ListParagraph"/>
        <w:numPr>
          <w:ilvl w:val="0"/>
          <w:numId w:val="17"/>
        </w:numPr>
        <w:spacing w:before="120" w:after="120" w:line="288"/>
        <w:jc w:val="left"/>
      </w:pPr>
      <w:r>
        <w:rPr/>
        <w:t xml:space="preserve">If she gives birth </w:t>
      </w:r>
      <w:r>
        <w:rPr>
          <w:b w:val="true"/>
          <w:bCs w:val="true"/>
        </w:rPr>
        <w:t xml:space="preserve">after the 'iddah of death is complete</w:t>
      </w:r>
      <w:r>
        <w:rPr/>
        <w:t xml:space="preserve"> (four months and ten days) but within six months of the 'iddah ending, Imam al-Zufar holds nasab is not established because the Sharia has legally ended her 'iddah through the months — unlike a pregnant woman whose 'iddah ends with delivery. </w:t>
      </w:r>
      <w:r>
        <w:rPr/>
        <w:t xml:space="preserve"/>
      </w:r>
      <w:r>
        <w:rPr/>
        <w:t xml:space="preserve"/>
      </w:r>
    </w:p>
    <w:p>
      <w:pPr>
        <w:pStyle w:val="ListParagraph"/>
        <w:numPr>
          <w:ilvl w:val="0"/>
          <w:numId w:val="18"/>
        </w:numPr>
        <w:spacing w:before="120" w:after="120" w:line="288"/>
        <w:jc w:val="left"/>
      </w:pPr>
      <w:r>
        <w:rPr/>
        <w:t xml:space="preserve">The mainstream position: nasab is still established up to two years from the death, because pregnancy remains a possible alternative basis for the 'iddah. </w:t>
      </w:r>
      <w:r>
        <w:rPr/>
        <w:t xml:space="preserve"/>
      </w:r>
    </w:p>
    <w:p>
      <w:pPr>
        <w:spacing w:before="120" w:after="120" w:line="288"/>
        <w:jc w:val="left"/>
      </w:pPr>
      <w:r>
        <w:rPr>
          <w:b w:val="true"/>
          <w:bCs w:val="true"/>
        </w:rPr>
        <w:t xml:space="preserve">Scenario 4 — Minor (Pre-pubescent) Divorced Wife:</w:t>
      </w:r>
    </w:p>
    <w:p>
      <w:pPr>
        <w:pStyle w:val="ListParagraph"/>
        <w:numPr>
          <w:ilvl w:val="0"/>
          <w:numId w:val="19"/>
        </w:numPr>
        <w:spacing w:before="120" w:after="120" w:line="288"/>
        <w:jc w:val="left"/>
      </w:pPr>
      <w:r>
        <w:rPr/>
        <w:t xml:space="preserve">A minor girl who is divorced: her 'iddah is calculated in months (three months), not by menstrual cycles.</w:t>
      </w:r>
    </w:p>
    <w:p>
      <w:pPr>
        <w:pStyle w:val="ListParagraph"/>
        <w:numPr>
          <w:ilvl w:val="0"/>
          <w:numId w:val="20"/>
        </w:numPr>
        <w:spacing w:before="120" w:after="120" w:line="288"/>
        <w:jc w:val="left"/>
      </w:pPr>
      <w:r>
        <w:rPr>
          <w:b w:val="true"/>
          <w:bCs w:val="true"/>
        </w:rPr>
        <w:t xml:space="preserve">Imam Abu Hanifah:</w:t>
      </w:r>
      <w:r>
        <w:rPr/>
        <w:t xml:space="preserve"> Nasab is only established if the child is born within </w:t>
      </w:r>
      <w:r>
        <w:rPr>
          <w:b w:val="true"/>
          <w:bCs w:val="true"/>
        </w:rPr>
        <w:t xml:space="preserve">nine months</w:t>
      </w:r>
      <w:r>
        <w:rPr/>
        <w:t xml:space="preserve"> of the divorce, because a minor cannot have been pregnant at the time of divorce (pregnancy before puberty is the default assumption of impossibility); he does not extend the period to two years. </w:t>
      </w:r>
      <w:r>
        <w:rPr/>
        <w:t xml:space="preserve"/>
      </w:r>
    </w:p>
    <w:p>
      <w:pPr>
        <w:pStyle w:val="ListParagraph"/>
        <w:numPr>
          <w:ilvl w:val="0"/>
          <w:numId w:val="21"/>
        </w:numPr>
        <w:spacing w:before="120" w:after="120" w:line="288"/>
        <w:jc w:val="left"/>
      </w:pPr>
      <w:r>
        <w:rPr>
          <w:b w:val="true"/>
          <w:bCs w:val="true"/>
        </w:rPr>
        <w:t xml:space="preserve">Imam Abu Yusuf:</w:t>
      </w:r>
      <w:r>
        <w:rPr/>
        <w:t xml:space="preserve"> Extends the period to </w:t>
      </w:r>
      <w:r>
        <w:rPr>
          <w:b w:val="true"/>
          <w:bCs w:val="true"/>
        </w:rPr>
        <w:t xml:space="preserve">two years</w:t>
      </w:r>
      <w:r>
        <w:rPr/>
        <w:t xml:space="preserve">, because she is still in 'iddah and pregnancy remains a theoretical possibility since she has not declared her 'iddah complete. </w:t>
      </w:r>
      <w:r>
        <w:rPr/>
        <w:t xml:space="preserve"/>
      </w:r>
    </w:p>
    <w:p>
      <w:pPr>
        <w:pStyle w:val="ListParagraph"/>
        <w:numPr>
          <w:ilvl w:val="0"/>
          <w:numId w:val="22"/>
        </w:numPr>
        <w:spacing w:before="120" w:after="120" w:line="288"/>
        <w:jc w:val="left"/>
      </w:pPr>
      <w:r>
        <w:rPr>
          <w:b w:val="true"/>
          <w:bCs w:val="true"/>
        </w:rPr>
        <w:t xml:space="preserve">Resolution for minor in raj'i divorce:</w:t>
      </w:r>
      <w:r>
        <w:rPr/>
        <w:t xml:space="preserve"> Imam Abu Yusuf calculates up to </w:t>
      </w:r>
      <w:r>
        <w:rPr>
          <w:b w:val="true"/>
          <w:bCs w:val="true"/>
        </w:rPr>
        <w:t xml:space="preserve">27 months</w:t>
      </w:r>
      <w:r>
        <w:rPr/>
        <w:t xml:space="preserve"> — three months of 'iddah (during which intercourse via ruju' could occur at the very end) plus two years maximum gestation. </w:t>
      </w:r>
      <w:r>
        <w:rPr/>
        <w:t xml:space="preserve"/>
      </w:r>
    </w:p>
    <w:p>
      <w:pPr>
        <w:pStyle w:val="ListParagraph"/>
        <w:numPr>
          <w:ilvl w:val="0"/>
          <w:numId w:val="23"/>
        </w:numPr>
        <w:spacing w:before="120" w:after="120" w:line="288"/>
        <w:jc w:val="left"/>
      </w:pPr>
      <w:r>
        <w:rPr/>
        <w:t xml:space="preserve">If the minor herself claims pregnancy during the 'iddah, both major and minor cases are treated equally, because her claim constitutes an implicit acknowledgment of puberty. </w:t>
      </w:r>
      <w:r>
        <w:rPr/>
        <w:t xml:space="preserve"/>
      </w:r>
    </w:p>
    <w:p>
      <w:pPr>
        <w:pStyle w:val="Heading3"/>
        <w:spacing w:before="120" w:after="120" w:line="288"/>
        <w:jc w:val="left"/>
      </w:pPr>
      <w:bookmarkStart w:name="_Toc5" w:id="5"/>
      <w:r>
        <w:rPr/>
        <w:t xml:space="preserve">Nasab When Child Born Less Than Six Months After Marriage</w:t>
      </w:r>
      <w:bookmarkEnd w:id="5"/>
    </w:p>
    <w:p>
      <w:pPr>
        <w:pStyle w:val="ListParagraph"/>
        <w:numPr>
          <w:ilvl w:val="0"/>
          <w:numId w:val="24"/>
        </w:numPr>
        <w:spacing w:before="120" w:after="120" w:line="288"/>
        <w:jc w:val="left"/>
      </w:pPr>
      <w:r>
        <w:rPr/>
        <w:t xml:space="preserve">If a wife gives birth fewer than six months after the marriage contract, nasab </w:t>
      </w:r>
      <w:r>
        <w:rPr>
          <w:b w:val="true"/>
          <w:bCs w:val="true"/>
        </w:rPr>
        <w:t xml:space="preserve">is not established</w:t>
      </w:r>
      <w:r>
        <w:rPr/>
        <w:t xml:space="preserve"> by default, because conception certainly preceded the marriage. </w:t>
      </w:r>
      <w:r>
        <w:rPr/>
        <w:t xml:space="preserve"/>
      </w:r>
    </w:p>
    <w:p>
      <w:pPr>
        <w:pStyle w:val="ListParagraph"/>
        <w:numPr>
          <w:ilvl w:val="0"/>
          <w:numId w:val="25"/>
        </w:numPr>
        <w:spacing w:before="120" w:after="120" w:line="288"/>
        <w:jc w:val="left"/>
      </w:pPr>
      <w:r>
        <w:rPr>
          <w:b w:val="true"/>
          <w:bCs w:val="true"/>
        </w:rPr>
        <w:t xml:space="preserve">Exception:</w:t>
      </w:r>
      <w:r>
        <w:rPr/>
        <w:t xml:space="preserve"> If the husband himself claims the child (da'wa), nasab is established from his claim — the rationale being that he has voluntarily taken on this obligation, and there is a conceivable basis (e.g., intercourse by shubha before the marriage). </w:t>
      </w:r>
      <w:r>
        <w:rPr/>
        <w:t xml:space="preserve"/>
      </w:r>
      <w:r>
        <w:rPr/>
        <w:t xml:space="preserve"/>
      </w:r>
    </w:p>
    <w:p>
      <w:pPr>
        <w:pStyle w:val="ListParagraph"/>
        <w:numPr>
          <w:ilvl w:val="0"/>
          <w:numId w:val="26"/>
        </w:numPr>
        <w:spacing w:before="120" w:after="120" w:line="288"/>
        <w:jc w:val="left"/>
      </w:pPr>
      <w:r>
        <w:rPr/>
        <w:t xml:space="preserve">Once the husband claims the child, the mahr (dower) is also confirmed, because a legal intercourse is implied. </w:t>
      </w:r>
      <w:r>
        <w:rPr/>
        <w:t xml:space="preserve"/>
      </w:r>
      <w:r>
        <w:rPr/>
        <w:t xml:space="preserve"/>
      </w:r>
    </w:p>
    <w:p>
      <w:pPr>
        <w:pStyle w:val="Heading3"/>
        <w:spacing w:before="120" w:after="120" w:line="288"/>
        <w:jc w:val="left"/>
      </w:pPr>
      <w:bookmarkStart w:name="_Toc6" w:id="6"/>
      <w:r>
        <w:rPr/>
        <w:t xml:space="preserve">Testimony Required to Prove Birth (Wiladat)</w:t>
      </w:r>
      <w:bookmarkEnd w:id="6"/>
    </w:p>
    <w:p>
      <w:pPr>
        <w:pStyle w:val="ListParagraph"/>
        <w:numPr>
          <w:ilvl w:val="0"/>
          <w:numId w:val="27"/>
        </w:numPr>
        <w:spacing w:before="120" w:after="120" w:line="288"/>
        <w:jc w:val="left"/>
      </w:pPr>
      <w:r>
        <w:rPr>
          <w:b w:val="true"/>
          <w:bCs w:val="true"/>
        </w:rPr>
        <w:t xml:space="preserve">Imam Abu Hanifah:</w:t>
      </w:r>
      <w:r>
        <w:rPr/>
        <w:t xml:space="preserve"> Birth must be testified to by </w:t>
      </w:r>
      <w:r>
        <w:rPr>
          <w:b w:val="true"/>
          <w:bCs w:val="true"/>
        </w:rPr>
        <w:t xml:space="preserve">two men, or one man and two women</w:t>
      </w:r>
      <w:r>
        <w:rPr/>
        <w:t xml:space="preserve">; this is the standard full testimony requirement. </w:t>
      </w:r>
      <w:r>
        <w:rPr/>
        <w:t xml:space="preserve"/>
      </w:r>
    </w:p>
    <w:p>
      <w:pPr>
        <w:pStyle w:val="ListParagraph"/>
        <w:numPr>
          <w:ilvl w:val="0"/>
          <w:numId w:val="28"/>
        </w:numPr>
        <w:spacing w:before="120" w:after="120" w:line="288"/>
        <w:jc w:val="left"/>
      </w:pPr>
      <w:r>
        <w:rPr>
          <w:b w:val="true"/>
          <w:bCs w:val="true"/>
        </w:rPr>
        <w:t xml:space="preserve">Exception 1:</w:t>
      </w:r>
      <w:r>
        <w:rPr/>
        <w:t xml:space="preserve"> If pregnancy was already apparent and widely known, testimony is not required — the visible pregnancy itself serves as evidence. </w:t>
      </w:r>
      <w:r>
        <w:rPr/>
        <w:t xml:space="preserve"/>
      </w:r>
    </w:p>
    <w:p>
      <w:pPr>
        <w:pStyle w:val="ListParagraph"/>
        <w:numPr>
          <w:ilvl w:val="0"/>
          <w:numId w:val="29"/>
        </w:numPr>
        <w:spacing w:before="120" w:after="120" w:line="288"/>
        <w:jc w:val="left"/>
      </w:pPr>
      <w:r>
        <w:rPr>
          <w:b w:val="true"/>
          <w:bCs w:val="true"/>
        </w:rPr>
        <w:t xml:space="preserve">Exception 2:</w:t>
      </w:r>
      <w:r>
        <w:rPr/>
        <w:t xml:space="preserve"> If the husband had previously acknowledged the pregnancy, testimony is not required for the birth. </w:t>
      </w:r>
      <w:r>
        <w:rPr/>
        <w:t xml:space="preserve"/>
      </w:r>
    </w:p>
    <w:p>
      <w:pPr>
        <w:pStyle w:val="ListParagraph"/>
        <w:numPr>
          <w:ilvl w:val="0"/>
          <w:numId w:val="30"/>
        </w:numPr>
        <w:spacing w:before="120" w:after="120" w:line="288"/>
        <w:jc w:val="left"/>
      </w:pPr>
      <w:r>
        <w:rPr>
          <w:b w:val="true"/>
          <w:bCs w:val="true"/>
        </w:rPr>
        <w:t xml:space="preserve">Imam Abu Yusuf:</w:t>
      </w:r>
      <w:r>
        <w:rPr/>
        <w:t xml:space="preserve"> The testimony of </w:t>
      </w:r>
      <w:r>
        <w:rPr>
          <w:b w:val="true"/>
          <w:bCs w:val="true"/>
        </w:rPr>
        <w:t xml:space="preserve">one woman</w:t>
      </w:r>
      <w:r>
        <w:rPr/>
        <w:t xml:space="preserve"> (e.g., a midwife or female doctor) is sufficient to establish the birth for the purposes of nasab. </w:t>
      </w:r>
      <w:r>
        <w:rPr/>
        <w:t xml:space="preserve"/>
      </w:r>
    </w:p>
    <w:p>
      <w:pPr>
        <w:pStyle w:val="ListParagraph"/>
        <w:numPr>
          <w:ilvl w:val="0"/>
          <w:numId w:val="31"/>
        </w:numPr>
        <w:spacing w:before="120" w:after="120" w:line="288"/>
        <w:jc w:val="left"/>
      </w:pPr>
      <w:r>
        <w:rPr>
          <w:b w:val="true"/>
          <w:bCs w:val="true"/>
        </w:rPr>
        <w:t xml:space="preserve">Imam Muhammad (alongside Abu Yusuf):</w:t>
      </w:r>
      <w:r>
        <w:rPr/>
        <w:t xml:space="preserve"> Agrees that a single woman's testimony suffices in matters that men cannot typically witness. </w:t>
      </w:r>
      <w:r>
        <w:rPr/>
        <w:t xml:space="preserve"/>
      </w:r>
    </w:p>
    <w:p>
      <w:pPr>
        <w:pStyle w:val="ListParagraph"/>
        <w:numPr>
          <w:ilvl w:val="0"/>
          <w:numId w:val="32"/>
        </w:numPr>
        <w:spacing w:before="120" w:after="120" w:line="288"/>
        <w:jc w:val="left"/>
      </w:pPr>
      <w:r>
        <w:rPr>
          <w:b w:val="true"/>
          <w:bCs w:val="true"/>
        </w:rPr>
        <w:t xml:space="preserve">Imam Abu Hanifah's counter-position on talaq contingent on birth:</w:t>
      </w:r>
      <w:r>
        <w:rPr/>
        <w:t xml:space="preserve"> If a husband says "if you give birth, you are divorced" and only one woman testifies to the birth, the divorce does </w:t>
      </w:r>
      <w:r>
        <w:rPr>
          <w:b w:val="true"/>
          <w:bCs w:val="true"/>
        </w:rPr>
        <w:t xml:space="preserve">not</w:t>
      </w:r>
      <w:r>
        <w:rPr/>
        <w:t xml:space="preserve"> take effect under Abu Hanifah, because the divorce is a separate legal consequence requiring full proof; the birth testimony is a necessity (darurah) in its own domain but does not automatically extend to trigger consequences outside of it. </w:t>
      </w:r>
      <w:r>
        <w:rPr/>
        <w:t xml:space="preserve"/>
      </w:r>
    </w:p>
    <w:p>
      <w:pPr>
        <w:pStyle w:val="Heading3"/>
        <w:spacing w:before="120" w:after="120" w:line="288"/>
        <w:jc w:val="left"/>
      </w:pPr>
      <w:bookmarkStart w:name="_Toc7" w:id="7"/>
      <w:r>
        <w:rPr/>
        <w:t xml:space="preserve">Heirs Confirming Birth (Mutawaffa 'Anha Zawjuha)</w:t>
      </w:r>
      <w:bookmarkEnd w:id="7"/>
    </w:p>
    <w:p>
      <w:pPr>
        <w:pStyle w:val="ListParagraph"/>
        <w:numPr>
          <w:ilvl w:val="0"/>
          <w:numId w:val="33"/>
        </w:numPr>
        <w:spacing w:before="120" w:after="120" w:line="288"/>
        <w:jc w:val="left"/>
      </w:pPr>
      <w:r>
        <w:rPr/>
        <w:t xml:space="preserve">When a husband dies and the heirs acknowledge the birth without any witness, nasab is established in all the scholars' opinions. </w:t>
      </w:r>
      <w:r>
        <w:rPr/>
        <w:t xml:space="preserve"/>
      </w:r>
    </w:p>
    <w:p>
      <w:pPr>
        <w:pStyle w:val="ListParagraph"/>
        <w:numPr>
          <w:ilvl w:val="0"/>
          <w:numId w:val="34"/>
        </w:numPr>
        <w:spacing w:before="120" w:after="120" w:line="288"/>
        <w:jc w:val="left"/>
      </w:pPr>
      <w:r>
        <w:rPr/>
        <w:t xml:space="preserve">In the matter of </w:t>
      </w:r>
      <w:r>
        <w:rPr>
          <w:b w:val="true"/>
          <w:bCs w:val="true"/>
        </w:rPr>
        <w:t xml:space="preserve">inheritance</w:t>
      </w:r>
      <w:r>
        <w:rPr/>
        <w:t xml:space="preserve">, this is straightforward — it is purely the heirs' own right, and their acknowledgment is binding on themselves. </w:t>
      </w:r>
      <w:r>
        <w:rPr/>
        <w:t xml:space="preserve"/>
      </w:r>
      <w:r>
        <w:rPr/>
        <w:t xml:space="preserve"/>
      </w:r>
    </w:p>
    <w:p>
      <w:pPr>
        <w:pStyle w:val="ListParagraph"/>
        <w:numPr>
          <w:ilvl w:val="0"/>
          <w:numId w:val="35"/>
        </w:numPr>
        <w:spacing w:before="120" w:after="120" w:line="288"/>
        <w:jc w:val="left"/>
      </w:pPr>
      <w:r>
        <w:rPr/>
        <w:t xml:space="preserve">Regarding </w:t>
      </w:r>
      <w:r>
        <w:rPr>
          <w:b w:val="true"/>
          <w:bCs w:val="true"/>
        </w:rPr>
        <w:t xml:space="preserve">nasab vis-à-vis third parties</w:t>
      </w:r>
      <w:r>
        <w:rPr/>
        <w:t xml:space="preserve"> (e.g., does the child become a sibling to others?): if the heirs are legally qualified witnesses, their acknowledgment can constitute testimony and establish nasab for third parties as well. </w:t>
      </w:r>
      <w:r>
        <w:rPr/>
        <w:t xml:space="preserve"/>
      </w:r>
      <w:r>
        <w:rPr/>
        <w:t xml:space="preserve"/>
      </w:r>
    </w:p>
    <w:p>
      <w:pPr>
        <w:pStyle w:val="ListParagraph"/>
        <w:numPr>
          <w:ilvl w:val="0"/>
          <w:numId w:val="36"/>
        </w:numPr>
        <w:spacing w:before="120" w:after="120" w:line="288"/>
        <w:jc w:val="left"/>
      </w:pPr>
      <w:r>
        <w:rPr/>
        <w:t xml:space="preserve">Whether the heirs must use the formal language of "testimony" (lafzat al-shahada) is disputed; one view holds it is required, another holds it is not necessary since the nasab in relation to third parties is subsidiary to its establishment in relation to the heirs themselves. </w:t>
      </w:r>
      <w:r>
        <w:rPr/>
        <w:t xml:space="preserve"/>
      </w:r>
    </w:p>
    <w:p>
      <w:pPr>
        <w:pStyle w:val="Heading3"/>
        <w:spacing w:before="120" w:after="120" w:line="288"/>
        <w:jc w:val="left"/>
      </w:pPr>
      <w:bookmarkStart w:name="_Toc8" w:id="8"/>
      <w:r>
        <w:rPr/>
        <w:t xml:space="preserve">Slave Woman (Amah) and Nasab</w:t>
      </w:r>
      <w:bookmarkEnd w:id="8"/>
    </w:p>
    <w:p>
      <w:pPr>
        <w:pStyle w:val="ListParagraph"/>
        <w:numPr>
          <w:ilvl w:val="0"/>
          <w:numId w:val="37"/>
        </w:numPr>
        <w:spacing w:before="120" w:after="120" w:line="288"/>
        <w:jc w:val="left"/>
      </w:pPr>
      <w:r>
        <w:rPr/>
        <w:t xml:space="preserve">If a man marries a slave woman, then divorces her, then purchases her: </w:t>
      </w:r>
      <w:r>
        <w:rPr/>
        <w:t xml:space="preserve"/>
      </w:r>
    </w:p>
    <w:p>
      <w:pPr>
        <w:pStyle w:val="ListParagraph"/>
        <w:numPr>
          <w:ilvl w:val="0"/>
          <w:numId w:val="38"/>
        </w:numPr>
        <w:spacing w:before="120" w:after="120" w:line="288"/>
        <w:jc w:val="left"/>
      </w:pPr>
      <w:r>
        <w:rPr/>
        <w:t xml:space="preserve">If she gives birth </w:t>
      </w:r>
      <w:r>
        <w:rPr>
          <w:b w:val="true"/>
          <w:bCs w:val="true"/>
        </w:rPr>
        <w:t xml:space="preserve">fewer than six months</w:t>
      </w:r>
      <w:r>
        <w:rPr/>
        <w:t xml:space="preserve"> from the date of purchase, the child is attributed to him (as a child of the 'iddah from the marriage — conception preceded the purchase).</w:t>
      </w:r>
    </w:p>
    <w:p>
      <w:pPr>
        <w:pStyle w:val="ListParagraph"/>
        <w:numPr>
          <w:ilvl w:val="0"/>
          <w:numId w:val="39"/>
        </w:numPr>
        <w:spacing w:before="120" w:after="120" w:line="288"/>
        <w:jc w:val="left"/>
      </w:pPr>
      <w:r>
        <w:rPr/>
        <w:t xml:space="preserve">If she gives birth </w:t>
      </w:r>
      <w:r>
        <w:rPr>
          <w:b w:val="true"/>
          <w:bCs w:val="true"/>
        </w:rPr>
        <w:t xml:space="preserve">six months or more</w:t>
      </w:r>
      <w:r>
        <w:rPr/>
        <w:t xml:space="preserve"> after the purchase, the child is not automatically his; he must claim it (da'wa), because conception plausibly occurred after the purchase, making it a child of the slave relationship rather than the marriage.</w:t>
      </w:r>
    </w:p>
    <w:p>
      <w:pPr>
        <w:pStyle w:val="ListParagraph"/>
        <w:numPr>
          <w:ilvl w:val="0"/>
          <w:numId w:val="40"/>
        </w:numPr>
        <w:spacing w:before="120" w:after="120" w:line="288"/>
        <w:jc w:val="left"/>
      </w:pPr>
      <w:r>
        <w:rPr/>
        <w:t xml:space="preserve">If the divorce was </w:t>
      </w:r>
      <w:r>
        <w:rPr>
          <w:b w:val="true"/>
          <w:bCs w:val="true"/>
        </w:rPr>
        <w:t xml:space="preserve">two talaq ba'in or three talaq</w:t>
      </w:r>
      <w:r>
        <w:rPr/>
        <w:t xml:space="preserve">, the wife becomes permanently forbidden until she marries another man; in this case, nasab can be established up to </w:t>
      </w:r>
      <w:r>
        <w:rPr>
          <w:b w:val="true"/>
          <w:bCs w:val="true"/>
        </w:rPr>
        <w:t xml:space="preserve">two years from the divorce</w:t>
      </w:r>
      <w:r>
        <w:rPr/>
        <w:t xml:space="preserve">, not from the purchase, because the legal relationship of the marriage is the relevant reference point. </w:t>
      </w:r>
      <w:r>
        <w:rPr/>
        <w:t xml:space="preserve"/>
      </w:r>
      <w:r>
        <w:rPr/>
        <w:t xml:space="preserve"/>
      </w:r>
    </w:p>
    <w:p>
      <w:pPr>
        <w:pStyle w:val="ListParagraph"/>
        <w:numPr>
          <w:ilvl w:val="0"/>
          <w:numId w:val="41"/>
        </w:numPr>
        <w:spacing w:before="120" w:after="120" w:line="288"/>
        <w:jc w:val="left"/>
      </w:pPr>
      <w:r>
        <w:rPr/>
        <w:t xml:space="preserve">Once a slave woman is established as </w:t>
      </w:r>
      <w:r>
        <w:rPr>
          <w:b w:val="true"/>
          <w:bCs w:val="true"/>
        </w:rPr>
        <w:t xml:space="preserve">Umm al-Walad</w:t>
      </w:r>
      <w:r>
        <w:rPr/>
        <w:t xml:space="preserve"> (mother of the master's child), she gains protected status: she cannot be sold, and she becomes free upon her master's death. </w:t>
      </w:r>
      <w:r>
        <w:rPr/>
        <w:t xml:space="preserve"/>
      </w:r>
    </w:p>
    <w:p>
      <w:pPr>
        <w:pStyle w:val="ListParagraph"/>
        <w:numPr>
          <w:ilvl w:val="0"/>
          <w:numId w:val="42"/>
        </w:numPr>
        <w:spacing w:before="120" w:after="120" w:line="288"/>
        <w:jc w:val="left"/>
      </w:pPr>
      <w:r>
        <w:rPr/>
        <w:t xml:space="preserve">The claim of being Umm al-Walad can be established through the woman's own testimony or through a single female witness. </w:t>
      </w:r>
      <w:r>
        <w:rPr/>
        <w:t xml:space="preserve"/>
      </w:r>
    </w:p>
    <w:p>
      <w:pPr>
        <w:pStyle w:val="Heading3"/>
        <w:spacing w:before="120" w:after="120" w:line="288"/>
        <w:jc w:val="left"/>
      </w:pPr>
      <w:bookmarkStart w:name="_Toc9" w:id="9"/>
      <w:r>
        <w:rPr/>
        <w:t xml:space="preserve">DNA and Medical Evidence in Modern Context</w:t>
      </w:r>
      <w:bookmarkEnd w:id="9"/>
    </w:p>
    <w:p>
      <w:pPr>
        <w:pStyle w:val="ListParagraph"/>
        <w:numPr>
          <w:ilvl w:val="0"/>
          <w:numId w:val="43"/>
        </w:numPr>
        <w:spacing w:before="120" w:after="120" w:line="288"/>
        <w:jc w:val="left"/>
      </w:pPr>
      <w:r>
        <w:rPr/>
        <w:t xml:space="preserve">The class discussed the application of modern medical science (DNA, ultrasound dating of conception) to these rulings. </w:t>
      </w:r>
      <w:r>
        <w:rPr/>
        <w:t xml:space="preserve"/>
      </w:r>
      <w:r>
        <w:rPr/>
        <w:t xml:space="preserve"/>
      </w:r>
    </w:p>
    <w:p>
      <w:pPr>
        <w:pStyle w:val="ListParagraph"/>
        <w:numPr>
          <w:ilvl w:val="0"/>
          <w:numId w:val="44"/>
        </w:numPr>
        <w:spacing w:before="120" w:after="120" w:line="288"/>
        <w:jc w:val="left"/>
      </w:pPr>
      <w:r>
        <w:rPr>
          <w:b w:val="true"/>
          <w:bCs w:val="true"/>
        </w:rPr>
        <w:t xml:space="preserve">Al-Ihsan's position:</w:t>
      </w:r>
      <w:r>
        <w:rPr/>
        <w:t xml:space="preserve"> Medical evidence (DNA, gestational dating) is admissible as </w:t>
      </w:r>
      <w:r>
        <w:rPr>
          <w:b w:val="true"/>
          <w:bCs w:val="true"/>
        </w:rPr>
        <w:t xml:space="preserve">supporting or corroborating evidence (ta'zir level)</w:t>
      </w:r>
      <w:r>
        <w:rPr/>
        <w:t xml:space="preserve">, particularly when the state is prosecuting a case, but it </w:t>
      </w:r>
      <w:r>
        <w:rPr>
          <w:b w:val="true"/>
          <w:bCs w:val="true"/>
        </w:rPr>
        <w:t xml:space="preserve">cannot replace the foundational Quranic evidentiary standard</w:t>
      </w:r>
      <w:r>
        <w:rPr/>
        <w:t xml:space="preserve"> (four witnesses for zina, or the established firaash presumption for nasab). </w:t>
      </w:r>
      <w:r>
        <w:rPr/>
        <w:t xml:space="preserve"/>
      </w:r>
      <w:r>
        <w:rPr/>
        <w:t xml:space="preserve"/>
      </w:r>
    </w:p>
    <w:p>
      <w:pPr>
        <w:pStyle w:val="ListParagraph"/>
        <w:numPr>
          <w:ilvl w:val="0"/>
          <w:numId w:val="45"/>
        </w:numPr>
        <w:spacing w:before="120" w:after="120" w:line="288"/>
        <w:jc w:val="left"/>
      </w:pPr>
      <w:r>
        <w:rPr/>
        <w:t xml:space="preserve">If a husband wishes to </w:t>
      </w:r>
      <w:r>
        <w:rPr>
          <w:b w:val="true"/>
          <w:bCs w:val="true"/>
        </w:rPr>
        <w:t xml:space="preserve">deny</w:t>
      </w:r>
      <w:r>
        <w:rPr/>
        <w:t xml:space="preserve"> his child using medical evidence, he still must go through the formal process of </w:t>
      </w:r>
      <w:r>
        <w:rPr>
          <w:b w:val="true"/>
          <w:bCs w:val="true"/>
        </w:rPr>
        <w:t xml:space="preserve">li'an</w:t>
      </w:r>
      <w:r>
        <w:rPr/>
        <w:t xml:space="preserve"> (mutual oath-swearing for denial of paternity); medical evidence alone does not override firaash. </w:t>
      </w:r>
      <w:r>
        <w:rPr/>
        <w:t xml:space="preserve"/>
      </w:r>
    </w:p>
    <w:p>
      <w:pPr>
        <w:pStyle w:val="ListParagraph"/>
        <w:numPr>
          <w:ilvl w:val="0"/>
          <w:numId w:val="46"/>
        </w:numPr>
        <w:spacing w:before="120" w:after="120" w:line="288"/>
        <w:jc w:val="left"/>
      </w:pPr>
      <w:r>
        <w:rPr/>
        <w:t xml:space="preserve">Medical evidence may be used to </w:t>
      </w:r>
      <w:r>
        <w:rPr>
          <w:b w:val="true"/>
          <w:bCs w:val="true"/>
        </w:rPr>
        <w:t xml:space="preserve">protect</w:t>
      </w:r>
      <w:r>
        <w:rPr/>
        <w:t xml:space="preserve"> a woman from a false accusation, or by the state in a tazir (discretionary punishment) proceeding. </w:t>
      </w:r>
      <w:r>
        <w:rPr/>
        <w:t xml:space="preserve"/>
      </w:r>
      <w:r>
        <w:rPr/>
        <w:t xml:space="preserve"/>
      </w:r>
    </w:p>
    <w:p>
      <w:pPr>
        <w:pStyle w:val="ListParagraph"/>
        <w:numPr>
          <w:ilvl w:val="0"/>
          <w:numId w:val="47"/>
        </w:numPr>
        <w:spacing w:before="120" w:after="120" w:line="288"/>
        <w:jc w:val="left"/>
      </w:pPr>
      <w:r>
        <w:rPr/>
        <w:t xml:space="preserve">The scholars acknowledged that modern medicine has documented cases of pregnancy lasting beyond two years (rare anomalies), but the Hanafi school sets two years as the </w:t>
      </w:r>
      <w:r>
        <w:rPr>
          <w:b w:val="true"/>
          <w:bCs w:val="true"/>
        </w:rPr>
        <w:t xml:space="preserve">legal maximum</w:t>
      </w:r>
      <w:r>
        <w:rPr/>
        <w:t xml:space="preserve"> based on normative cases and the principle that a clear limit must be set. </w:t>
      </w:r>
      <w:r>
        <w:rPr/>
        <w:t xml:space="preserve"/>
      </w:r>
    </w:p>
    <w:p>
      <w:pPr>
        <w:pBdr>
          <w:bottom w:val="single" w:color="000000" w:sz="6" w:space="1"/>
          <w:between w:val="single" w:color="000000" w:sz="6" w:space="1"/>
        </w:pBdr>
        <w:spacing w:before="120" w:after="120" w:line="288" w:lineRule="auto"/>
        <w:ind w:left="0"/>
      </w:pPr>
    </w:p>
    <w:p>
      <w:pPr>
        <w:pStyle w:val="Heading3"/>
        <w:spacing w:before="120" w:after="120" w:line="288"/>
        <w:jc w:val="left"/>
      </w:pPr>
      <w:bookmarkStart w:name="_Toc10" w:id="10"/>
      <w:r>
        <w:rPr/>
        <w:t xml:space="preserve">Child Custody (Hadanah): Hierarchy and Rules</w:t>
      </w:r>
      <w:bookmarkEnd w:id="10"/>
    </w:p>
    <w:p>
      <w:pPr>
        <w:spacing w:before="120" w:after="120" w:line="288"/>
        <w:jc w:val="left"/>
      </w:pPr>
      <w:r>
        <w:rPr>
          <w:b w:val="true"/>
          <w:bCs w:val="true"/>
        </w:rPr>
        <w:t xml:space="preserve">Primary Right — The Mother:</w:t>
      </w:r>
    </w:p>
    <w:p>
      <w:pPr>
        <w:pStyle w:val="ListParagraph"/>
        <w:numPr>
          <w:ilvl w:val="0"/>
          <w:numId w:val="48"/>
        </w:numPr>
        <w:spacing w:before="120" w:after="120" w:line="288"/>
        <w:jc w:val="left"/>
      </w:pPr>
      <w:r>
        <w:rPr/>
        <w:t xml:space="preserve">Upon separation of spouses, the </w:t>
      </w:r>
      <w:r>
        <w:rPr>
          <w:b w:val="true"/>
          <w:bCs w:val="true"/>
        </w:rPr>
        <w:t xml:space="preserve">mother has the primary right to custody</w:t>
      </w:r>
      <w:r>
        <w:rPr/>
        <w:t xml:space="preserve"> of young children. </w:t>
      </w:r>
      <w:r>
        <w:rPr/>
        <w:t xml:space="preserve"/>
      </w:r>
      <w:r>
        <w:rPr/>
        <w:t xml:space="preserve"/>
      </w:r>
    </w:p>
    <w:p>
      <w:pPr>
        <w:pStyle w:val="ListParagraph"/>
        <w:numPr>
          <w:ilvl w:val="0"/>
          <w:numId w:val="49"/>
        </w:numPr>
        <w:spacing w:before="120" w:after="120" w:line="288"/>
        <w:jc w:val="left"/>
      </w:pPr>
      <w:r>
        <w:rPr/>
        <w:t xml:space="preserve">Basis: A hadith in which a woman came to the Prophet ﷺ saying her womb carried the child, her lap sheltered him, and her breast fed him — the Prophet ﷺ affirmed her right as long as she does not remarry. </w:t>
      </w:r>
      <w:r>
        <w:rPr/>
        <w:t xml:space="preserve"/>
      </w:r>
    </w:p>
    <w:p>
      <w:pPr>
        <w:pStyle w:val="ListParagraph"/>
        <w:numPr>
          <w:ilvl w:val="0"/>
          <w:numId w:val="50"/>
        </w:numPr>
        <w:spacing w:before="120" w:after="120" w:line="288"/>
        <w:jc w:val="left"/>
      </w:pPr>
      <w:r>
        <w:rPr/>
        <w:t xml:space="preserve">Rationale: The mother is more compassionate (ashfaq) and more capable of raising young children; it is in the child's best interest to be with her. </w:t>
      </w:r>
      <w:r>
        <w:rPr/>
        <w:t xml:space="preserve"/>
      </w:r>
    </w:p>
    <w:p>
      <w:pPr>
        <w:pStyle w:val="ListParagraph"/>
        <w:numPr>
          <w:ilvl w:val="0"/>
          <w:numId w:val="51"/>
        </w:numPr>
        <w:spacing w:before="120" w:after="120" w:line="288"/>
        <w:jc w:val="left"/>
      </w:pPr>
      <w:r>
        <w:rPr/>
        <w:t xml:space="preserve">Sayyiduna Abu Bakr al-Siddiq (رضي الله عنه) reportedly said to Sayyiduna Umar (رضي الله عنه) regarding a child: "Her saliva is better for him than honey and clarified butter with you, O Umar" — illustrating the primacy of maternal care. </w:t>
      </w:r>
      <w:r>
        <w:rPr/>
        <w:t xml:space="preserve"/>
      </w:r>
      <w:r>
        <w:rPr/>
        <w:t xml:space="preserve"/>
      </w:r>
    </w:p>
    <w:p>
      <w:pPr>
        <w:pStyle w:val="ListParagraph"/>
        <w:numPr>
          <w:ilvl w:val="0"/>
          <w:numId w:val="52"/>
        </w:numPr>
        <w:spacing w:before="120" w:after="120" w:line="288"/>
        <w:jc w:val="left"/>
      </w:pPr>
      <w:r>
        <w:rPr>
          <w:b w:val="true"/>
          <w:bCs w:val="true"/>
        </w:rPr>
        <w:t xml:space="preserve">Financial responsibility (nafaqah) remains on the father</w:t>
      </w:r>
      <w:r>
        <w:t xml:space="preserve"> even when the mother has custody; the mother cannot be compelled to provide financial support. </w:t>
      </w:r>
      <w:r>
        <w:t xml:space="preserve"/>
      </w:r>
      <w:r>
        <w:t xml:space="preserve">i</w:t>
      </w:r>
    </w:p>
    <w:p>
      <w:pPr>
        <w:spacing w:before="120" w:after="120" w:line="288"/>
        <w:jc w:val="left"/>
      </w:pPr>
      <w:r>
        <w:rPr>
          <w:b w:val="true"/>
          <w:bCs w:val="true"/>
        </w:rPr>
        <w:t xml:space="preserve">Loss of Custody Right — Remarriage:</w:t>
      </w:r>
    </w:p>
    <w:p>
      <w:pPr>
        <w:pStyle w:val="ListParagraph"/>
        <w:numPr>
          <w:ilvl w:val="0"/>
          <w:numId w:val="53"/>
        </w:numPr>
        <w:spacing w:before="120" w:after="120" w:line="288"/>
        <w:jc w:val="left"/>
      </w:pPr>
      <w:r>
        <w:rPr/>
        <w:t xml:space="preserve">The mother loses her right to custody if she </w:t>
      </w:r>
      <w:r>
        <w:rPr>
          <w:b w:val="true"/>
          <w:bCs w:val="true"/>
        </w:rPr>
        <w:t xml:space="preserve">remarries</w:t>
      </w:r>
      <w:r>
        <w:rPr/>
        <w:t xml:space="preserve"> a man who is a non-mahram to the child. </w:t>
      </w:r>
      <w:r>
        <w:rPr/>
        <w:t xml:space="preserve"/>
      </w:r>
    </w:p>
    <w:p>
      <w:pPr>
        <w:pStyle w:val="ListParagraph"/>
        <w:numPr>
          <w:ilvl w:val="0"/>
          <w:numId w:val="54"/>
        </w:numPr>
        <w:spacing w:before="120" w:after="120" w:line="288"/>
        <w:jc w:val="left"/>
      </w:pPr>
      <w:r>
        <w:rPr/>
        <w:t xml:space="preserve">If she marries a mahram of the child (e.g., the child's uncle), she does not lose custody.</w:t>
      </w:r>
    </w:p>
    <w:p>
      <w:pPr>
        <w:pStyle w:val="ListParagraph"/>
        <w:numPr>
          <w:ilvl w:val="0"/>
          <w:numId w:val="55"/>
        </w:numPr>
        <w:spacing w:before="120" w:after="120" w:line="288"/>
        <w:jc w:val="left"/>
      </w:pPr>
      <w:r>
        <w:rPr/>
        <w:t xml:space="preserve">If she later divorces the new husband, her right to custody returns. </w:t>
      </w:r>
      <w:r>
        <w:rPr/>
        <w:t xml:space="preserve"/>
      </w:r>
    </w:p>
    <w:p>
      <w:pPr>
        <w:spacing w:before="120" w:after="120" w:line="288"/>
        <w:jc w:val="left"/>
      </w:pPr>
      <w:r>
        <w:rPr>
          <w:b w:val="true"/>
          <w:bCs w:val="true"/>
        </w:rPr>
        <w:t xml:space="preserve">Hierarchy After the Mother:</w:t>
      </w:r>
    </w:p>
    <w:p>
      <w:pPr>
        <w:pStyle w:val="ListParagraph"/>
        <w:numPr>
          <w:ilvl w:val="0"/>
          <w:numId w:val="56"/>
        </w:numPr>
        <w:spacing w:before="120" w:after="120" w:line="288"/>
        <w:jc w:val="left"/>
      </w:pPr>
      <w:r>
        <w:rPr/>
        <w:t xml:space="preserve">After the mother, custody passes through </w:t>
      </w:r>
      <w:r>
        <w:rPr>
          <w:b w:val="true"/>
          <w:bCs w:val="true"/>
        </w:rPr>
        <w:t xml:space="preserve">female relatives on the maternal side</w:t>
      </w:r>
      <w:r>
        <w:rPr/>
        <w:t xml:space="preserve">, then maternal side more broadly, then paternal side: </w:t>
      </w:r>
      <w:r>
        <w:rPr/>
        <w:t xml:space="preserve"/>
      </w:r>
    </w:p>
    <w:p>
      <w:pPr>
        <w:pStyle w:val="ListParagraph"/>
        <w:numPr>
          <w:ilvl w:val="0"/>
          <w:numId w:val="57"/>
        </w:numPr>
        <w:spacing w:before="120" w:after="120" w:line="288"/>
        <w:jc w:val="left"/>
      </w:pPr>
      <w:r>
        <w:rPr/>
        <w:t xml:space="preserve">Maternal grandmother (nani), then further up the maternal line</w:t>
      </w:r>
    </w:p>
    <w:p>
      <w:pPr>
        <w:pStyle w:val="ListParagraph"/>
        <w:numPr>
          <w:ilvl w:val="0"/>
          <w:numId w:val="58"/>
        </w:numPr>
        <w:spacing w:before="120" w:after="120" w:line="288"/>
        <w:jc w:val="left"/>
      </w:pPr>
      <w:r>
        <w:rPr/>
        <w:t xml:space="preserve">Paternal grandmother (dadi)</w:t>
      </w:r>
    </w:p>
    <w:p>
      <w:pPr>
        <w:pStyle w:val="ListParagraph"/>
        <w:numPr>
          <w:ilvl w:val="0"/>
          <w:numId w:val="59"/>
        </w:numPr>
        <w:spacing w:before="120" w:after="120" w:line="288"/>
        <w:jc w:val="left"/>
      </w:pPr>
      <w:r>
        <w:rPr/>
        <w:t xml:space="preserve">Full sisters (akhi shaqiqa)</w:t>
      </w:r>
    </w:p>
    <w:p>
      <w:pPr>
        <w:pStyle w:val="ListParagraph"/>
        <w:numPr>
          <w:ilvl w:val="0"/>
          <w:numId w:val="60"/>
        </w:numPr>
        <w:spacing w:before="120" w:after="120" w:line="288"/>
        <w:jc w:val="left"/>
      </w:pPr>
      <w:r>
        <w:rPr/>
        <w:t xml:space="preserve">Maternal half-sisters</w:t>
      </w:r>
    </w:p>
    <w:p>
      <w:pPr>
        <w:pStyle w:val="ListParagraph"/>
        <w:numPr>
          <w:ilvl w:val="0"/>
          <w:numId w:val="61"/>
        </w:numPr>
        <w:spacing w:before="120" w:after="120" w:line="288"/>
        <w:jc w:val="left"/>
      </w:pPr>
      <w:r>
        <w:rPr/>
        <w:t xml:space="preserve">Paternal half-sisters</w:t>
      </w:r>
    </w:p>
    <w:p>
      <w:pPr>
        <w:pStyle w:val="ListParagraph"/>
        <w:numPr>
          <w:ilvl w:val="0"/>
          <w:numId w:val="62"/>
        </w:numPr>
        <w:spacing w:before="120" w:after="120" w:line="288"/>
        <w:jc w:val="left"/>
      </w:pPr>
      <w:r>
        <w:rPr/>
        <w:t xml:space="preserve">Maternal aunts (khala) — full, then maternal half, then paternal half</w:t>
      </w:r>
    </w:p>
    <w:p>
      <w:pPr>
        <w:pStyle w:val="ListParagraph"/>
        <w:numPr>
          <w:ilvl w:val="0"/>
          <w:numId w:val="63"/>
        </w:numPr>
        <w:spacing w:before="120" w:after="120" w:line="288"/>
        <w:jc w:val="left"/>
      </w:pPr>
      <w:r>
        <w:rPr/>
        <w:t xml:space="preserve">Paternal aunts (phuphi) — in similar order </w:t>
      </w:r>
      <w:r>
        <w:rPr/>
        <w:t xml:space="preserve"/>
      </w:r>
      <w:r>
        <w:rPr/>
        <w:t xml:space="preserve"/>
      </w:r>
    </w:p>
    <w:p>
      <w:pPr>
        <w:pStyle w:val="ListParagraph"/>
        <w:numPr>
          <w:ilvl w:val="0"/>
          <w:numId w:val="64"/>
        </w:numPr>
        <w:spacing w:before="120" w:after="120" w:line="288"/>
        <w:jc w:val="left"/>
      </w:pPr>
      <w:r>
        <w:rPr/>
        <w:t xml:space="preserve">The rationale for prioritizing maternal relatives: </w:t>
      </w:r>
      <w:r>
        <w:rPr>
          <w:b w:val="true"/>
          <w:bCs w:val="true"/>
        </w:rPr>
        <w:t xml:space="preserve">shafaqah (compassion)</w:t>
      </w:r>
      <w:r>
        <w:rPr/>
        <w:t xml:space="preserve"> is stronger on the mother's side; also, the Quran's mention of Prophet Yusuf (عليه السلام) calling his maternal aunt "mother" (khala) supports the elevated status of the khala. </w:t>
      </w:r>
      <w:r>
        <w:rPr/>
        <w:t xml:space="preserve"/>
      </w:r>
    </w:p>
    <w:p>
      <w:pPr>
        <w:spacing w:before="120" w:after="120" w:line="288"/>
        <w:jc w:val="left"/>
      </w:pPr>
      <w:r>
        <w:rPr>
          <w:b w:val="true"/>
          <w:bCs w:val="true"/>
        </w:rPr>
        <w:t xml:space="preserve">When Custody Passes to Male Relatives (Asaba):</w:t>
      </w:r>
    </w:p>
    <w:p>
      <w:pPr>
        <w:pStyle w:val="ListParagraph"/>
        <w:numPr>
          <w:ilvl w:val="0"/>
          <w:numId w:val="65"/>
        </w:numPr>
        <w:spacing w:before="120" w:after="120" w:line="288"/>
        <w:jc w:val="left"/>
      </w:pPr>
      <w:r>
        <w:rPr/>
        <w:t xml:space="preserve">When no female relative is available or suitable, custody passes to </w:t>
      </w:r>
      <w:r>
        <w:rPr>
          <w:b w:val="true"/>
          <w:bCs w:val="true"/>
        </w:rPr>
        <w:t xml:space="preserve">male mahram relatives (asaba)</w:t>
      </w:r>
      <w:r>
        <w:rPr/>
        <w:t xml:space="preserve">. </w:t>
      </w:r>
      <w:r>
        <w:rPr/>
        <w:t xml:space="preserve"/>
      </w:r>
      <w:r>
        <w:rPr/>
        <w:t xml:space="preserve"/>
      </w:r>
    </w:p>
    <w:p>
      <w:pPr>
        <w:pStyle w:val="ListParagraph"/>
        <w:numPr>
          <w:ilvl w:val="0"/>
          <w:numId w:val="66"/>
        </w:numPr>
        <w:spacing w:before="120" w:after="120" w:line="288"/>
        <w:jc w:val="left"/>
      </w:pPr>
      <w:r>
        <w:rPr/>
        <w:t xml:space="preserve">Order: Father → Paternal grandfather → Full brother → Paternal half-brother → Paternal uncle, etc.</w:t>
      </w:r>
    </w:p>
    <w:p>
      <w:pPr>
        <w:pStyle w:val="ListParagraph"/>
        <w:numPr>
          <w:ilvl w:val="0"/>
          <w:numId w:val="67"/>
        </w:numPr>
        <w:spacing w:before="120" w:after="120" w:line="288"/>
        <w:jc w:val="left"/>
      </w:pPr>
      <w:r>
        <w:rPr/>
        <w:t xml:space="preserve">A male relative who is </w:t>
      </w:r>
      <w:r>
        <w:rPr>
          <w:b w:val="true"/>
          <w:bCs w:val="true"/>
        </w:rPr>
        <w:t xml:space="preserve">not a mahram</w:t>
      </w:r>
      <w:r>
        <w:rPr/>
        <w:t xml:space="preserve"> (e.g., a maternal male cousin) does </w:t>
      </w:r>
      <w:r>
        <w:rPr>
          <w:b w:val="true"/>
          <w:bCs w:val="true"/>
        </w:rPr>
        <w:t xml:space="preserve">not</w:t>
      </w:r>
      <w:r>
        <w:rPr/>
        <w:t xml:space="preserve"> receive custody, due to the risk of fitna (temptation/corruption). </w:t>
      </w:r>
      <w:r>
        <w:rPr/>
        <w:t xml:space="preserve"/>
      </w:r>
    </w:p>
    <w:p>
      <w:pPr>
        <w:spacing w:before="120" w:after="120" w:line="288"/>
        <w:jc w:val="left"/>
      </w:pPr>
      <w:r>
        <w:rPr>
          <w:b w:val="true"/>
          <w:bCs w:val="true"/>
        </w:rPr>
        <w:t xml:space="preserve">Age at Which Custody Transfers:</w:t>
      </w:r>
    </w:p>
    <w:p>
      <w:pPr>
        <w:pStyle w:val="ListParagraph"/>
        <w:numPr>
          <w:ilvl w:val="0"/>
          <w:numId w:val="68"/>
        </w:numPr>
        <w:spacing w:before="120" w:after="120" w:line="288"/>
        <w:jc w:val="left"/>
      </w:pPr>
      <w:r>
        <w:rPr>
          <w:b w:val="true"/>
          <w:bCs w:val="true"/>
        </w:rPr>
        <w:t xml:space="preserve">For boys:</w:t>
      </w:r>
      <w:r>
        <w:rPr/>
        <w:t xml:space="preserve"> Custody with the mother (or female relatives) continues until the boy can manage his basic needs independently — eating, dressing, using the bathroom without assistance. This is generally around </w:t>
      </w:r>
      <w:r>
        <w:rPr>
          <w:b w:val="true"/>
          <w:bCs w:val="true"/>
        </w:rPr>
        <w:t xml:space="preserve">7 years of age</w:t>
      </w:r>
      <w:r>
        <w:rPr/>
        <w:t xml:space="preserve">. </w:t>
      </w:r>
      <w:r>
        <w:rPr/>
        <w:t xml:space="preserve"/>
      </w:r>
      <w:r>
        <w:rPr/>
        <w:t xml:space="preserve"/>
      </w:r>
    </w:p>
    <w:p>
      <w:pPr>
        <w:pStyle w:val="ListParagraph"/>
        <w:numPr>
          <w:ilvl w:val="0"/>
          <w:numId w:val="69"/>
        </w:numPr>
        <w:spacing w:before="120" w:after="120" w:line="288"/>
        <w:jc w:val="left"/>
      </w:pPr>
      <w:r>
        <w:rPr>
          <w:b w:val="true"/>
          <w:bCs w:val="true"/>
        </w:rPr>
        <w:t xml:space="preserve">For girls:</w:t>
      </w:r>
      <w:r>
        <w:rPr/>
        <w:t xml:space="preserve"> Custody with the mother continues until </w:t>
      </w:r>
      <w:r>
        <w:rPr>
          <w:b w:val="true"/>
          <w:bCs w:val="true"/>
        </w:rPr>
        <w:t xml:space="preserve">puberty (bulugh)</w:t>
      </w:r>
      <w:r>
        <w:rPr/>
        <w:t xml:space="preserve">; the rationale is that a girl needs her mother to teach her the etiquette, manners, and knowledge specific to women. </w:t>
      </w:r>
      <w:r>
        <w:rPr/>
        <w:t xml:space="preserve"/>
      </w:r>
      <w:r>
        <w:rPr/>
        <w:t xml:space="preserve"/>
      </w:r>
    </w:p>
    <w:p>
      <w:pPr>
        <w:pStyle w:val="ListParagraph"/>
        <w:numPr>
          <w:ilvl w:val="0"/>
          <w:numId w:val="70"/>
        </w:numPr>
        <w:spacing w:before="120" w:after="120" w:line="288"/>
        <w:jc w:val="left"/>
      </w:pPr>
      <w:r>
        <w:rPr/>
        <w:t xml:space="preserve">After these ages, the child moves to the father (or male asaba), who is better positioned to teach the child worldly and religious skills, social conduct, and to protect from fitna. </w:t>
      </w:r>
      <w:r>
        <w:rPr/>
        <w:t xml:space="preserve"/>
      </w:r>
      <w:r>
        <w:rPr/>
        <w:t xml:space="preserve"/>
      </w:r>
    </w:p>
    <w:p>
      <w:pPr>
        <w:pStyle w:val="ListParagraph"/>
        <w:numPr>
          <w:ilvl w:val="0"/>
          <w:numId w:val="71"/>
        </w:numPr>
        <w:spacing w:before="120" w:after="120" w:line="288"/>
        <w:jc w:val="left"/>
      </w:pPr>
      <w:r>
        <w:rPr>
          <w:b w:val="true"/>
          <w:bCs w:val="true"/>
        </w:rPr>
        <w:t xml:space="preserve">The child's own choice:</w:t>
      </w:r>
      <w:r>
        <w:rPr/>
        <w:t xml:space="preserve"> Once the child reaches the relevant age, some scholars note the child's preference is considered, particularly if the child is mature enough to make an informed decision. </w:t>
      </w:r>
      <w:r>
        <w:rPr/>
        <w:t xml:space="preserve"/>
      </w:r>
    </w:p>
    <w:p>
      <w:pPr>
        <w:spacing w:before="120" w:after="120" w:line="288"/>
        <w:jc w:val="left"/>
      </w:pPr>
      <w:r>
        <w:rPr>
          <w:b w:val="true"/>
          <w:bCs w:val="true"/>
        </w:rPr>
        <w:t xml:space="preserve">Custody and Non-Muslim Mothers:</w:t>
      </w:r>
    </w:p>
    <w:p>
      <w:pPr>
        <w:pStyle w:val="ListParagraph"/>
        <w:numPr>
          <w:ilvl w:val="0"/>
          <w:numId w:val="72"/>
        </w:numPr>
        <w:spacing w:before="120" w:after="120" w:line="288"/>
        <w:jc w:val="left"/>
      </w:pPr>
      <w:r>
        <w:rPr/>
        <w:t xml:space="preserve">If the mother is </w:t>
      </w:r>
      <w:r>
        <w:rPr>
          <w:b w:val="true"/>
          <w:bCs w:val="true"/>
        </w:rPr>
        <w:t xml:space="preserve">non-Muslim</w:t>
      </w:r>
      <w:r>
        <w:rPr/>
        <w:t xml:space="preserve">, her right to custody is limited to the period before the child is at risk of being influenced away from Islam. </w:t>
      </w:r>
      <w:r>
        <w:rPr/>
        <w:t xml:space="preserve"/>
      </w:r>
      <w:r>
        <w:rPr/>
        <w:t xml:space="preserve"/>
      </w:r>
    </w:p>
    <w:p>
      <w:pPr>
        <w:pStyle w:val="ListParagraph"/>
        <w:numPr>
          <w:ilvl w:val="0"/>
          <w:numId w:val="73"/>
        </w:numPr>
        <w:spacing w:before="120" w:after="120" w:line="288"/>
        <w:jc w:val="left"/>
      </w:pPr>
      <w:r>
        <w:rPr/>
        <w:t xml:space="preserve">As soon as there is a genuine fear (ehtimal) that the non-Muslim mother will lead the child away from the deen, the Muslim Qadi (judge) will transfer custody. </w:t>
      </w:r>
      <w:r>
        <w:rPr/>
        <w:t xml:space="preserve"/>
      </w:r>
      <w:r>
        <w:rPr/>
        <w:t xml:space="preserve"/>
      </w:r>
    </w:p>
    <w:p>
      <w:pPr>
        <w:pStyle w:val="ListParagraph"/>
        <w:numPr>
          <w:ilvl w:val="0"/>
          <w:numId w:val="74"/>
        </w:numPr>
        <w:spacing w:before="120" w:after="120" w:line="288"/>
        <w:jc w:val="left"/>
      </w:pPr>
      <w:r>
        <w:rPr/>
        <w:t xml:space="preserve">For girls specifically: since a girl remains with the mother until puberty, the risk of religious indoctrination is higher and the court will be more vigilant. </w:t>
      </w:r>
      <w:r>
        <w:rPr/>
        <w:t xml:space="preserve"/>
      </w:r>
      <w:r>
        <w:rPr/>
        <w:t xml:space="preserve"/>
      </w:r>
    </w:p>
    <w:p>
      <w:pPr>
        <w:spacing w:before="120" w:after="120" w:line="288"/>
        <w:jc w:val="left"/>
      </w:pPr>
      <w:r>
        <w:rPr>
          <w:b w:val="true"/>
          <w:bCs w:val="true"/>
        </w:rPr>
        <w:t xml:space="preserve">Custody and Relocation:</w:t>
      </w:r>
    </w:p>
    <w:p>
      <w:pPr>
        <w:pStyle w:val="ListParagraph"/>
        <w:numPr>
          <w:ilvl w:val="0"/>
          <w:numId w:val="75"/>
        </w:numPr>
        <w:spacing w:before="120" w:after="120" w:line="288"/>
        <w:jc w:val="left"/>
      </w:pPr>
      <w:r>
        <w:rPr/>
        <w:t xml:space="preserve">A divorced mother </w:t>
      </w:r>
      <w:r>
        <w:rPr>
          <w:b w:val="true"/>
          <w:bCs w:val="true"/>
        </w:rPr>
        <w:t xml:space="preserve">may not relocate the child to a different city</w:t>
      </w:r>
      <w:r>
        <w:rPr/>
        <w:t xml:space="preserve"> without the father's consent, as this causes harm to the father's right to access his child. </w:t>
      </w:r>
      <w:r>
        <w:rPr/>
        <w:t xml:space="preserve"/>
      </w:r>
    </w:p>
    <w:p>
      <w:pPr>
        <w:pStyle w:val="ListParagraph"/>
        <w:numPr>
          <w:ilvl w:val="0"/>
          <w:numId w:val="76"/>
        </w:numPr>
        <w:spacing w:before="120" w:after="120" w:line="288"/>
        <w:jc w:val="left"/>
      </w:pPr>
      <w:r>
        <w:rPr>
          <w:b w:val="true"/>
          <w:bCs w:val="true"/>
        </w:rPr>
        <w:t xml:space="preserve">Exception:</w:t>
      </w:r>
      <w:r>
        <w:rPr/>
        <w:t xml:space="preserve"> She may relocate to her </w:t>
      </w:r>
      <w:r>
        <w:rPr>
          <w:b w:val="true"/>
          <w:bCs w:val="true"/>
        </w:rPr>
        <w:t xml:space="preserve">original hometown (watan)</w:t>
      </w:r>
      <w:r>
        <w:rPr/>
        <w:t xml:space="preserve">, provided that the marriage originally took place in that city — because the husband implicitly accepted that she might return there. </w:t>
      </w:r>
      <w:r>
        <w:rPr/>
        <w:t xml:space="preserve"/>
      </w:r>
      <w:r>
        <w:rPr/>
        <w:t xml:space="preserve"/>
      </w:r>
    </w:p>
    <w:p>
      <w:pPr>
        <w:pStyle w:val="ListParagraph"/>
        <w:numPr>
          <w:ilvl w:val="0"/>
          <w:numId w:val="77"/>
        </w:numPr>
        <w:spacing w:before="120" w:after="120" w:line="288"/>
        <w:jc w:val="left"/>
      </w:pPr>
      <w:r>
        <w:rPr/>
        <w:t xml:space="preserve">The hadith cited: "Whoever settles in a town, he is considered one of its people" — supporting the idea that marriage in a city constitutes a commitment to that place. </w:t>
      </w:r>
      <w:r>
        <w:rPr/>
        <w:t xml:space="preserve"/>
      </w:r>
    </w:p>
    <w:p>
      <w:pPr>
        <w:pStyle w:val="ListParagraph"/>
        <w:numPr>
          <w:ilvl w:val="0"/>
          <w:numId w:val="78"/>
        </w:numPr>
        <w:spacing w:before="120" w:after="120" w:line="288"/>
        <w:jc w:val="left"/>
      </w:pPr>
      <w:r>
        <w:rPr/>
        <w:t xml:space="preserve">If the two cities are </w:t>
      </w:r>
      <w:r>
        <w:rPr>
          <w:b w:val="true"/>
          <w:bCs w:val="true"/>
        </w:rPr>
        <w:t xml:space="preserve">close enough</w:t>
      </w:r>
      <w:r>
        <w:rPr/>
        <w:t xml:space="preserve"> that the father can visit the child daily and return home at night, relocation is permissible. </w:t>
      </w:r>
      <w:r>
        <w:rPr/>
        <w:t xml:space="preserve"/>
      </w:r>
      <w:r>
        <w:rPr/>
        <w:t xml:space="preserve"/>
      </w:r>
    </w:p>
    <w:p>
      <w:pPr>
        <w:pStyle w:val="ListParagraph"/>
        <w:numPr>
          <w:ilvl w:val="0"/>
          <w:numId w:val="79"/>
        </w:numPr>
        <w:spacing w:before="120" w:after="120" w:line="288"/>
        <w:jc w:val="left"/>
      </w:pPr>
      <w:r>
        <w:rPr>
          <w:b w:val="true"/>
          <w:bCs w:val="true"/>
        </w:rPr>
        <w:t xml:space="preserve">Village to city relocation:</w:t>
      </w:r>
      <w:r>
        <w:rPr/>
        <w:t xml:space="preserve"> A mother may move from a village to a city (even without it being her watan), because this benefits the child's upbringing and social development; the reverse (city to village) is not permitted as it harms the child. </w:t>
      </w:r>
      <w:r>
        <w:rPr/>
        <w:t xml:space="preserve"/>
      </w:r>
    </w:p>
    <w:p>
      <w:pPr>
        <w:pStyle w:val="ListParagraph"/>
        <w:numPr>
          <w:ilvl w:val="0"/>
          <w:numId w:val="80"/>
        </w:numPr>
        <w:spacing w:before="120" w:after="120" w:line="288"/>
        <w:jc w:val="left"/>
      </w:pPr>
      <w:r>
        <w:rPr/>
        <w:t xml:space="preserve">The same rules apply to relocation between two towns (qaryatayn). </w:t>
      </w:r>
      <w:r>
        <w:rPr/>
        <w:t xml:space="preserve"/>
      </w:r>
    </w:p>
    <w:p>
      <w:pPr>
        <w:spacing w:before="120" w:after="120" w:line="288"/>
        <w:jc w:val="left"/>
      </w:pPr>
      <w:r>
        <w:rPr>
          <w:b w:val="true"/>
          <w:bCs w:val="true"/>
        </w:rPr>
        <w:t xml:space="preserve">Father's Right of Access:</w:t>
      </w:r>
    </w:p>
    <w:p>
      <w:pPr>
        <w:pStyle w:val="ListParagraph"/>
        <w:numPr>
          <w:ilvl w:val="0"/>
          <w:numId w:val="81"/>
        </w:numPr>
        <w:spacing w:before="120" w:after="120" w:line="288"/>
        <w:jc w:val="left"/>
      </w:pPr>
      <w:r>
        <w:rPr/>
        <w:t xml:space="preserve">Even when the mother has custody, the </w:t>
      </w:r>
      <w:r>
        <w:rPr>
          <w:b w:val="true"/>
          <w:bCs w:val="true"/>
        </w:rPr>
        <w:t xml:space="preserve">father has the right to see his child daily</w:t>
      </w:r>
      <w:r>
        <w:rPr/>
        <w:t xml:space="preserve">; "milna" (meeting) is defined as the child being in the father's care overnight — i.e., the child sleeps at the father's home. </w:t>
      </w:r>
      <w:r>
        <w:rPr/>
        <w:t xml:space="preserve"/>
      </w:r>
    </w:p>
    <w:p>
      <w:pPr>
        <w:pStyle w:val="ListParagraph"/>
        <w:numPr>
          <w:ilvl w:val="0"/>
          <w:numId w:val="82"/>
        </w:numPr>
        <w:spacing w:before="120" w:after="120" w:line="288"/>
        <w:jc w:val="left"/>
      </w:pPr>
      <w:r>
        <w:rPr/>
        <w:t xml:space="preserve">The counting of custody days is based on overnight stays, not daytime visits.</w:t>
      </w:r>
    </w:p>
    <w:p>
      <w:pPr>
        <w:pBdr>
          <w:bottom w:val="single" w:color="000000" w:sz="6" w:space="1"/>
          <w:between w:val="single" w:color="000000" w:sz="6" w:space="1"/>
        </w:pBdr>
        <w:spacing w:before="120" w:after="120" w:line="288" w:lineRule="auto"/>
        <w:ind w:left="0"/>
      </w:pPr>
    </w:p>
    <w:p>
      <w:pPr>
        <w:pStyle w:val="Heading2"/>
        <w:spacing w:before="120" w:after="120" w:line="288"/>
        <w:jc w:val="left"/>
      </w:pPr>
      <w:bookmarkStart w:name="_Toc11" w:id="11"/>
      <w:r>
        <w:rPr/>
        <w:t xml:space="preserve">What I Didn't Fully Get</w:t>
      </w:r>
      <w:bookmarkEnd w:id="11"/>
    </w:p>
    <w:p>
      <w:pPr>
        <w:pStyle w:val="ListParagraph"/>
        <w:numPr>
          <w:ilvl w:val="0"/>
          <w:numId w:val="83"/>
        </w:numPr>
        <w:spacing w:before="120" w:after="120" w:line="288"/>
        <w:jc w:val="left"/>
      </w:pPr>
      <w:r>
        <w:rPr>
          <w:b w:val="true"/>
          <w:bCs w:val="true"/>
        </w:rPr>
        <w:t xml:space="preserve">Why does Imam Abu Hanifah restrict nasab for a minor divorced wife to nine months rather than two years?</w:t>
      </w:r>
    </w:p>
    <w:p>
      <w:pPr>
        <w:pStyle w:val="ListParagraph"/>
        <w:numPr>
          <w:ilvl w:val="0"/>
          <w:numId w:val="84"/>
        </w:numPr>
        <w:spacing w:before="120" w:after="120" w:line="288"/>
        <w:jc w:val="left"/>
      </w:pPr>
      <w:r>
        <w:rPr/>
        <w:t xml:space="preserve">The key distinction is the </w:t>
      </w:r>
      <w:r>
        <w:rPr>
          <w:b w:val="true"/>
          <w:bCs w:val="true"/>
        </w:rPr>
        <w:t xml:space="preserve">default assumption</w:t>
      </w:r>
      <w:r>
        <w:rPr/>
        <w:t xml:space="preserve">: for an adult woman, pregnancy is a normal possibility, so the two-year maximum applies. For a pre-pubescent girl, pregnancy before puberty is considered legally impossible (the default is </w:t>
      </w:r>
      <w:r>
        <w:rPr>
          <w:i w:val="true"/>
          <w:iCs w:val="true"/>
        </w:rPr>
        <w:t xml:space="preserve">'adam al-haml</w:t>
      </w:r>
      <w:r>
        <w:rPr/>
        <w:t xml:space="preserve">). Therefore, once the three-month 'iddah passes (which definitively ends her 'iddah by Sharia's own ruling, not by her declaration), there is no basis to assume she could have been pregnant at the time of divorce. The nine-month window covers the maximum time from the end of 'iddah backward to the divorce. </w:t>
      </w:r>
      <w:r>
        <w:rPr/>
        <w:t xml:space="preserve"/>
      </w:r>
      <w:r>
        <w:rPr/>
        <w:t xml:space="preserve"/>
      </w:r>
    </w:p>
    <w:p>
      <w:pPr>
        <w:pStyle w:val="ListParagraph"/>
        <w:numPr>
          <w:ilvl w:val="0"/>
          <w:numId w:val="85"/>
        </w:numPr>
        <w:spacing w:before="120" w:after="120" w:line="288"/>
        <w:jc w:val="left"/>
      </w:pPr>
      <w:r>
        <w:rPr/>
        <w:t xml:space="preserve">Abu Yusuf disagrees because he treats her like a large woman in one respect: she has not explicitly declared her 'iddah complete, so pregnancy remains an open possibility until two years pass. </w:t>
      </w:r>
      <w:r>
        <w:rPr/>
        <w:t xml:space="preserve"/>
      </w:r>
    </w:p>
    <w:p>
      <w:pPr>
        <w:pStyle w:val="ListParagraph"/>
        <w:numPr>
          <w:ilvl w:val="0"/>
          <w:numId w:val="86"/>
        </w:numPr>
        <w:spacing w:before="120" w:after="120" w:line="288"/>
        <w:jc w:val="left"/>
      </w:pPr>
      <w:r>
        <w:rPr>
          <w:b w:val="true"/>
          <w:bCs w:val="true"/>
        </w:rPr>
        <w:t xml:space="preserve">The distinction between nasab being established and ruju' being implied:</w:t>
      </w:r>
    </w:p>
    <w:p>
      <w:pPr>
        <w:pStyle w:val="ListParagraph"/>
        <w:numPr>
          <w:ilvl w:val="0"/>
          <w:numId w:val="87"/>
        </w:numPr>
        <w:spacing w:before="120" w:after="120" w:line="288"/>
        <w:jc w:val="left"/>
      </w:pPr>
      <w:r>
        <w:rPr/>
        <w:t xml:space="preserve">In the case of a raj'i divorce where the child is born after two years, the teacher explained that if the husband claims the child, this is treated as an </w:t>
      </w:r>
      <w:r>
        <w:rPr>
          <w:b w:val="true"/>
          <w:bCs w:val="true"/>
        </w:rPr>
        <w:t xml:space="preserve">implicit ruju'</w:t>
      </w:r>
      <w:r>
        <w:rPr/>
        <w:t xml:space="preserve"> — he is essentially acknowledging he returned to the marriage (even without formal declaration) and the child is his. This is a unique Hanafi mechanism to protect nasab without requiring explicit ruju' formalities. </w:t>
      </w:r>
      <w:r>
        <w:rPr/>
        <w:t xml:space="preserve"/>
      </w:r>
    </w:p>
    <w:p>
      <w:pPr>
        <w:pStyle w:val="ListParagraph"/>
        <w:numPr>
          <w:ilvl w:val="0"/>
          <w:numId w:val="88"/>
        </w:numPr>
        <w:spacing w:before="120" w:after="120" w:line="288"/>
        <w:jc w:val="left"/>
      </w:pPr>
      <w:r>
        <w:rPr>
          <w:b w:val="true"/>
          <w:bCs w:val="true"/>
        </w:rPr>
        <w:t xml:space="preserve">Why does shubha (mistaken intercourse) provide a valid basis for nasab even outside marriage?</w:t>
      </w:r>
    </w:p>
    <w:p>
      <w:pPr>
        <w:pStyle w:val="ListParagraph"/>
        <w:numPr>
          <w:ilvl w:val="0"/>
          <w:numId w:val="89"/>
        </w:numPr>
        <w:spacing w:before="120" w:after="120" w:line="288"/>
        <w:jc w:val="left"/>
      </w:pPr>
      <w:r>
        <w:rPr/>
        <w:t xml:space="preserve">Islamic law treats intercourse by genuine mistake (e.g., a man mistakes a woman for his wife) as legally equivalent to valid intercourse for the purpose of nasab — the child is attributed to him. This is because the legal consequences of nasab (child's rights, inheritance) should not be denied due to an honest mistake. However, this does </w:t>
      </w:r>
      <w:r>
        <w:rPr>
          <w:b w:val="true"/>
          <w:bCs w:val="true"/>
        </w:rPr>
        <w:t xml:space="preserve">not</w:t>
      </w:r>
      <w:r>
        <w:rPr/>
        <w:t xml:space="preserve"> make the intercourse halal — it merely activates the nasab and mahr consequences. </w:t>
      </w:r>
      <w:r>
        <w:rPr/>
        <w:t xml:space="preserve"/>
      </w:r>
      <w:r>
        <w:rPr/>
        <w:t xml:space="preserve"/>
      </w:r>
    </w:p>
    <w:p>
      <w:pPr>
        <w:pStyle w:val="ListParagraph"/>
        <w:numPr>
          <w:ilvl w:val="0"/>
          <w:numId w:val="90"/>
        </w:numPr>
        <w:spacing w:before="120" w:after="120" w:line="288"/>
        <w:jc w:val="left"/>
      </w:pPr>
      <w:r>
        <w:rPr>
          <w:b w:val="true"/>
          <w:bCs w:val="true"/>
        </w:rPr>
        <w:t xml:space="preserve">The difference between the testimony requirement for nasab vs. for triggering talaq:</w:t>
      </w:r>
    </w:p>
    <w:p>
      <w:pPr>
        <w:pStyle w:val="ListParagraph"/>
        <w:numPr>
          <w:ilvl w:val="0"/>
          <w:numId w:val="91"/>
        </w:numPr>
        <w:spacing w:before="120" w:after="120" w:line="288"/>
        <w:jc w:val="left"/>
      </w:pPr>
      <w:r>
        <w:rPr/>
        <w:t xml:space="preserve">Imam Abu Hanifah's position on the contingent talaq ("if you give birth, you are divorced") is subtle: the one-woman testimony for birth is accepted as a </w:t>
      </w:r>
      <w:r>
        <w:rPr>
          <w:b w:val="true"/>
          <w:bCs w:val="true"/>
        </w:rPr>
        <w:t xml:space="preserve">necessity (darurah)</w:t>
      </w:r>
      <w:r>
        <w:rPr/>
        <w:t xml:space="preserve"> in its own domain — because men cannot be present at birth, and the Sharia accommodates this. But this necessity does </w:t>
      </w:r>
      <w:r>
        <w:rPr>
          <w:b w:val="true"/>
          <w:bCs w:val="true"/>
        </w:rPr>
        <w:t xml:space="preserve">not</w:t>
      </w:r>
      <w:r>
        <w:rPr/>
        <w:t xml:space="preserve"> extend beyond its domain. Divorce is a separate legal act with its own proof requirements; since it is separable from the birth (the divorce is a consequence, not the birth itself), full proof is required. </w:t>
      </w:r>
      <w:r>
        <w:rPr/>
        <w:t xml:space="preserve"/>
      </w:r>
    </w:p>
    <w:p>
      <w:pPr>
        <w:pStyle w:val="ListParagraph"/>
        <w:numPr>
          <w:ilvl w:val="0"/>
          <w:numId w:val="92"/>
        </w:numPr>
        <w:spacing w:before="120" w:after="120" w:line="288"/>
        <w:jc w:val="left"/>
      </w:pPr>
      <w:r>
        <w:rPr/>
        <w:t xml:space="preserve">Abu Yusuf and Muhammad disagree: since the testimony is accepted for the birth, it should be accepted for whatever is legally built upon that birth. </w:t>
      </w:r>
      <w:r>
        <w:rPr/>
        <w:t xml:space="preserve"/>
      </w:r>
    </w:p>
    <w:p>
      <w:pPr>
        <w:pStyle w:val="ListParagraph"/>
        <w:numPr>
          <w:ilvl w:val="0"/>
          <w:numId w:val="93"/>
        </w:numPr>
        <w:spacing w:before="120" w:after="120" w:line="288"/>
        <w:jc w:val="left"/>
      </w:pPr>
      <w:r>
        <w:rPr>
          <w:b w:val="true"/>
          <w:bCs w:val="true"/>
        </w:rPr>
        <w:t xml:space="preserve">Why can a maternal uncle (khalu) not receive custody?</w:t>
      </w:r>
    </w:p>
    <w:p>
      <w:pPr>
        <w:pStyle w:val="ListParagraph"/>
        <w:numPr>
          <w:ilvl w:val="0"/>
          <w:numId w:val="94"/>
        </w:numPr>
        <w:spacing w:before="120" w:after="120" w:line="288"/>
        <w:jc w:val="left"/>
      </w:pPr>
      <w:r>
        <w:rPr/>
        <w:t xml:space="preserve">The khalu (maternal uncle) is a mahram but is not an asaba (agnatic relative). Custody among male relatives is restricted to </w:t>
      </w:r>
      <w:r>
        <w:rPr>
          <w:b w:val="true"/>
          <w:bCs w:val="true"/>
        </w:rPr>
        <w:t xml:space="preserve">mahram asaba</w:t>
      </w:r>
      <w:r>
        <w:rPr/>
        <w:t xml:space="preserve"> — those who are both related through the male line and are mahram. The khalu fails the asaba condition. Additionally, there is concern about fitna with a non-asaba male. </w:t>
      </w:r>
      <w:r>
        <w:rPr/>
        <w:t xml:space="preserve"/>
      </w:r>
    </w:p>
    <w:p>
      <w:pPr>
        <w:pBdr>
          <w:bottom w:val="single" w:color="000000" w:sz="6" w:space="1"/>
          <w:between w:val="single" w:color="000000" w:sz="6" w:space="1"/>
        </w:pBdr>
        <w:spacing w:before="120" w:after="120" w:line="288" w:lineRule="auto"/>
        <w:ind w:left="0"/>
      </w:pPr>
    </w:p>
    <w:p>
      <w:pPr>
        <w:pStyle w:val="Heading2"/>
        <w:spacing w:before="120" w:after="120" w:line="288"/>
        <w:jc w:val="left"/>
      </w:pPr>
      <w:bookmarkStart w:name="_Toc12" w:id="12"/>
      <w:r>
        <w:rPr/>
        <w:t xml:space="preserve">Might Show Up on the Exam</w:t>
      </w:r>
      <w:bookmarkEnd w:id="12"/>
    </w:p>
    <w:p>
      <w:pPr>
        <w:pStyle w:val="ListParagraph"/>
        <w:numPr>
          <w:ilvl w:val="0"/>
          <w:numId w:val="95"/>
        </w:numPr>
        <w:spacing w:before="120" w:after="120" w:line="288"/>
        <w:jc w:val="left"/>
      </w:pPr>
      <w:r>
        <w:rPr>
          <w:b w:val="true"/>
          <w:bCs w:val="true"/>
        </w:rPr>
        <w:t xml:space="preserve">Six-month minimum gestation rule:</w:t>
      </w:r>
      <w:r>
        <w:rPr/>
        <w:t xml:space="preserve"> Child born fewer than six months after nikah → nasab NOT established (unless husband claims it). Child born six months or more → nasab established automatically if husband is silent or agrees. </w:t>
      </w:r>
      <w:r>
        <w:rPr/>
        <w:t xml:space="preserve"/>
      </w:r>
    </w:p>
    <w:p>
      <w:pPr>
        <w:pStyle w:val="ListParagraph"/>
        <w:numPr>
          <w:ilvl w:val="0"/>
          <w:numId w:val="96"/>
        </w:numPr>
        <w:spacing w:before="120" w:after="120" w:line="288"/>
        <w:jc w:val="left"/>
      </w:pPr>
      <w:r>
        <w:rPr>
          <w:b w:val="true"/>
          <w:bCs w:val="true"/>
        </w:rPr>
        <w:t xml:space="preserve">Two-year maximum gestation (Hanafi):</w:t>
      </w:r>
      <w:r>
        <w:rPr/>
        <w:t xml:space="preserve"> Any child born within two years of the divorce/death → nasab potentially established; after two years → not established without da'wa. </w:t>
      </w:r>
      <w:r>
        <w:rPr/>
        <w:t xml:space="preserve"/>
      </w:r>
    </w:p>
    <w:p>
      <w:pPr>
        <w:pStyle w:val="ListParagraph"/>
        <w:numPr>
          <w:ilvl w:val="0"/>
          <w:numId w:val="97"/>
        </w:numPr>
        <w:spacing w:before="120" w:after="120" w:line="288"/>
        <w:jc w:val="left"/>
      </w:pPr>
      <w:r>
        <w:rPr>
          <w:b w:val="true"/>
          <w:bCs w:val="true"/>
        </w:rPr>
        <w:t xml:space="preserve">Raj'i vs. Ba'in distinction for nasab:</w:t>
      </w:r>
      <w:r>
        <w:rPr/>
        <w:t xml:space="preserve"> In raj'i — two years from divorce, ruju' is implied by da'wa after two years. In ba'in — two years from divorce, da'wa implies shubha intercourse. </w:t>
      </w:r>
      <w:r>
        <w:rPr/>
        <w:t xml:space="preserve"/>
      </w:r>
      <w:r>
        <w:rPr/>
        <w:t xml:space="preserve"/>
      </w:r>
    </w:p>
    <w:p>
      <w:pPr>
        <w:pStyle w:val="ListParagraph"/>
        <w:numPr>
          <w:ilvl w:val="0"/>
          <w:numId w:val="98"/>
        </w:numPr>
        <w:spacing w:before="120" w:after="120" w:line="288"/>
        <w:jc w:val="left"/>
      </w:pPr>
      <w:r>
        <w:rPr>
          <w:b w:val="true"/>
          <w:bCs w:val="true"/>
        </w:rPr>
        <w:t xml:space="preserve">Minor wife — Abu Hanifah vs. Abu Yusuf:</w:t>
      </w:r>
      <w:r>
        <w:rPr/>
        <w:t xml:space="preserve"> Abu Hanifah: 9 months. Abu Yusuf: 2 years. Abu Yusuf for raj'i minor: 27 months (3 months 'iddah + 24 months haml). </w:t>
      </w:r>
      <w:r>
        <w:rPr/>
        <w:t xml:space="preserve"/>
      </w:r>
      <w:r>
        <w:rPr/>
        <w:t xml:space="preserve"/>
      </w:r>
    </w:p>
    <w:p>
      <w:pPr>
        <w:pStyle w:val="ListParagraph"/>
        <w:numPr>
          <w:ilvl w:val="0"/>
          <w:numId w:val="99"/>
        </w:numPr>
        <w:spacing w:before="120" w:after="120" w:line="288"/>
        <w:jc w:val="left"/>
      </w:pPr>
      <w:r>
        <w:rPr>
          <w:b w:val="true"/>
          <w:bCs w:val="true"/>
        </w:rPr>
        <w:t xml:space="preserve">Widow — nasab up to two years from death</w:t>
      </w:r>
      <w:r>
        <w:rPr/>
        <w:t xml:space="preserve">, with the Zufar dissent (6 months after 'iddah ends = no nasab) and the mainstream rebuttal (pregnancy is an alternative basis for 'iddah). </w:t>
      </w:r>
      <w:r>
        <w:rPr/>
        <w:t xml:space="preserve"/>
      </w:r>
      <w:r>
        <w:rPr/>
        <w:t xml:space="preserve"/>
      </w:r>
    </w:p>
    <w:p>
      <w:pPr>
        <w:pStyle w:val="ListParagraph"/>
        <w:numPr>
          <w:ilvl w:val="0"/>
          <w:numId w:val="100"/>
        </w:numPr>
        <w:spacing w:before="120" w:after="120" w:line="288"/>
        <w:jc w:val="left"/>
      </w:pPr>
      <w:r>
        <w:rPr>
          <w:b w:val="true"/>
          <w:bCs w:val="true"/>
        </w:rPr>
        <w:t xml:space="preserve">Testimony for birth:</w:t>
      </w:r>
      <w:r>
        <w:rPr/>
        <w:t xml:space="preserve"> Abu Hanifah = 2 men or 1 man + 2 women (or visible pregnancy / prior acknowledgment). Abu Yusuf/Muhammad = 1 woman sufficient. </w:t>
      </w:r>
      <w:r>
        <w:rPr/>
        <w:t xml:space="preserve"/>
      </w:r>
      <w:r>
        <w:rPr/>
        <w:t xml:space="preserve"/>
      </w:r>
    </w:p>
    <w:p>
      <w:pPr>
        <w:pStyle w:val="ListParagraph"/>
        <w:numPr>
          <w:ilvl w:val="0"/>
          <w:numId w:val="101"/>
        </w:numPr>
        <w:spacing w:before="120" w:after="120" w:line="288"/>
        <w:jc w:val="left"/>
      </w:pPr>
      <w:r>
        <w:rPr>
          <w:b w:val="true"/>
          <w:bCs w:val="true"/>
        </w:rPr>
        <w:t xml:space="preserve">Contingent talaq + one-woman testimony:</w:t>
      </w:r>
      <w:r>
        <w:rPr/>
        <w:t xml:space="preserve"> Abu Hanifah — no talaq. Abu Yusuf/Muhammad — talaq occurs. </w:t>
      </w:r>
      <w:r>
        <w:rPr/>
        <w:t xml:space="preserve"/>
      </w:r>
      <w:r>
        <w:rPr/>
        <w:t xml:space="preserve"/>
      </w:r>
    </w:p>
    <w:p>
      <w:pPr>
        <w:pStyle w:val="ListParagraph"/>
        <w:numPr>
          <w:ilvl w:val="0"/>
          <w:numId w:val="102"/>
        </w:numPr>
        <w:spacing w:before="120" w:after="120" w:line="288"/>
        <w:jc w:val="left"/>
      </w:pPr>
      <w:r>
        <w:rPr>
          <w:b w:val="true"/>
          <w:bCs w:val="true"/>
        </w:rPr>
        <w:t xml:space="preserve">Heirs acknowledging birth of deceased's child:</w:t>
      </w:r>
      <w:r>
        <w:rPr/>
        <w:t xml:space="preserve"> Nasab established in all opinions; extends to third parties if heirs are qualified witnesses; lafzat al-shahada may or may not be required. </w:t>
      </w:r>
      <w:r>
        <w:rPr/>
        <w:t xml:space="preserve"/>
      </w:r>
      <w:r>
        <w:rPr/>
        <w:t xml:space="preserve"/>
      </w:r>
    </w:p>
    <w:p>
      <w:pPr>
        <w:pStyle w:val="ListParagraph"/>
        <w:numPr>
          <w:ilvl w:val="0"/>
          <w:numId w:val="103"/>
        </w:numPr>
        <w:spacing w:before="120" w:after="120" w:line="288"/>
        <w:jc w:val="left"/>
      </w:pPr>
      <w:r>
        <w:rPr>
          <w:b w:val="true"/>
          <w:bCs w:val="true"/>
        </w:rPr>
        <w:t xml:space="preserve">Slave woman (amah) purchased after divorce:</w:t>
      </w:r>
      <w:r>
        <w:rPr/>
        <w:t xml:space="preserve"> Less than 6 months from purchase → child attributed to him (from marriage 'iddah). 6 months or more → da'wa required. Two ba'in talaqs → 2 years from divorce, not purchase. </w:t>
      </w:r>
      <w:r>
        <w:rPr/>
        <w:t xml:space="preserve"/>
      </w:r>
      <w:r>
        <w:rPr/>
        <w:t xml:space="preserve"/>
      </w:r>
    </w:p>
    <w:p>
      <w:pPr>
        <w:pStyle w:val="ListParagraph"/>
        <w:numPr>
          <w:ilvl w:val="0"/>
          <w:numId w:val="104"/>
        </w:numPr>
        <w:spacing w:before="120" w:after="120" w:line="288"/>
        <w:jc w:val="left"/>
      </w:pPr>
      <w:r>
        <w:rPr>
          <w:b w:val="true"/>
          <w:bCs w:val="true"/>
        </w:rPr>
        <w:t xml:space="preserve">Custody hierarchy:</w:t>
      </w:r>
      <w:r>
        <w:rPr/>
        <w:t xml:space="preserve"> Mother first → maternal female relatives → paternal female relatives → male mahram asaba. Mother loses custody on remarriage to non-mahram. </w:t>
      </w:r>
      <w:r>
        <w:rPr/>
        <w:t xml:space="preserve"/>
      </w:r>
      <w:r>
        <w:rPr/>
        <w:t xml:space="preserve"/>
      </w:r>
    </w:p>
    <w:p>
      <w:pPr>
        <w:pStyle w:val="ListParagraph"/>
        <w:numPr>
          <w:ilvl w:val="0"/>
          <w:numId w:val="105"/>
        </w:numPr>
        <w:spacing w:before="120" w:after="120" w:line="288"/>
        <w:jc w:val="left"/>
      </w:pPr>
      <w:r>
        <w:rPr>
          <w:b w:val="true"/>
          <w:bCs w:val="true"/>
        </w:rPr>
        <w:t xml:space="preserve">Age of transfer:</w:t>
      </w:r>
      <w:r>
        <w:rPr/>
        <w:t xml:space="preserve"> Boys ~7 years; Girls at puberty (bulugh). </w:t>
      </w:r>
      <w:r>
        <w:rPr/>
        <w:t xml:space="preserve"/>
      </w:r>
      <w:r>
        <w:rPr/>
        <w:t xml:space="preserve"/>
      </w:r>
    </w:p>
    <w:p>
      <w:pPr>
        <w:pStyle w:val="ListParagraph"/>
        <w:numPr>
          <w:ilvl w:val="0"/>
          <w:numId w:val="106"/>
        </w:numPr>
        <w:spacing w:before="120" w:after="120" w:line="288"/>
        <w:jc w:val="left"/>
      </w:pPr>
      <w:r>
        <w:rPr>
          <w:b w:val="true"/>
          <w:bCs w:val="true"/>
        </w:rPr>
        <w:t xml:space="preserve">Non-Muslim mother:</w:t>
      </w:r>
      <w:r>
        <w:rPr/>
        <w:t xml:space="preserve"> Loses custody when risk of child being led away from Islam arises. </w:t>
      </w:r>
      <w:r>
        <w:rPr/>
        <w:t xml:space="preserve"/>
      </w:r>
    </w:p>
    <w:p>
      <w:pPr>
        <w:pStyle w:val="ListParagraph"/>
        <w:numPr>
          <w:ilvl w:val="0"/>
          <w:numId w:val="107"/>
        </w:numPr>
        <w:spacing w:before="120" w:after="120" w:line="288"/>
        <w:jc w:val="left"/>
      </w:pPr>
      <w:r>
        <w:rPr>
          <w:b w:val="true"/>
          <w:bCs w:val="true"/>
        </w:rPr>
        <w:t xml:space="preserve">Relocation rule:</w:t>
      </w:r>
      <w:r>
        <w:rPr/>
        <w:t xml:space="preserve"> Cannot relocate child to non-watan city. Can relocate to watan if nikah occurred there. Village to city permitted; city to village not permitted. </w:t>
      </w:r>
      <w:r>
        <w:rPr/>
        <w:t xml:space="preserve"/>
      </w:r>
      <w:r>
        <w:rPr/>
        <w:t xml:space="preserve"/>
      </w:r>
    </w:p>
    <w:p>
      <w:pPr>
        <w:pStyle w:val="ListParagraph"/>
        <w:numPr>
          <w:ilvl w:val="0"/>
          <w:numId w:val="108"/>
        </w:numPr>
        <w:spacing w:before="120" w:after="120" w:line="288"/>
        <w:jc w:val="left"/>
      </w:pPr>
      <w:r>
        <w:rPr>
          <w:b w:val="true"/>
          <w:bCs w:val="true"/>
        </w:rPr>
        <w:t xml:space="preserve">DNA/medical evidence:</w:t>
      </w:r>
      <w:r>
        <w:rPr/>
        <w:t xml:space="preserve"> Corroborating/tazir level only; does not override firaash presumption; li'an still required for denial. </w:t>
      </w:r>
      <w:r>
        <w:rPr/>
        <w:t xml:space="preserve"/>
      </w:r>
      <w:r>
        <w:rPr/>
        <w:t xml:space="preserve"/>
      </w:r>
    </w:p>
  </w:body>
</w:document>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2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38">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39">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4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4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4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4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4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4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4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4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4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4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57">
    <w:multiLevelType xmlns:w="http://schemas.openxmlformats.org/wordprocessingml/2006/main" w:val="hybridMultilevel"/>
    <w:lvl xmlns:w="http://schemas.openxmlformats.org/wordprocessingml/2006/main" w:ilvl="0">
      <w:start w:val="1"/>
      <w:numFmt w:val="lowerLetter"/>
      <w:lvlText w:val="%1."/>
      <w:lvlJc w:val="left"/>
      <w:pPr>
        <w:ind w:left="1440" w:hanging="360"/>
      </w:pPr>
    </w:lvl>
  </w:abstractNum>
  <w:abstractNum xmlns:w="http://schemas.openxmlformats.org/wordprocessingml/2006/main" w:abstractNumId="58">
    <w:multiLevelType xmlns:w="http://schemas.openxmlformats.org/wordprocessingml/2006/main" w:val="hybridMultilevel"/>
    <w:lvl xmlns:w="http://schemas.openxmlformats.org/wordprocessingml/2006/main" w:ilvl="0">
      <w:start w:val="2"/>
      <w:numFmt w:val="lowerLetter"/>
      <w:lvlText w:val="%1."/>
      <w:lvlJc w:val="left"/>
      <w:pPr>
        <w:ind w:left="1440" w:hanging="360"/>
      </w:pPr>
    </w:lvl>
  </w:abstractNum>
  <w:abstractNum xmlns:w="http://schemas.openxmlformats.org/wordprocessingml/2006/main" w:abstractNumId="59">
    <w:multiLevelType xmlns:w="http://schemas.openxmlformats.org/wordprocessingml/2006/main" w:val="hybridMultilevel"/>
    <w:lvl xmlns:w="http://schemas.openxmlformats.org/wordprocessingml/2006/main" w:ilvl="0">
      <w:start w:val="3"/>
      <w:numFmt w:val="lowerLetter"/>
      <w:lvlText w:val="%1."/>
      <w:lvlJc w:val="left"/>
      <w:pPr>
        <w:ind w:left="1440" w:hanging="360"/>
      </w:pPr>
    </w:lvl>
  </w:abstractNum>
  <w:abstractNum xmlns:w="http://schemas.openxmlformats.org/wordprocessingml/2006/main" w:abstractNumId="60">
    <w:multiLevelType xmlns:w="http://schemas.openxmlformats.org/wordprocessingml/2006/main" w:val="hybridMultilevel"/>
    <w:lvl xmlns:w="http://schemas.openxmlformats.org/wordprocessingml/2006/main" w:ilvl="0">
      <w:start w:val="4"/>
      <w:numFmt w:val="lowerLetter"/>
      <w:lvlText w:val="%1."/>
      <w:lvlJc w:val="left"/>
      <w:pPr>
        <w:ind w:left="1440" w:hanging="360"/>
      </w:pPr>
    </w:lvl>
  </w:abstractNum>
  <w:abstractNum xmlns:w="http://schemas.openxmlformats.org/wordprocessingml/2006/main" w:abstractNumId="61">
    <w:multiLevelType xmlns:w="http://schemas.openxmlformats.org/wordprocessingml/2006/main" w:val="hybridMultilevel"/>
    <w:lvl xmlns:w="http://schemas.openxmlformats.org/wordprocessingml/2006/main" w:ilvl="0">
      <w:start w:val="5"/>
      <w:numFmt w:val="lowerLetter"/>
      <w:lvlText w:val="%1."/>
      <w:lvlJc w:val="left"/>
      <w:pPr>
        <w:ind w:left="1440" w:hanging="360"/>
      </w:pPr>
    </w:lvl>
  </w:abstractNum>
  <w:abstractNum xmlns:w="http://schemas.openxmlformats.org/wordprocessingml/2006/main" w:abstractNumId="62">
    <w:multiLevelType xmlns:w="http://schemas.openxmlformats.org/wordprocessingml/2006/main" w:val="hybridMultilevel"/>
    <w:lvl xmlns:w="http://schemas.openxmlformats.org/wordprocessingml/2006/main" w:ilvl="0">
      <w:start w:val="6"/>
      <w:numFmt w:val="lowerLetter"/>
      <w:lvlText w:val="%1."/>
      <w:lvlJc w:val="left"/>
      <w:pPr>
        <w:ind w:left="1440" w:hanging="360"/>
      </w:pPr>
    </w:lvl>
  </w:abstractNum>
  <w:abstractNum xmlns:w="http://schemas.openxmlformats.org/wordprocessingml/2006/main" w:abstractNumId="63">
    <w:multiLevelType xmlns:w="http://schemas.openxmlformats.org/wordprocessingml/2006/main" w:val="hybridMultilevel"/>
    <w:lvl xmlns:w="http://schemas.openxmlformats.org/wordprocessingml/2006/main" w:ilvl="0">
      <w:start w:val="7"/>
      <w:numFmt w:val="lowerLetter"/>
      <w:lvlText w:val="%1."/>
      <w:lvlJc w:val="left"/>
      <w:pPr>
        <w:ind w:left="1440" w:hanging="360"/>
      </w:pPr>
    </w:lvl>
  </w:abstractNum>
  <w:abstractNum xmlns:w="http://schemas.openxmlformats.org/wordprocessingml/2006/main" w:abstractNumId="6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6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7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4">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85">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8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7">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8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89">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9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1">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92">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9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4">
    <w:multiLevelType xmlns:w="http://schemas.openxmlformats.org/wordprocessingml/2006/main" w:val="hybridMultilevel"/>
    <w:lvl xmlns:w="http://schemas.openxmlformats.org/wordprocessingml/2006/main" w:ilvl="0">
      <w:numFmt w:val="bullet"/>
      <w:lvlText w:val=""/>
      <w:lvlJc w:val="left"/>
      <w:pPr>
        <w:ind w:left="1440" w:hanging="360"/>
      </w:pPr>
      <w:rPr>
        <w:rFonts w:hint="default" w:ascii="Symbol" w:hAnsi="Symbol"/>
      </w:rPr>
    </w:lvl>
  </w:abstractNum>
  <w:abstractNum xmlns:w="http://schemas.openxmlformats.org/wordprocessingml/2006/main" w:abstractNumId="9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99">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0">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1">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2">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3">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4">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6">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7">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abstractNum xmlns:w="http://schemas.openxmlformats.org/wordprocessingml/2006/main" w:abstractNumId="108">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w="http://schemas.openxmlformats.org/wordprocessingml/2006/main">
  <w:endnotePr>
    <w:pos w:val="docEnd"/>
    <w:numFmt w:val="decimal"/>
    <w:start w:val="1"/>
  </w:end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B85B35E"/>
    <w:rPr>
      <w:color w:val="467886"/>
      <w:u w:val="single"/>
    </w:rPr>
  </w:style>
  <w:style w:type="paragraph" w:styleId="ListParagraph">
    <w:uiPriority w:val="34"/>
    <w:name w:val="List Paragraph"/>
    <w:basedOn w:val="Normal"/>
    <w:qFormat/>
    <w:rsid w:val="22B6045E"/>
    <w:pPr>
      <w:spacing/>
      <w:ind w:left="720"/>
      <w:contextualSpacing/>
    </w:pPr>
  </w:style>
  <w:style w:type="paragraph" w:styleId="TOC1">
    <w:uiPriority w:val="39"/>
    <w:name w:val="toc 1"/>
    <w:basedOn w:val="Normal"/>
    <w:next w:val="Normal"/>
    <w:unhideWhenUsed/>
    <w:rsid w:val="4B19D2DD"/>
    <w:pPr>
      <w:spacing w:after="100"/>
    </w:pPr>
  </w:style>
  <w:style w:type="paragraph" w:styleId="TOC2">
    <w:uiPriority w:val="39"/>
    <w:name w:val="toc 2"/>
    <w:basedOn w:val="Normal"/>
    <w:next w:val="Normal"/>
    <w:unhideWhenUsed/>
    <w:rsid w:val="4B19D2DD"/>
    <w:pPr>
      <w:spacing w:after="100"/>
      <w:ind w:left="220"/>
    </w:pPr>
  </w:style>
  <w:style w:type="paragraph" w:styleId="TOC3">
    <w:uiPriority w:val="39"/>
    <w:name w:val="toc 3"/>
    <w:basedOn w:val="Normal"/>
    <w:next w:val="Normal"/>
    <w:unhideWhenUsed/>
    <w:rsid w:val="4B19D2DD"/>
    <w:pPr>
      <w:spacing w:after="100"/>
      <w:ind w:left="440"/>
    </w:pPr>
  </w:style>
  <w:style w:type="paragraph" w:styleId="TOC4">
    <w:uiPriority w:val="39"/>
    <w:name w:val="toc 4"/>
    <w:basedOn w:val="Normal"/>
    <w:next w:val="Normal"/>
    <w:unhideWhenUsed/>
    <w:rsid w:val="4B19D2DD"/>
    <w:pPr>
      <w:spacing w:after="100"/>
      <w:ind w:left="660"/>
    </w:pPr>
  </w:style>
  <w:style w:type="paragraph" w:styleId="TOC5">
    <w:uiPriority w:val="39"/>
    <w:name w:val="toc 5"/>
    <w:basedOn w:val="Normal"/>
    <w:next w:val="Normal"/>
    <w:unhideWhenUsed/>
    <w:rsid w:val="4B19D2DD"/>
    <w:pPr>
      <w:spacing w:after="100"/>
      <w:ind w:left="880"/>
    </w:pPr>
  </w:style>
  <w:style w:type="paragraph" w:styleId="TOC6">
    <w:uiPriority w:val="39"/>
    <w:name w:val="toc 6"/>
    <w:basedOn w:val="Normal"/>
    <w:next w:val="Normal"/>
    <w:unhideWhenUsed/>
    <w:rsid w:val="4B19D2DD"/>
    <w:pPr>
      <w:spacing w:after="100"/>
      <w:ind w:left="1100"/>
    </w:pPr>
  </w:style>
  <w:style w:type="paragraph" w:styleId="EndnoteText">
    <w:uiPriority w:val="99"/>
    <w:name w:val="endnote text"/>
    <w:basedOn w:val="Normal"/>
    <w:semiHidden/>
    <w:unhideWhenUsed/>
    <w:rsid w:val="7FB19044"/>
    <w:rPr>
      <w:sz w:val="20"/>
      <w:szCs w:val="20"/>
    </w:rPr>
    <w:pPr>
      <w:spacing w:after="0" w:line="240" w:lineRule="auto"/>
    </w:pPr>
  </w:style>
  <w:style xmlns:w14="http://schemas.microsoft.com/office/word/2010/wordml" xmlns:mc="http://schemas.openxmlformats.org/markup-compatibility/2006" xmlns:w="http://schemas.openxmlformats.org/wordprocessingml/2006/main" w:type="character" w:styleId="EndnoteReference" mc:Ignorable="w14">
    <w:basedOn xmlns:w="http://schemas.openxmlformats.org/wordprocessingml/2006/main" w:val="DefaultParagraphFont"/>
    <w:name xmlns:w="http://schemas.openxmlformats.org/wordprocessingml/2006/main" w:val="end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numbering" Target="numbering.xml"></Relationship><Relationship Id="rId4" Type="http://schemas.openxmlformats.org/officeDocument/2006/relationships/settings" Target="settings.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