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430B1" w14:textId="77777777" w:rsidR="000B264D" w:rsidRDefault="000B264D" w:rsidP="000B264D">
      <w:pPr>
        <w:pStyle w:val="2"/>
      </w:pPr>
      <w:r w:rsidRPr="0017706F">
        <w:t>Nondimensionalization</w:t>
      </w:r>
    </w:p>
    <w:p w14:paraId="06DCCEA5" w14:textId="77777777" w:rsidR="000B264D" w:rsidRPr="00B0049D" w:rsidRDefault="000B264D" w:rsidP="000B264D">
      <w:pPr>
        <w:ind w:firstLine="720"/>
        <w:rPr>
          <w:rFonts w:eastAsiaTheme="minorEastAsia" w:cs="Times New Roman"/>
          <w:lang w:val="en-US"/>
        </w:rPr>
      </w:pPr>
      <w:r>
        <w:rPr>
          <w:lang w:val="en-US"/>
        </w:rPr>
        <w:t>The considered model exists in space-time, so we need to specify spatial and temporal units for operating. The set of considered main parameters consists of dispersal and competition radii (</w:t>
      </w:r>
      <m:oMath>
        <m:sSub>
          <m:sSubPr>
            <m:ctrlPr>
              <w:rPr>
                <w:rFonts w:ascii="Cambria Math" w:hAnsi="Cambria Math"/>
                <w:i/>
                <w:lang w:val="en-US"/>
              </w:rPr>
            </m:ctrlPr>
          </m:sSubPr>
          <m:e>
            <m:r>
              <w:rPr>
                <w:rFonts w:ascii="Cambria Math" w:hAnsi="Cambria Math"/>
                <w:lang w:val="en-US"/>
              </w:rPr>
              <m:t>σ</m:t>
            </m:r>
          </m:e>
          <m:sub>
            <m:r>
              <m:rPr>
                <m:sty m:val="p"/>
              </m:rPr>
              <w:rPr>
                <w:rFonts w:ascii="Cambria Math" w:hAnsi="Cambria Math"/>
                <w:lang w:val="en-US"/>
              </w:rPr>
              <m:t>m</m:t>
            </m:r>
          </m:sub>
        </m:sSub>
      </m:oMath>
      <w:r w:rsidRPr="33A3FD83">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m:rPr>
                <m:sty m:val="p"/>
              </m:rPr>
              <w:rPr>
                <w:rFonts w:ascii="Cambria Math" w:eastAsiaTheme="minorEastAsia" w:hAnsi="Cambria Math"/>
                <w:lang w:val="en-US"/>
              </w:rPr>
              <m:t>w</m:t>
            </m:r>
          </m:sub>
        </m:sSub>
      </m:oMath>
      <w:r w:rsidRPr="33A3FD83">
        <w:rPr>
          <w:rFonts w:eastAsiaTheme="minorEastAsia"/>
          <w:lang w:val="en-US"/>
        </w:rPr>
        <w:t>)</w:t>
      </w:r>
      <w:r>
        <w:rPr>
          <w:lang w:val="en-US"/>
        </w:rPr>
        <w:t>, homogenous environment death rate per capita (</w:t>
      </w:r>
      <m:oMath>
        <m:r>
          <w:rPr>
            <w:rFonts w:ascii="Cambria Math" w:hAnsi="Cambria Math"/>
            <w:lang w:val="en-US"/>
          </w:rPr>
          <m:t>d)</m:t>
        </m:r>
      </m:oMath>
      <w:r w:rsidRPr="33A3FD83">
        <w:rPr>
          <w:rFonts w:eastAsiaTheme="minorEastAsia"/>
          <w:lang w:val="en-US"/>
        </w:rPr>
        <w:t xml:space="preserve">, and </w:t>
      </w:r>
      <w:r w:rsidRPr="009D4CFB">
        <w:rPr>
          <w:rFonts w:cs="Times New Roman"/>
          <w:lang w:val="en-US"/>
        </w:rPr>
        <w:t>intrinsic</w:t>
      </w:r>
      <w:r>
        <w:rPr>
          <w:rFonts w:cs="Times New Roman"/>
          <w:lang w:val="en-US"/>
        </w:rPr>
        <w:t xml:space="preserve"> birth and death rates (</w:t>
      </w:r>
      <m:oMath>
        <m:r>
          <w:rPr>
            <w:rFonts w:ascii="Cambria Math" w:hAnsi="Cambria Math" w:cs="Times New Roman"/>
            <w:lang w:val="en-US"/>
          </w:rPr>
          <m:t>b</m:t>
        </m:r>
      </m:oMath>
      <w:r w:rsidRPr="33A3FD83">
        <w:rPr>
          <w:rFonts w:eastAsiaTheme="minorEastAsia" w:cs="Times New Roman"/>
          <w:lang w:val="en-US"/>
        </w:rPr>
        <w:t xml:space="preserve"> and </w:t>
      </w:r>
      <m:oMath>
        <m:r>
          <w:rPr>
            <w:rFonts w:ascii="Cambria Math" w:eastAsiaTheme="minorEastAsia" w:hAnsi="Cambria Math" w:cs="Times New Roman"/>
            <w:lang w:val="en-US"/>
          </w:rPr>
          <m:t>d'</m:t>
        </m:r>
      </m:oMath>
      <w:r w:rsidRPr="33A3FD83">
        <w:rPr>
          <w:rFonts w:eastAsiaTheme="minorEastAsia" w:cs="Times New Roman"/>
          <w:lang w:val="en-US"/>
        </w:rPr>
        <w:t>). In sum five parameters matter for our purpose. As far as we use two units, there are only three essential parameters, others can be calculated via these ones. We perform so-called nondimensionalization – the full removal of physical dimensions from an equation by a suitable substitution of parameters.</w:t>
      </w:r>
    </w:p>
    <w:p w14:paraId="742FF4A6" w14:textId="77777777" w:rsidR="000B264D" w:rsidRDefault="000B264D" w:rsidP="000B264D">
      <w:pPr>
        <w:ind w:firstLine="720"/>
        <w:rPr>
          <w:rFonts w:eastAsiaTheme="minorEastAsia" w:cs="Times New Roman"/>
          <w:lang w:val="en-US"/>
        </w:rPr>
      </w:pPr>
      <w:proofErr w:type="gramStart"/>
      <w:r w:rsidRPr="33A3FD83">
        <w:rPr>
          <w:rFonts w:eastAsiaTheme="minorEastAsia" w:cs="Times New Roman"/>
          <w:lang w:val="en-US"/>
        </w:rPr>
        <w:t>First of all</w:t>
      </w:r>
      <w:proofErr w:type="gramEnd"/>
      <w:r w:rsidRPr="33A3FD83">
        <w:rPr>
          <w:rFonts w:eastAsiaTheme="minorEastAsia" w:cs="Times New Roman"/>
          <w:lang w:val="en-US"/>
        </w:rPr>
        <w:t>, we define the well-mixed case or the mean-field case. This term denotes the equilibrium case when the birth and death events are fully random, i.e., exhibit complete spatial randomness and result from homogeneous Poisson point processes. Basically, the well-mixed case demonstrates population equilibrium when no spatial structure in the model is present. Under spatial logistic dynamics the equilibrium mean-field density is defined by the formula</w:t>
      </w:r>
    </w:p>
    <w:p w14:paraId="51DE3282" w14:textId="544487D5" w:rsidR="000B264D" w:rsidRPr="000B264D" w:rsidRDefault="000B264D" w:rsidP="000B264D">
      <w:pPr>
        <w:ind w:firstLine="720"/>
        <w:jc w:val="center"/>
        <w:rPr>
          <w:rFonts w:eastAsiaTheme="minorEastAsia" w:cs="Times New Roman"/>
          <w:lang w:val="en-US"/>
        </w:rPr>
      </w:pPr>
      <m:oMathPara>
        <m:oMath>
          <m:r>
            <w:rPr>
              <w:rFonts w:ascii="Cambria Math" w:eastAsiaTheme="minorEastAsia" w:hAnsi="Cambria Math" w:cs="Times New Roman"/>
              <w:lang w:val="en-US"/>
            </w:rPr>
            <m:t>λ=</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b-d</m:t>
              </m:r>
            </m:num>
            <m:den>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d</m:t>
                  </m:r>
                </m:e>
                <m:sup>
                  <m:r>
                    <w:rPr>
                      <w:rFonts w:ascii="Cambria Math" w:eastAsiaTheme="minorEastAsia" w:hAnsi="Cambria Math" w:cs="Times New Roman"/>
                      <w:lang w:val="en-US"/>
                    </w:rPr>
                    <m:t>'</m:t>
                  </m:r>
                </m:sup>
              </m:sSup>
            </m:den>
          </m:f>
        </m:oMath>
      </m:oMathPara>
    </w:p>
    <w:p w14:paraId="5FF04956" w14:textId="2093E8B6" w:rsidR="000B264D" w:rsidRDefault="000B264D" w:rsidP="000B264D">
      <w:pPr>
        <w:ind w:firstLine="0"/>
        <w:rPr>
          <w:rFonts w:eastAsiaTheme="minorEastAsia" w:cs="Times New Roman"/>
          <w:lang w:val="en-US"/>
        </w:rPr>
      </w:pPr>
      <w:r w:rsidRPr="33A3FD83">
        <w:rPr>
          <w:rFonts w:eastAsiaTheme="minorEastAsia" w:cs="Times New Roman"/>
          <w:lang w:val="en-US"/>
        </w:rPr>
        <w:t>in the space of any dimension.</w:t>
      </w:r>
    </w:p>
    <w:p w14:paraId="203A4754" w14:textId="77777777" w:rsidR="000B264D" w:rsidRDefault="000B264D" w:rsidP="000B264D">
      <w:pPr>
        <w:ind w:firstLine="720"/>
        <w:rPr>
          <w:rFonts w:eastAsiaTheme="minorEastAsia" w:cs="Times New Roman"/>
          <w:lang w:val="en-US"/>
        </w:rPr>
      </w:pPr>
      <w:r w:rsidRPr="33A3FD83">
        <w:rPr>
          <w:rFonts w:eastAsiaTheme="minorEastAsia" w:cs="Times New Roman"/>
          <w:lang w:val="en-US"/>
        </w:rPr>
        <w:t>Using the mean-field equilibrium density as a spatial scale parameter and the inverse birth rate as a temporal one, we extract the following three essential parameters — dispersal and competition standardized radii (</w:t>
      </w:r>
      <m:oMath>
        <m:acc>
          <m:accPr>
            <m:chr m:val="̃"/>
            <m:ctrlPr>
              <w:rPr>
                <w:rFonts w:ascii="Cambria Math" w:eastAsiaTheme="minorEastAsia" w:hAnsi="Cambria Math" w:cs="Times New Roman"/>
                <w:i/>
                <w:lang w:val="en-US"/>
              </w:rPr>
            </m:ctrlPr>
          </m:acc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σ</m:t>
                </m:r>
              </m:e>
              <m:sub>
                <m:r>
                  <m:rPr>
                    <m:sty m:val="p"/>
                  </m:rPr>
                  <w:rPr>
                    <w:rFonts w:ascii="Cambria Math" w:eastAsiaTheme="minorEastAsia" w:hAnsi="Cambria Math" w:cs="Times New Roman"/>
                    <w:lang w:val="en-US"/>
                  </w:rPr>
                  <m:t>m</m:t>
                </m:r>
              </m:sub>
            </m:sSub>
          </m:e>
        </m:acc>
      </m:oMath>
      <w:r w:rsidRPr="33A3FD83">
        <w:rPr>
          <w:rFonts w:eastAsiaTheme="minorEastAsia" w:cs="Times New Roman"/>
          <w:lang w:val="en-US"/>
        </w:rPr>
        <w:t xml:space="preserve"> and </w:t>
      </w:r>
      <m:oMath>
        <m:acc>
          <m:accPr>
            <m:chr m:val="̃"/>
            <m:ctrlPr>
              <w:rPr>
                <w:rFonts w:ascii="Cambria Math" w:eastAsiaTheme="minorEastAsia" w:hAnsi="Cambria Math" w:cs="Times New Roman"/>
                <w:i/>
                <w:lang w:val="en-US"/>
              </w:rPr>
            </m:ctrlPr>
          </m:acc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σ</m:t>
                </m:r>
              </m:e>
              <m:sub>
                <m:r>
                  <m:rPr>
                    <m:sty m:val="p"/>
                  </m:rPr>
                  <w:rPr>
                    <w:rFonts w:ascii="Cambria Math" w:eastAsiaTheme="minorEastAsia" w:hAnsi="Cambria Math" w:cs="Times New Roman"/>
                    <w:lang w:val="en-US"/>
                  </w:rPr>
                  <m:t>w</m:t>
                </m:r>
              </m:sub>
            </m:sSub>
          </m:e>
        </m:acc>
      </m:oMath>
      <w:r w:rsidRPr="33A3FD83">
        <w:rPr>
          <w:rFonts w:eastAsiaTheme="minorEastAsia" w:cs="Times New Roman"/>
          <w:lang w:val="en-US"/>
        </w:rPr>
        <w:t>) and standardized death rate (</w:t>
      </w:r>
      <m:oMath>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oMath>
      <w:r w:rsidRPr="33A3FD83">
        <w:rPr>
          <w:rFonts w:eastAsiaTheme="minorEastAsia" w:cs="Times New Roman"/>
          <w:lang w:val="en-US"/>
        </w:rPr>
        <w:t xml:space="preserve">). For simplicity in the </w:t>
      </w:r>
      <w:proofErr w:type="gramStart"/>
      <w:r w:rsidRPr="33A3FD83">
        <w:rPr>
          <w:rFonts w:eastAsiaTheme="minorEastAsia" w:cs="Times New Roman"/>
          <w:lang w:val="en-US"/>
        </w:rPr>
        <w:t>paper</w:t>
      </w:r>
      <w:proofErr w:type="gramEnd"/>
      <w:r w:rsidRPr="33A3FD83">
        <w:rPr>
          <w:rFonts w:eastAsiaTheme="minorEastAsia" w:cs="Times New Roman"/>
          <w:lang w:val="en-US"/>
        </w:rPr>
        <w:t xml:space="preserve"> we consider the case when </w:t>
      </w:r>
      <m:oMath>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r>
          <w:rPr>
            <w:rFonts w:ascii="Cambria Math" w:eastAsiaTheme="minorEastAsia" w:hAnsi="Cambria Math" w:cs="Times New Roman"/>
            <w:lang w:val="en-US"/>
          </w:rPr>
          <m:t>=0</m:t>
        </m:r>
      </m:oMath>
      <w:r w:rsidRPr="33A3FD83">
        <w:rPr>
          <w:rFonts w:eastAsiaTheme="minorEastAsia" w:cs="Times New Roman"/>
          <w:lang w:val="en-US"/>
        </w:rPr>
        <w:t xml:space="preserve"> (i.e., per capita death rate is zero). Thus, only essential parameters can be varied.</w:t>
      </w:r>
    </w:p>
    <w:p w14:paraId="7B4522C7" w14:textId="76CF283F" w:rsidR="000B264D" w:rsidRPr="000B264D" w:rsidRDefault="000B264D" w:rsidP="000B264D">
      <w:pPr>
        <w:pStyle w:val="2"/>
        <w:ind w:firstLine="708"/>
        <w:rPr>
          <w:rFonts w:eastAsiaTheme="minorEastAsia"/>
          <w:b w:val="0"/>
          <w:bCs w:val="0"/>
          <w:color w:val="auto"/>
          <w:szCs w:val="22"/>
        </w:rPr>
      </w:pPr>
      <w:r w:rsidRPr="000B264D">
        <w:rPr>
          <w:rFonts w:eastAsiaTheme="minorEastAsia"/>
          <w:b w:val="0"/>
          <w:bCs w:val="0"/>
          <w:color w:val="auto"/>
          <w:szCs w:val="22"/>
        </w:rPr>
        <w:t xml:space="preserve">The main characteristic of the equilibrium state that is studied in this paper is standardized carrying capacity. This value is defined as the ratio of the equilibrium first moment to the mean-field equilibrium density, i.e., it has the form </w:t>
      </w:r>
      <m:oMath>
        <m:acc>
          <m:accPr>
            <m:chr m:val="̃"/>
            <m:ctrlPr>
              <w:rPr>
                <w:rFonts w:ascii="Cambria Math" w:eastAsiaTheme="minorEastAsia" w:hAnsi="Cambria Math"/>
                <w:b w:val="0"/>
                <w:bCs w:val="0"/>
                <w:color w:val="auto"/>
                <w:szCs w:val="22"/>
              </w:rPr>
            </m:ctrlPr>
          </m:accPr>
          <m:e>
            <m:r>
              <w:rPr>
                <w:rFonts w:ascii="Cambria Math" w:eastAsiaTheme="minorEastAsia" w:hAnsi="Cambria Math"/>
                <w:color w:val="auto"/>
                <w:szCs w:val="22"/>
              </w:rPr>
              <m:t>N</m:t>
            </m:r>
          </m:e>
        </m:acc>
        <m:r>
          <m:rPr>
            <m:sty m:val="p"/>
          </m:rPr>
          <w:rPr>
            <w:rFonts w:ascii="Cambria Math" w:eastAsiaTheme="minorEastAsia" w:hAnsi="Cambria Math"/>
            <w:color w:val="auto"/>
            <w:szCs w:val="22"/>
          </w:rPr>
          <m:t>=</m:t>
        </m:r>
        <m:r>
          <w:rPr>
            <w:rFonts w:ascii="Cambria Math" w:eastAsiaTheme="minorEastAsia" w:hAnsi="Cambria Math"/>
            <w:color w:val="auto"/>
            <w:szCs w:val="22"/>
          </w:rPr>
          <m:t>N</m:t>
        </m:r>
        <m:r>
          <m:rPr>
            <m:sty m:val="p"/>
          </m:rPr>
          <w:rPr>
            <w:rFonts w:ascii="Cambria Math" w:eastAsiaTheme="minorEastAsia" w:hAnsi="Cambria Math"/>
            <w:color w:val="auto"/>
            <w:szCs w:val="22"/>
          </w:rPr>
          <m:t>/</m:t>
        </m:r>
        <m:r>
          <w:rPr>
            <w:rFonts w:ascii="Cambria Math" w:eastAsiaTheme="minorEastAsia" w:hAnsi="Cambria Math"/>
            <w:color w:val="auto"/>
            <w:szCs w:val="22"/>
          </w:rPr>
          <m:t>λ</m:t>
        </m:r>
      </m:oMath>
      <w:r w:rsidRPr="000B264D">
        <w:rPr>
          <w:rFonts w:eastAsiaTheme="minorEastAsia"/>
          <w:b w:val="0"/>
          <w:bCs w:val="0"/>
          <w:color w:val="auto"/>
          <w:szCs w:val="22"/>
        </w:rPr>
        <w:t>. We consider standardized carrying capacity in percent. Thus, we present full numerical characterization of the equilibrium densities of spatial logistic dynamics in one-, two-, and three-dimensional habitats because chosen standardized radii fully describe such a characteristic of the community.</w:t>
      </w:r>
    </w:p>
    <w:p w14:paraId="0C49C8CE" w14:textId="15AF25AD" w:rsidR="000B264D" w:rsidRPr="009D4CFB" w:rsidRDefault="000B264D" w:rsidP="000B264D">
      <w:pPr>
        <w:pStyle w:val="2"/>
      </w:pPr>
      <w:r>
        <w:t>E</w:t>
      </w:r>
      <w:r>
        <w:t>ssential parameters</w:t>
      </w:r>
    </w:p>
    <w:p w14:paraId="05A94E19" w14:textId="77777777" w:rsidR="000B264D" w:rsidRPr="008A3C30" w:rsidRDefault="000B264D" w:rsidP="000B264D">
      <w:pPr>
        <w:ind w:firstLine="720"/>
        <w:rPr>
          <w:rFonts w:cs="Times New Roman"/>
          <w:lang w:val="en-US"/>
        </w:rPr>
      </w:pPr>
      <w:r>
        <w:rPr>
          <w:rFonts w:cs="Times New Roman"/>
          <w:lang w:val="en-US"/>
        </w:rPr>
        <w:t xml:space="preserve">In the considered cases spatial logistic dynamics in </w:t>
      </w:r>
      <m:oMath>
        <m:r>
          <w:rPr>
            <w:rFonts w:ascii="Cambria Math" w:hAnsi="Cambria Math" w:cs="Times New Roman"/>
            <w:lang w:val="en-US"/>
          </w:rPr>
          <m:t>n</m:t>
        </m:r>
      </m:oMath>
      <w:r w:rsidRPr="1316FC55">
        <w:rPr>
          <w:rFonts w:eastAsiaTheme="minorEastAsia" w:cs="Times New Roman"/>
          <w:lang w:val="en-US"/>
        </w:rPr>
        <w:t>-dimensional space</w:t>
      </w:r>
      <w:r>
        <w:rPr>
          <w:rFonts w:cs="Times New Roman"/>
          <w:lang w:val="en-US"/>
        </w:rPr>
        <w:t xml:space="preserve"> </w:t>
      </w:r>
      <w:r w:rsidRPr="008A3C30">
        <w:rPr>
          <w:rFonts w:cs="Times New Roman"/>
          <w:lang w:val="en-US"/>
        </w:rPr>
        <w:t xml:space="preserve">possesses five parameters: the intrinsic per capita birth rate </w:t>
      </w:r>
      <w:r w:rsidRPr="008A3C30">
        <w:rPr>
          <w:rFonts w:ascii="Cambria Math" w:hAnsi="Cambria Math" w:cs="Cambria Math"/>
          <w:lang w:val="en-US"/>
        </w:rPr>
        <w:t>𝑏</w:t>
      </w:r>
      <w:r w:rsidRPr="008A3C30">
        <w:rPr>
          <w:rFonts w:cs="Times New Roman"/>
          <w:lang w:val="en-US"/>
        </w:rPr>
        <w:t xml:space="preserve">, the intrinsic per capita death rate </w:t>
      </w:r>
      <w:r w:rsidRPr="008A3C30">
        <w:rPr>
          <w:rFonts w:ascii="Cambria Math" w:hAnsi="Cambria Math" w:cs="Cambria Math"/>
          <w:lang w:val="en-US"/>
        </w:rPr>
        <w:t>𝑑</w:t>
      </w:r>
      <w:r w:rsidRPr="008A3C30">
        <w:rPr>
          <w:rFonts w:cs="Times New Roman"/>
          <w:lang w:val="en-US"/>
        </w:rPr>
        <w:t xml:space="preserve">, the competition strength </w:t>
      </w:r>
      <w:r w:rsidRPr="008A3C30">
        <w:rPr>
          <w:rFonts w:ascii="Cambria Math" w:hAnsi="Cambria Math" w:cs="Cambria Math"/>
          <w:lang w:val="en-US"/>
        </w:rPr>
        <w:t>𝑑</w:t>
      </w:r>
      <w:r w:rsidRPr="008A3C30">
        <w:rPr>
          <w:rFonts w:cs="Times New Roman"/>
          <w:lang w:val="en-US"/>
        </w:rPr>
        <w:t>′, the competition radius (i.e.</w:t>
      </w:r>
      <w:r>
        <w:rPr>
          <w:rFonts w:cs="Times New Roman"/>
          <w:lang w:val="en-US"/>
        </w:rPr>
        <w:t>,</w:t>
      </w:r>
      <w:r w:rsidRPr="008A3C30">
        <w:rPr>
          <w:rFonts w:cs="Times New Roman"/>
          <w:lang w:val="en-US"/>
        </w:rPr>
        <w:t xml:space="preserve"> standard deviation of the competition kernel)</w:t>
      </w:r>
      <w:r>
        <w:rPr>
          <w:rFonts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σ</m:t>
            </m:r>
          </m:e>
          <m:sub>
            <m:r>
              <m:rPr>
                <m:sty m:val="p"/>
              </m:rPr>
              <w:rPr>
                <w:rFonts w:ascii="Cambria Math" w:hAnsi="Cambria Math" w:cs="Times New Roman"/>
                <w:lang w:val="en-US"/>
              </w:rPr>
              <m:t>w</m:t>
            </m:r>
          </m:sub>
        </m:sSub>
      </m:oMath>
      <w:r w:rsidRPr="008A3C30">
        <w:rPr>
          <w:rFonts w:cs="Times New Roman"/>
          <w:lang w:val="en-US"/>
        </w:rPr>
        <w:t xml:space="preserve">, and the </w:t>
      </w:r>
      <w:r>
        <w:rPr>
          <w:rFonts w:cs="Times New Roman"/>
          <w:lang w:val="en-US"/>
        </w:rPr>
        <w:t>dispersal</w:t>
      </w:r>
      <w:r w:rsidRPr="008A3C30">
        <w:rPr>
          <w:rFonts w:cs="Times New Roman"/>
          <w:lang w:val="en-US"/>
        </w:rPr>
        <w:t xml:space="preserve"> radius (i.e., standard deviation of the </w:t>
      </w:r>
      <w:r>
        <w:rPr>
          <w:rFonts w:cs="Times New Roman"/>
          <w:lang w:val="en-US"/>
        </w:rPr>
        <w:t>dispersal</w:t>
      </w:r>
      <w:r w:rsidRPr="008A3C30">
        <w:rPr>
          <w:rFonts w:cs="Times New Roman"/>
          <w:lang w:val="en-US"/>
        </w:rPr>
        <w:t xml:space="preserve"> kernel) </w:t>
      </w:r>
      <m:oMath>
        <m:sSub>
          <m:sSubPr>
            <m:ctrlPr>
              <w:rPr>
                <w:rFonts w:ascii="Cambria Math" w:hAnsi="Cambria Math" w:cs="Times New Roman"/>
                <w:i/>
                <w:lang w:val="en-US"/>
              </w:rPr>
            </m:ctrlPr>
          </m:sSubPr>
          <m:e>
            <m:r>
              <w:rPr>
                <w:rFonts w:ascii="Cambria Math" w:hAnsi="Cambria Math" w:cs="Times New Roman"/>
                <w:lang w:val="en-US"/>
              </w:rPr>
              <m:t>σ</m:t>
            </m:r>
          </m:e>
          <m:sub>
            <m:r>
              <m:rPr>
                <m:sty m:val="p"/>
              </m:rPr>
              <w:rPr>
                <w:rFonts w:ascii="Cambria Math" w:hAnsi="Cambria Math" w:cs="Times New Roman"/>
                <w:lang w:val="en-US"/>
              </w:rPr>
              <m:t>m</m:t>
            </m:r>
          </m:sub>
        </m:sSub>
      </m:oMath>
      <w:r w:rsidRPr="008A3C30">
        <w:rPr>
          <w:rFonts w:cs="Times New Roman"/>
          <w:lang w:val="en-US"/>
        </w:rPr>
        <w:t xml:space="preserve">. The units of these parameters are </w:t>
      </w:r>
      <m:oMath>
        <m:d>
          <m:dPr>
            <m:begChr m:val="["/>
            <m:endChr m:val="]"/>
            <m:ctrlPr>
              <w:rPr>
                <w:rFonts w:ascii="Cambria Math" w:hAnsi="Cambria Math" w:cs="Times New Roman"/>
                <w:i/>
                <w:lang w:val="en-US"/>
              </w:rPr>
            </m:ctrlPr>
          </m:dPr>
          <m:e>
            <m:r>
              <w:rPr>
                <w:rFonts w:ascii="Cambria Math" w:hAnsi="Cambria Math" w:cs="Times New Roman"/>
                <w:lang w:val="en-US"/>
              </w:rPr>
              <m:t>b</m:t>
            </m:r>
          </m:e>
        </m:d>
        <m:r>
          <w:rPr>
            <w:rFonts w:ascii="Cambria Math" w:hAnsi="Cambria Math" w:cs="Times New Roman"/>
            <w:lang w:val="en-US"/>
          </w:rPr>
          <m:t>=</m:t>
        </m:r>
        <m:d>
          <m:dPr>
            <m:begChr m:val="["/>
            <m:endChr m:val="]"/>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-1</m:t>
            </m:r>
          </m:sup>
        </m:sSup>
      </m:oMath>
      <w:r w:rsidRPr="008A3C30">
        <w:rPr>
          <w:rFonts w:cs="Times New Roman"/>
          <w:lang w:val="en-US"/>
        </w:rPr>
        <w:t xml:space="preserve">, </w:t>
      </w:r>
      <m:oMath>
        <m:d>
          <m:dPr>
            <m:begChr m:val="["/>
            <m:endChr m:val="]"/>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d</m:t>
                </m:r>
              </m:e>
              <m:sup>
                <m:r>
                  <w:rPr>
                    <w:rFonts w:ascii="Cambria Math" w:hAnsi="Cambria Math" w:cs="Times New Roman"/>
                    <w:lang w:val="en-US"/>
                  </w:rPr>
                  <m:t>'</m:t>
                </m:r>
              </m:sup>
            </m:sSup>
          </m:e>
        </m:d>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-1</m:t>
            </m:r>
          </m:sup>
        </m:sSup>
        <m:sSup>
          <m:sSupPr>
            <m:ctrlPr>
              <w:rPr>
                <w:rFonts w:ascii="Cambria Math" w:hAnsi="Cambria Math" w:cs="Times New Roman"/>
                <w:i/>
                <w:lang w:val="en-US"/>
              </w:rPr>
            </m:ctrlPr>
          </m:sSupPr>
          <m:e>
            <m:r>
              <w:rPr>
                <w:rFonts w:ascii="Cambria Math" w:hAnsi="Cambria Math" w:cs="Times New Roman"/>
                <w:lang w:val="en-US"/>
              </w:rPr>
              <m:t>L</m:t>
            </m:r>
          </m:e>
          <m:sup>
            <m:r>
              <w:rPr>
                <w:rFonts w:ascii="Cambria Math" w:hAnsi="Cambria Math" w:cs="Times New Roman"/>
                <w:lang w:val="en-US"/>
              </w:rPr>
              <m:t>n</m:t>
            </m:r>
          </m:sup>
        </m:sSup>
      </m:oMath>
      <w:r w:rsidRPr="008A3C30">
        <w:rPr>
          <w:rFonts w:cs="Times New Roman"/>
          <w:lang w:val="en-US"/>
        </w:rPr>
        <w:t>, and</w:t>
      </w:r>
      <w:r>
        <w:rPr>
          <w:rFonts w:cs="Times New Roman"/>
          <w:lang w:val="en-US"/>
        </w:rPr>
        <w:t xml:space="preserve"> </w:t>
      </w:r>
      <m:oMath>
        <m:d>
          <m:dPr>
            <m:begChr m:val="["/>
            <m:endChr m:val="]"/>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σ</m:t>
                </m:r>
              </m:e>
              <m:sub>
                <m:r>
                  <m:rPr>
                    <m:sty m:val="p"/>
                  </m:rPr>
                  <w:rPr>
                    <w:rFonts w:ascii="Cambria Math" w:hAnsi="Cambria Math" w:cs="Times New Roman"/>
                    <w:lang w:val="en-US"/>
                  </w:rPr>
                  <m:t>m</m:t>
                </m:r>
              </m:sub>
            </m:sSub>
          </m:e>
        </m:d>
        <m:r>
          <w:rPr>
            <w:rFonts w:ascii="Cambria Math" w:hAnsi="Cambria Math" w:cs="Times New Roman"/>
            <w:lang w:val="en-US"/>
          </w:rPr>
          <m:t>=</m:t>
        </m:r>
        <m:d>
          <m:dPr>
            <m:begChr m:val="["/>
            <m:endChr m:val="]"/>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σ</m:t>
                </m:r>
              </m:e>
              <m:sub>
                <m:r>
                  <m:rPr>
                    <m:sty m:val="p"/>
                  </m:rPr>
                  <w:rPr>
                    <w:rFonts w:ascii="Cambria Math" w:hAnsi="Cambria Math" w:cs="Times New Roman"/>
                    <w:lang w:val="en-US"/>
                  </w:rPr>
                  <m:t>w</m:t>
                </m:r>
              </m:sub>
            </m:sSub>
          </m:e>
        </m:d>
        <m:r>
          <w:rPr>
            <w:rFonts w:ascii="Cambria Math" w:hAnsi="Cambria Math" w:cs="Times New Roman"/>
            <w:lang w:val="en-US"/>
          </w:rPr>
          <m:t>=L</m:t>
        </m:r>
      </m:oMath>
      <w:r w:rsidRPr="008A3C30">
        <w:rPr>
          <w:rFonts w:cs="Times New Roman"/>
          <w:lang w:val="en-US"/>
        </w:rPr>
        <w:t xml:space="preserve">, where </w:t>
      </w:r>
      <w:r w:rsidRPr="008A3C30">
        <w:rPr>
          <w:rFonts w:ascii="Cambria Math" w:hAnsi="Cambria Math" w:cs="Cambria Math"/>
          <w:lang w:val="en-US"/>
        </w:rPr>
        <w:t>𝑇</w:t>
      </w:r>
      <w:r w:rsidRPr="008A3C30">
        <w:rPr>
          <w:rFonts w:cs="Times New Roman"/>
          <w:lang w:val="en-US"/>
        </w:rPr>
        <w:t xml:space="preserve"> and </w:t>
      </w:r>
      <w:r w:rsidRPr="008A3C30">
        <w:rPr>
          <w:rFonts w:ascii="Cambria Math" w:hAnsi="Cambria Math" w:cs="Cambria Math"/>
          <w:lang w:val="en-US"/>
        </w:rPr>
        <w:t>𝐿</w:t>
      </w:r>
      <w:r w:rsidRPr="008A3C30">
        <w:rPr>
          <w:rFonts w:cs="Times New Roman"/>
          <w:lang w:val="en-US"/>
        </w:rPr>
        <w:t xml:space="preserve"> denote the units of time and length, respectively.</w:t>
      </w:r>
    </w:p>
    <w:p w14:paraId="4B25BE98" w14:textId="42CF15D5" w:rsidR="000B264D" w:rsidRPr="004F3617" w:rsidRDefault="000B264D" w:rsidP="000B264D">
      <w:pPr>
        <w:ind w:firstLine="720"/>
        <w:rPr>
          <w:rFonts w:eastAsiaTheme="minorEastAsia" w:cs="Times New Roman"/>
          <w:lang w:val="en-US"/>
        </w:rPr>
      </w:pPr>
      <w:r w:rsidRPr="008A3C30">
        <w:rPr>
          <w:rFonts w:cs="Times New Roman"/>
          <w:lang w:val="en-US"/>
        </w:rPr>
        <w:t xml:space="preserve">Since these parameters involve two independent units </w:t>
      </w:r>
      <w:r w:rsidRPr="008A3C30">
        <w:rPr>
          <w:rFonts w:ascii="Cambria Math" w:hAnsi="Cambria Math" w:cs="Cambria Math"/>
          <w:lang w:val="en-US"/>
        </w:rPr>
        <w:t>𝑇</w:t>
      </w:r>
      <w:r w:rsidRPr="008A3C30">
        <w:rPr>
          <w:rFonts w:cs="Times New Roman"/>
          <w:lang w:val="en-US"/>
        </w:rPr>
        <w:t xml:space="preserve"> and </w:t>
      </w:r>
      <w:r w:rsidRPr="008A3C30">
        <w:rPr>
          <w:rFonts w:ascii="Cambria Math" w:hAnsi="Cambria Math" w:cs="Cambria Math"/>
          <w:lang w:val="en-US"/>
        </w:rPr>
        <w:t>𝐿</w:t>
      </w:r>
      <w:r w:rsidRPr="008A3C30">
        <w:rPr>
          <w:rFonts w:cs="Times New Roman"/>
          <w:lang w:val="en-US"/>
        </w:rPr>
        <w:t>, the number of essential parameters is reduced accordingly relative to the number of all parameters, from 5 down to</w:t>
      </w:r>
      <w:r w:rsidRPr="1316FC55">
        <w:rPr>
          <w:rFonts w:eastAsiaTheme="minorEastAsia" w:cs="Times New Roman"/>
          <w:lang w:val="en-US"/>
        </w:rPr>
        <w:t xml:space="preserve"> </w:t>
      </w:r>
      <m:oMath>
        <m:r>
          <w:rPr>
            <w:rFonts w:ascii="Cambria Math" w:hAnsi="Cambria Math" w:cs="Times New Roman"/>
            <w:lang w:val="en-US"/>
          </w:rPr>
          <m:t>5-2=3</m:t>
        </m:r>
      </m:oMath>
      <w:r>
        <w:rPr>
          <w:rFonts w:cs="Times New Roman"/>
          <w:lang w:val="en-US"/>
        </w:rPr>
        <w:t>. Exact d</w:t>
      </w:r>
      <w:proofErr w:type="spellStart"/>
      <w:r w:rsidRPr="008A3C30">
        <w:rPr>
          <w:rFonts w:cs="Times New Roman"/>
          <w:lang w:val="en-US"/>
        </w:rPr>
        <w:t>imensionless</w:t>
      </w:r>
      <w:proofErr w:type="spellEnd"/>
      <w:r w:rsidRPr="008A3C30">
        <w:rPr>
          <w:rFonts w:cs="Times New Roman"/>
          <w:lang w:val="en-US"/>
        </w:rPr>
        <w:t xml:space="preserve"> essential parameters </w:t>
      </w:r>
      <w:r>
        <w:rPr>
          <w:rFonts w:cs="Times New Roman"/>
          <w:lang w:val="en-US"/>
        </w:rPr>
        <w:t xml:space="preserve">choice </w:t>
      </w:r>
      <w:r w:rsidRPr="008A3C30">
        <w:rPr>
          <w:rFonts w:cs="Times New Roman"/>
          <w:lang w:val="en-US"/>
        </w:rPr>
        <w:t xml:space="preserve">depends on which units </w:t>
      </w:r>
      <w:r w:rsidRPr="008A3C30">
        <w:rPr>
          <w:rFonts w:ascii="Cambria Math" w:hAnsi="Cambria Math" w:cs="Cambria Math"/>
          <w:lang w:val="en-US"/>
        </w:rPr>
        <w:t>𝑇</w:t>
      </w:r>
      <w:r w:rsidRPr="008A3C30">
        <w:rPr>
          <w:rFonts w:cs="Times New Roman"/>
          <w:lang w:val="en-US"/>
        </w:rPr>
        <w:t xml:space="preserve"> and </w:t>
      </w:r>
      <w:r w:rsidRPr="008A3C30">
        <w:rPr>
          <w:rFonts w:ascii="Cambria Math" w:hAnsi="Cambria Math" w:cs="Cambria Math"/>
          <w:lang w:val="en-US"/>
        </w:rPr>
        <w:t>𝐿</w:t>
      </w:r>
      <w:r w:rsidRPr="008A3C30">
        <w:rPr>
          <w:rFonts w:cs="Times New Roman"/>
          <w:lang w:val="en-US"/>
        </w:rPr>
        <w:t xml:space="preserve"> are chosen</w:t>
      </w:r>
      <w:r>
        <w:rPr>
          <w:rFonts w:cs="Times New Roman"/>
          <w:lang w:val="en-US"/>
        </w:rPr>
        <w:t xml:space="preserve">. The most natural choice of the time unit is </w:t>
      </w:r>
      <m:oMath>
        <m:r>
          <w:rPr>
            <w:rFonts w:ascii="Cambria Math" w:hAnsi="Cambria Math" w:cs="Times New Roman"/>
            <w:lang w:val="en-US"/>
          </w:rPr>
          <m:t>T=</m:t>
        </m:r>
        <m:sSup>
          <m:sSupPr>
            <m:ctrlPr>
              <w:rPr>
                <w:rFonts w:ascii="Cambria Math" w:hAnsi="Cambria Math" w:cs="Times New Roman"/>
                <w:i/>
                <w:lang w:val="en-US"/>
              </w:rPr>
            </m:ctrlPr>
          </m:sSupPr>
          <m:e>
            <m:r>
              <w:rPr>
                <w:rFonts w:ascii="Cambria Math" w:hAnsi="Cambria Math" w:cs="Times New Roman"/>
                <w:lang w:val="en-US"/>
              </w:rPr>
              <m:t>b</m:t>
            </m:r>
          </m:e>
          <m:sup>
            <m:r>
              <w:rPr>
                <w:rFonts w:ascii="Cambria Math" w:hAnsi="Cambria Math" w:cs="Times New Roman"/>
                <w:lang w:val="en-US"/>
              </w:rPr>
              <m:t>-1</m:t>
            </m:r>
          </m:sup>
        </m:sSup>
      </m:oMath>
      <w:r w:rsidRPr="1316FC55">
        <w:rPr>
          <w:rFonts w:eastAsiaTheme="minorEastAsia" w:cs="Times New Roman"/>
          <w:lang w:val="en-US"/>
        </w:rPr>
        <w:t xml:space="preserve"> (the option </w:t>
      </w:r>
      <m:oMath>
        <m:r>
          <w:rPr>
            <w:rFonts w:ascii="Cambria Math" w:eastAsiaTheme="minorEastAsia" w:hAnsi="Cambria Math" w:cs="Times New Roman"/>
            <w:lang w:val="en-US"/>
          </w:rPr>
          <m:t>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d</m:t>
            </m:r>
          </m:e>
          <m:sup>
            <m:r>
              <w:rPr>
                <w:rFonts w:ascii="Cambria Math" w:eastAsiaTheme="minorEastAsia" w:hAnsi="Cambria Math" w:cs="Times New Roman"/>
                <w:lang w:val="en-US"/>
              </w:rPr>
              <m:t>-1</m:t>
            </m:r>
          </m:sup>
        </m:sSup>
      </m:oMath>
      <w:r w:rsidRPr="1316FC55">
        <w:rPr>
          <w:rFonts w:eastAsiaTheme="minorEastAsia" w:cs="Times New Roman"/>
          <w:lang w:val="en-US"/>
        </w:rPr>
        <w:t xml:space="preserve"> is less useful as far as the case when </w:t>
      </w:r>
      <m:oMath>
        <m:r>
          <w:rPr>
            <w:rFonts w:ascii="Cambria Math" w:eastAsiaTheme="minorEastAsia" w:hAnsi="Cambria Math" w:cs="Times New Roman"/>
            <w:lang w:val="en-US"/>
          </w:rPr>
          <m:t>d=0</m:t>
        </m:r>
      </m:oMath>
      <w:r w:rsidRPr="1316FC55">
        <w:rPr>
          <w:rFonts w:eastAsiaTheme="minorEastAsia" w:cs="Times New Roman"/>
          <w:lang w:val="en-US"/>
        </w:rPr>
        <w:t xml:space="preserve"> is quite interesting for research). The length unit choice is not so obvious, there are a plenty of options. In this paper we use the following approach. We consider the mean-field equilibrium density </w:t>
      </w:r>
      <m:oMath>
        <m:r>
          <w:rPr>
            <w:rFonts w:ascii="Cambria Math" w:eastAsiaTheme="minorEastAsia" w:hAnsi="Cambria Math" w:cs="Times New Roman"/>
            <w:lang w:val="en-US"/>
          </w:rPr>
          <m:t>λ=(b-d)/d'</m:t>
        </m:r>
      </m:oMath>
      <w:r w:rsidRPr="1316FC55">
        <w:rPr>
          <w:rFonts w:eastAsiaTheme="minorEastAsia" w:cs="Times New Roman"/>
          <w:lang w:val="en-US"/>
        </w:rPr>
        <w:t xml:space="preserve">, that denotes the equilibrium density when no spatial structure is present, and the community is well-mixed. </w:t>
      </w:r>
      <w:r>
        <w:rPr>
          <w:lang w:val="en-US"/>
        </w:rPr>
        <w:t xml:space="preserve">The unit of this value is </w:t>
      </w:r>
      <m:oMath>
        <m:d>
          <m:dPr>
            <m:begChr m:val="["/>
            <m:endChr m:val="]"/>
            <m:ctrlPr>
              <w:rPr>
                <w:rFonts w:ascii="Cambria Math" w:hAnsi="Cambria Math"/>
                <w:i/>
                <w:lang w:val="en-US"/>
              </w:rPr>
            </m:ctrlPr>
          </m:dPr>
          <m:e>
            <m:r>
              <w:rPr>
                <w:rFonts w:ascii="Cambria Math" w:hAnsi="Cambria Math"/>
                <w:lang w:val="en-US"/>
              </w:rPr>
              <m:t>λ</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n</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-n</m:t>
            </m:r>
          </m:sup>
        </m:sSup>
      </m:oMath>
      <w:r w:rsidRPr="1316FC55">
        <w:rPr>
          <w:rFonts w:eastAsiaTheme="minorEastAsia"/>
          <w:lang w:val="en-US"/>
        </w:rPr>
        <w:t xml:space="preserve"> (so, it is in fact density) and thus why we can use inverse </w:t>
      </w:r>
      <m:oMath>
        <m:r>
          <w:rPr>
            <w:rFonts w:ascii="Cambria Math" w:eastAsiaTheme="minorEastAsia" w:hAnsi="Cambria Math"/>
            <w:lang w:val="en-US"/>
          </w:rPr>
          <m:t>n</m:t>
        </m:r>
      </m:oMath>
      <w:r w:rsidRPr="1316FC55">
        <w:rPr>
          <w:rFonts w:eastAsiaTheme="minorEastAsia"/>
          <w:lang w:val="en-US"/>
        </w:rPr>
        <w:t xml:space="preserve">-th root of </w:t>
      </w:r>
      <m:oMath>
        <m:r>
          <w:rPr>
            <w:rFonts w:ascii="Cambria Math" w:eastAsiaTheme="minorEastAsia" w:hAnsi="Cambria Math"/>
            <w:lang w:val="en-US"/>
          </w:rPr>
          <m:t>λ</m:t>
        </m:r>
      </m:oMath>
      <w:r w:rsidRPr="1316FC55">
        <w:rPr>
          <w:rFonts w:eastAsiaTheme="minorEastAsia"/>
          <w:lang w:val="en-US"/>
        </w:rPr>
        <w:t xml:space="preserve"> as </w:t>
      </w:r>
      <w:r w:rsidRPr="1316FC55">
        <w:rPr>
          <w:rFonts w:eastAsiaTheme="minorEastAsia"/>
          <w:lang w:val="en-US"/>
        </w:rPr>
        <w:lastRenderedPageBreak/>
        <w:t xml:space="preserve">the length unit, i.e., </w:t>
      </w:r>
      <m:oMath>
        <m:r>
          <w:rPr>
            <w:rFonts w:ascii="Cambria Math" w:eastAsiaTheme="minorEastAsia" w:hAnsi="Cambria Math"/>
            <w:lang w:val="en-US"/>
          </w:rPr>
          <m:t>L=</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-1/n</m:t>
            </m:r>
          </m:sup>
        </m:sSup>
      </m:oMath>
      <w:r w:rsidRPr="1316FC55">
        <w:rPr>
          <w:rFonts w:eastAsiaTheme="minorEastAsia"/>
          <w:lang w:val="en-US"/>
        </w:rPr>
        <w:t>. Such a choice allows us to compare general cases with the well-mixed one more precisely.</w:t>
      </w:r>
    </w:p>
    <w:p w14:paraId="020D98D3" w14:textId="77777777" w:rsidR="000B264D" w:rsidRDefault="000B264D" w:rsidP="000B264D">
      <w:pPr>
        <w:ind w:firstLine="720"/>
        <w:rPr>
          <w:rFonts w:eastAsiaTheme="minorEastAsia"/>
          <w:lang w:val="en-US"/>
        </w:rPr>
      </w:pPr>
      <w:r w:rsidRPr="1316FC55">
        <w:rPr>
          <w:rFonts w:eastAsiaTheme="minorEastAsia"/>
          <w:lang w:val="en-US"/>
        </w:rPr>
        <w:t>With the given choice of spatial and time units the described above five model parameters are transformed into the following dimensionless parameters:</w:t>
      </w:r>
    </w:p>
    <w:p w14:paraId="5EAC94B1" w14:textId="77777777" w:rsidR="000B264D" w:rsidRDefault="000B264D" w:rsidP="000B264D">
      <w:pPr>
        <w:ind w:firstLine="0"/>
        <w:rPr>
          <w:rFonts w:eastAsiaTheme="minorEastAsia"/>
          <w:lang w:val="en-US"/>
        </w:rPr>
      </w:pPr>
    </w:p>
    <w:p w14:paraId="1DD1336E" w14:textId="77777777" w:rsidR="000B264D" w:rsidRPr="003A056E" w:rsidRDefault="000B264D" w:rsidP="000B264D">
      <w:pPr>
        <w:ind w:firstLine="0"/>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b</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b</m:t>
                  </m: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b</m:t>
              </m:r>
            </m:num>
            <m:den>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-1</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b</m:t>
              </m:r>
            </m:den>
          </m:f>
          <m:r>
            <w:rPr>
              <w:rFonts w:ascii="Cambria Math" w:eastAsiaTheme="minorEastAsia" w:hAnsi="Cambria Math"/>
              <w:lang w:val="en-US"/>
            </w:rPr>
            <m:t>=1,</m:t>
          </m:r>
        </m:oMath>
      </m:oMathPara>
    </w:p>
    <w:p w14:paraId="7DAEC75E" w14:textId="77777777" w:rsidR="000B264D" w:rsidRPr="003A056E" w:rsidRDefault="000B264D" w:rsidP="000B264D">
      <w:pPr>
        <w:ind w:firstLine="0"/>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d</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d</m:t>
                  </m: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-1</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b</m:t>
              </m:r>
            </m:den>
          </m:f>
          <m:r>
            <w:rPr>
              <w:rFonts w:ascii="Cambria Math" w:eastAsiaTheme="minorEastAsia" w:hAnsi="Cambria Math"/>
              <w:lang w:val="en-US"/>
            </w:rPr>
            <m:t>,</m:t>
          </m:r>
        </m:oMath>
      </m:oMathPara>
    </w:p>
    <w:p w14:paraId="35235B22" w14:textId="77777777" w:rsidR="000B264D" w:rsidRPr="003A056E" w:rsidRDefault="000B264D" w:rsidP="000B264D">
      <w:pPr>
        <w:ind w:firstLine="0"/>
        <w:rPr>
          <w:rFonts w:eastAsiaTheme="minorEastAsia"/>
          <w:lang w:val="en-US"/>
        </w:rPr>
      </w:pPr>
      <m:oMathPara>
        <m:oMath>
          <m:eqArr>
            <m:eqArrPr>
              <m:maxDist m:val="1"/>
              <m:ctrlPr>
                <w:rPr>
                  <w:rFonts w:ascii="Cambria Math" w:eastAsiaTheme="minorEastAsia" w:hAnsi="Cambria Math"/>
                  <w:i/>
                  <w:lang w:val="en-US"/>
                </w:rPr>
              </m:ctrlPr>
            </m:eqArrPr>
            <m:e>
              <m:acc>
                <m:accPr>
                  <m:chr m:val="̃"/>
                  <m:ctrlPr>
                    <w:rPr>
                      <w:rFonts w:ascii="Cambria Math" w:eastAsiaTheme="minorEastAsia" w:hAnsi="Cambria Math"/>
                      <w:i/>
                      <w:lang w:val="en-US"/>
                    </w:rPr>
                  </m:ctrlPr>
                </m:accPr>
                <m:e>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e>
              </m:acc>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num>
                <m:den>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num>
                <m:den>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-1</m:t>
                      </m:r>
                    </m:sup>
                  </m:s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n</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num>
                <m:den>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-1</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b-d</m:t>
                  </m:r>
                </m:num>
                <m:den>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num>
                <m:den>
                  <m:r>
                    <w:rPr>
                      <w:rFonts w:ascii="Cambria Math" w:eastAsiaTheme="minorEastAsia" w:hAnsi="Cambria Math"/>
                      <w:lang w:val="en-US"/>
                    </w:rPr>
                    <m:t>b</m:t>
                  </m:r>
                </m:den>
              </m:f>
              <m:r>
                <w:rPr>
                  <w:rFonts w:ascii="Cambria Math" w:eastAsiaTheme="minorEastAsia" w:hAnsi="Cambria Math"/>
                  <w:lang w:val="en-US"/>
                </w:rPr>
                <m:t>=1-</m:t>
              </m:r>
              <m:acc>
                <m:accPr>
                  <m:chr m:val="̃"/>
                  <m:ctrlPr>
                    <w:rPr>
                      <w:rFonts w:ascii="Cambria Math" w:eastAsiaTheme="minorEastAsia" w:hAnsi="Cambria Math"/>
                      <w:i/>
                      <w:lang w:val="en-US"/>
                    </w:rPr>
                  </m:ctrlPr>
                </m:accPr>
                <m:e>
                  <m:r>
                    <w:rPr>
                      <w:rFonts w:ascii="Cambria Math" w:eastAsiaTheme="minorEastAsia" w:hAnsi="Cambria Math"/>
                      <w:lang w:val="en-US"/>
                    </w:rPr>
                    <m:t>d</m:t>
                  </m:r>
                </m:e>
              </m:acc>
              <m:r>
                <w:rPr>
                  <w:rFonts w:ascii="Cambria Math" w:eastAsiaTheme="minorEastAsia" w:hAnsi="Cambria Math"/>
                  <w:lang w:val="en-US"/>
                </w:rPr>
                <m:t>,#</m:t>
              </m:r>
              <m:d>
                <m:dPr>
                  <m:ctrlPr>
                    <w:rPr>
                      <w:rFonts w:ascii="Cambria Math" w:eastAsiaTheme="minorEastAsia" w:hAnsi="Cambria Math"/>
                      <w:i/>
                      <w:lang w:val="en-US"/>
                    </w:rPr>
                  </m:ctrlPr>
                </m:dPr>
                <m:e>
                  <m:r>
                    <m:rPr>
                      <m:sty m:val="p"/>
                    </m:rPr>
                    <w:rPr>
                      <w:rFonts w:ascii="Cambria Math" w:eastAsiaTheme="minorEastAsia" w:hAnsi="Cambria Math"/>
                      <w:lang w:val="en-US"/>
                    </w:rPr>
                    <m:t>A1</m:t>
                  </m:r>
                </m:e>
              </m:d>
            </m:e>
          </m:eqArr>
        </m:oMath>
      </m:oMathPara>
    </w:p>
    <w:p w14:paraId="286BF61A" w14:textId="77777777" w:rsidR="000B264D" w:rsidRPr="003A056E" w:rsidRDefault="000B264D" w:rsidP="000B264D">
      <w:pPr>
        <w:ind w:firstLine="0"/>
        <w:rPr>
          <w:rFonts w:eastAsiaTheme="minorEastAsia"/>
          <w:lang w:val="en-US"/>
        </w:rPr>
      </w:pPr>
      <m:oMathPara>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σ</m:t>
                  </m:r>
                </m:e>
                <m:sub>
                  <m:r>
                    <m:rPr>
                      <m:sty m:val="p"/>
                    </m:rPr>
                    <w:rPr>
                      <w:rFonts w:ascii="Cambria Math" w:eastAsiaTheme="minorEastAsia" w:hAnsi="Cambria Math"/>
                      <w:lang w:val="en-US"/>
                    </w:rPr>
                    <m:t>m</m:t>
                  </m:r>
                </m:sub>
              </m:sSub>
            </m:e>
          </m:acc>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σ</m:t>
                  </m:r>
                </m:e>
                <m:sub>
                  <m:r>
                    <m:rPr>
                      <m:sty m:val="p"/>
                    </m:rPr>
                    <w:rPr>
                      <w:rFonts w:ascii="Cambria Math" w:eastAsiaTheme="minorEastAsia" w:hAnsi="Cambria Math"/>
                      <w:lang w:val="en-US"/>
                    </w:rPr>
                    <m:t>m</m:t>
                  </m:r>
                </m:sub>
              </m:sSub>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σ</m:t>
                      </m:r>
                    </m:e>
                    <m:sub>
                      <m:r>
                        <m:rPr>
                          <m:sty m:val="p"/>
                        </m:rPr>
                        <w:rPr>
                          <w:rFonts w:ascii="Cambria Math" w:eastAsiaTheme="minorEastAsia" w:hAnsi="Cambria Math"/>
                          <w:lang w:val="en-US"/>
                        </w:rPr>
                        <m:t>m</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σ</m:t>
                  </m:r>
                </m:e>
                <m:sub>
                  <m:r>
                    <m:rPr>
                      <m:sty m:val="p"/>
                    </m:rPr>
                    <w:rPr>
                      <w:rFonts w:ascii="Cambria Math" w:eastAsiaTheme="minorEastAsia" w:hAnsi="Cambria Math"/>
                      <w:lang w:val="en-US"/>
                    </w:rPr>
                    <m:t>m</m:t>
                  </m:r>
                </m:sub>
              </m:sSub>
            </m:num>
            <m:den>
              <m:r>
                <w:rPr>
                  <w:rFonts w:ascii="Cambria Math" w:eastAsiaTheme="minorEastAsia" w:hAnsi="Cambria Math"/>
                  <w:lang w:val="en-US"/>
                </w:rPr>
                <m:t>L</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σ</m:t>
              </m:r>
            </m:e>
            <m:sub>
              <m:r>
                <m:rPr>
                  <m:sty m:val="p"/>
                </m:rPr>
                <w:rPr>
                  <w:rFonts w:ascii="Cambria Math" w:eastAsiaTheme="minorEastAsia" w:hAnsi="Cambria Math"/>
                  <w:lang w:val="en-US"/>
                </w:rPr>
                <m:t>m</m:t>
              </m:r>
            </m:sub>
          </m:sSub>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1/n</m:t>
              </m:r>
            </m:sup>
          </m:sSup>
          <m:r>
            <w:rPr>
              <w:rFonts w:ascii="Cambria Math" w:eastAsiaTheme="minorEastAsia" w:hAnsi="Cambria Math"/>
              <w:lang w:val="en-US"/>
            </w:rPr>
            <m:t>,</m:t>
          </m:r>
        </m:oMath>
      </m:oMathPara>
    </w:p>
    <w:p w14:paraId="50CD199D" w14:textId="77777777" w:rsidR="000B264D" w:rsidRPr="00B02DF3" w:rsidRDefault="000B264D" w:rsidP="000B264D">
      <w:pPr>
        <w:ind w:firstLine="0"/>
        <w:rPr>
          <w:rFonts w:eastAsiaTheme="minorEastAsia"/>
          <w:lang w:val="en-US"/>
        </w:rPr>
      </w:pPr>
      <m:oMathPara>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σ</m:t>
                  </m:r>
                </m:e>
                <m:sub>
                  <m:r>
                    <m:rPr>
                      <m:sty m:val="p"/>
                    </m:rPr>
                    <w:rPr>
                      <w:rFonts w:ascii="Cambria Math" w:eastAsiaTheme="minorEastAsia" w:hAnsi="Cambria Math"/>
                      <w:lang w:val="en-US"/>
                    </w:rPr>
                    <m:t>w</m:t>
                  </m:r>
                </m:sub>
              </m:sSub>
            </m:e>
          </m:acc>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σ</m:t>
                  </m:r>
                </m:e>
                <m:sub>
                  <m:r>
                    <m:rPr>
                      <m:sty m:val="p"/>
                    </m:rPr>
                    <w:rPr>
                      <w:rFonts w:ascii="Cambria Math" w:eastAsiaTheme="minorEastAsia" w:hAnsi="Cambria Math"/>
                      <w:lang w:val="en-US"/>
                    </w:rPr>
                    <m:t>w</m:t>
                  </m:r>
                </m:sub>
              </m:sSub>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σ</m:t>
                      </m:r>
                    </m:e>
                    <m:sub>
                      <m:r>
                        <m:rPr>
                          <m:sty m:val="p"/>
                        </m:rPr>
                        <w:rPr>
                          <w:rFonts w:ascii="Cambria Math" w:eastAsiaTheme="minorEastAsia" w:hAnsi="Cambria Math"/>
                          <w:lang w:val="en-US"/>
                        </w:rPr>
                        <m:t>w</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σ</m:t>
                  </m:r>
                </m:e>
                <m:sub>
                  <m:r>
                    <m:rPr>
                      <m:sty m:val="p"/>
                    </m:rPr>
                    <w:rPr>
                      <w:rFonts w:ascii="Cambria Math" w:eastAsiaTheme="minorEastAsia" w:hAnsi="Cambria Math"/>
                      <w:lang w:val="en-US"/>
                    </w:rPr>
                    <m:t>w</m:t>
                  </m:r>
                </m:sub>
              </m:sSub>
            </m:num>
            <m:den>
              <m:r>
                <w:rPr>
                  <w:rFonts w:ascii="Cambria Math" w:eastAsiaTheme="minorEastAsia" w:hAnsi="Cambria Math"/>
                  <w:lang w:val="en-US"/>
                </w:rPr>
                <m:t>L</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σ</m:t>
              </m:r>
            </m:e>
            <m:sub>
              <m:r>
                <m:rPr>
                  <m:sty m:val="p"/>
                </m:rPr>
                <w:rPr>
                  <w:rFonts w:ascii="Cambria Math" w:eastAsiaTheme="minorEastAsia" w:hAnsi="Cambria Math"/>
                  <w:lang w:val="en-US"/>
                </w:rPr>
                <m:t>w</m:t>
              </m:r>
            </m:sub>
          </m:sSub>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1/n</m:t>
              </m:r>
            </m:sup>
          </m:sSup>
          <m:r>
            <w:rPr>
              <w:rFonts w:ascii="Cambria Math" w:eastAsiaTheme="minorEastAsia" w:hAnsi="Cambria Math"/>
              <w:lang w:val="en-US"/>
            </w:rPr>
            <m:t>.</m:t>
          </m:r>
        </m:oMath>
      </m:oMathPara>
    </w:p>
    <w:p w14:paraId="675C7187" w14:textId="77777777" w:rsidR="000B264D" w:rsidRPr="0017706F" w:rsidRDefault="000B264D" w:rsidP="000B264D">
      <w:pPr>
        <w:ind w:firstLine="0"/>
        <w:rPr>
          <w:rFonts w:eastAsiaTheme="minorEastAsia"/>
          <w:lang w:val="en-US"/>
        </w:rPr>
      </w:pPr>
    </w:p>
    <w:p w14:paraId="607C2B8C" w14:textId="77777777" w:rsidR="000B264D" w:rsidRPr="003A056E" w:rsidRDefault="000B264D" w:rsidP="000B264D">
      <w:pPr>
        <w:ind w:firstLine="810"/>
        <w:rPr>
          <w:rFonts w:eastAsiaTheme="minorEastAsia"/>
          <w:lang w:val="en-US"/>
        </w:rPr>
      </w:pPr>
      <w:r w:rsidRPr="1316FC55">
        <w:rPr>
          <w:rFonts w:eastAsiaTheme="minorEastAsia"/>
          <w:lang w:val="en-US"/>
        </w:rPr>
        <w:t xml:space="preserve">As it can be noticed there are only three essential dimensionless parameters: </w:t>
      </w:r>
      <m:oMath>
        <m:acc>
          <m:accPr>
            <m:chr m:val="̃"/>
            <m:ctrlPr>
              <w:rPr>
                <w:rFonts w:ascii="Cambria Math" w:eastAsiaTheme="minorEastAsia" w:hAnsi="Cambria Math"/>
                <w:i/>
                <w:lang w:val="en-US"/>
              </w:rPr>
            </m:ctrlPr>
          </m:accPr>
          <m:e>
            <m:r>
              <w:rPr>
                <w:rFonts w:ascii="Cambria Math" w:eastAsiaTheme="minorEastAsia" w:hAnsi="Cambria Math"/>
                <w:lang w:val="en-US"/>
              </w:rPr>
              <m:t>d</m:t>
            </m:r>
          </m:e>
        </m:acc>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σ</m:t>
                </m:r>
              </m:e>
              <m:sub>
                <m:r>
                  <m:rPr>
                    <m:sty m:val="p"/>
                  </m:rPr>
                  <w:rPr>
                    <w:rFonts w:ascii="Cambria Math" w:eastAsiaTheme="minorEastAsia" w:hAnsi="Cambria Math"/>
                    <w:lang w:val="en-US"/>
                  </w:rPr>
                  <m:t>m</m:t>
                </m:r>
              </m:sub>
            </m:sSub>
          </m:e>
        </m:acc>
        <m:r>
          <w:rPr>
            <w:rFonts w:ascii="Cambria Math" w:eastAsiaTheme="minorEastAsia" w:hAnsi="Cambria Math"/>
            <w:lang w:val="en-US"/>
          </w:rPr>
          <m:t>,</m:t>
        </m:r>
      </m:oMath>
      <w:r w:rsidRPr="1316FC55">
        <w:rPr>
          <w:rFonts w:eastAsiaTheme="minorEastAsia"/>
          <w:lang w:val="en-US"/>
        </w:rPr>
        <w:t xml:space="preserve"> and </w:t>
      </w:r>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σ</m:t>
                </m:r>
              </m:e>
              <m:sub>
                <m:r>
                  <m:rPr>
                    <m:sty m:val="p"/>
                  </m:rPr>
                  <w:rPr>
                    <w:rFonts w:ascii="Cambria Math" w:eastAsiaTheme="minorEastAsia" w:hAnsi="Cambria Math"/>
                    <w:lang w:val="en-US"/>
                  </w:rPr>
                  <m:t>w</m:t>
                </m:r>
              </m:sub>
            </m:sSub>
          </m:e>
        </m:acc>
      </m:oMath>
      <w:r w:rsidRPr="1316FC55">
        <w:rPr>
          <w:rFonts w:eastAsiaTheme="minorEastAsia"/>
          <w:lang w:val="en-US"/>
        </w:rPr>
        <w:t>.</w:t>
      </w:r>
    </w:p>
    <w:p w14:paraId="054B4839" w14:textId="77777777" w:rsidR="000B264D" w:rsidRPr="000B264D" w:rsidRDefault="000B264D" w:rsidP="000B264D">
      <w:pPr>
        <w:ind w:firstLine="810"/>
        <w:rPr>
          <w:rFonts w:eastAsiaTheme="minorEastAsia"/>
          <w:lang w:val="en-US"/>
        </w:rPr>
      </w:pPr>
      <w:r w:rsidRPr="1316FC55">
        <w:rPr>
          <w:rFonts w:eastAsiaTheme="minorEastAsia"/>
          <w:lang w:val="en-US"/>
        </w:rPr>
        <w:t xml:space="preserve">For simplification of the research, we can use </w:t>
      </w:r>
      <m:oMath>
        <m:acc>
          <m:accPr>
            <m:chr m:val="̃"/>
            <m:ctrlPr>
              <w:rPr>
                <w:rFonts w:ascii="Cambria Math" w:eastAsiaTheme="minorEastAsia" w:hAnsi="Cambria Math"/>
                <w:i/>
                <w:lang w:val="en-US"/>
              </w:rPr>
            </m:ctrlPr>
          </m:accPr>
          <m:e>
            <m:r>
              <w:rPr>
                <w:rFonts w:ascii="Cambria Math" w:eastAsiaTheme="minorEastAsia" w:hAnsi="Cambria Math"/>
                <w:lang w:val="en-US"/>
              </w:rPr>
              <m:t>d</m:t>
            </m:r>
          </m:e>
        </m:acc>
        <m:r>
          <w:rPr>
            <w:rFonts w:ascii="Cambria Math" w:eastAsiaTheme="minorEastAsia" w:hAnsi="Cambria Math"/>
            <w:lang w:val="en-US"/>
          </w:rPr>
          <m:t>≡const</m:t>
        </m:r>
      </m:oMath>
      <w:r w:rsidRPr="1316FC55">
        <w:rPr>
          <w:rFonts w:eastAsiaTheme="minorEastAsia"/>
          <w:lang w:val="en-US"/>
        </w:rPr>
        <w:t>, thus only two parameters remain. These parameters are called standardized radii.</w:t>
      </w:r>
      <w:r>
        <w:rPr>
          <w:rFonts w:eastAsiaTheme="minorEastAsia"/>
          <w:lang w:val="en-US"/>
        </w:rPr>
        <w:t xml:space="preserve"> In the following text we assume that  </w:t>
      </w:r>
    </w:p>
    <w:p w14:paraId="169F7C18" w14:textId="595AD449" w:rsidR="000B264D" w:rsidRPr="000B264D" w:rsidRDefault="000B264D" w:rsidP="000B264D">
      <w:pPr>
        <w:ind w:firstLine="810"/>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d</m:t>
              </m:r>
            </m:e>
          </m:acc>
          <m:r>
            <w:rPr>
              <w:rFonts w:ascii="Cambria Math" w:eastAsiaTheme="minorEastAsia" w:hAnsi="Cambria Math"/>
              <w:lang w:val="en-US"/>
            </w:rPr>
            <m:t>=0.</m:t>
          </m:r>
        </m:oMath>
      </m:oMathPara>
    </w:p>
    <w:p w14:paraId="5F192219" w14:textId="77777777" w:rsidR="000B264D" w:rsidRDefault="000B264D" w:rsidP="000B264D">
      <w:pPr>
        <w:pStyle w:val="2"/>
      </w:pPr>
      <w:bookmarkStart w:id="0" w:name="_Hlk62136956"/>
      <w:r>
        <w:t>Segregation and aggregation</w:t>
      </w:r>
      <w:r w:rsidRPr="009D4CFB">
        <w:t xml:space="preserve"> </w:t>
      </w:r>
      <w:bookmarkEnd w:id="0"/>
      <w:r w:rsidRPr="009D4CFB">
        <w:t>effects</w:t>
      </w:r>
    </w:p>
    <w:p w14:paraId="623DFE29" w14:textId="77777777" w:rsidR="000B264D" w:rsidRPr="009D4CFB" w:rsidRDefault="000B264D" w:rsidP="000B264D">
      <w:pPr>
        <w:ind w:firstLine="0"/>
        <w:rPr>
          <w:rFonts w:cs="Times New Roman"/>
          <w:lang w:val="en-US"/>
        </w:rPr>
      </w:pPr>
      <w:r w:rsidRPr="2961CE3F">
        <w:rPr>
          <w:rFonts w:cs="Times New Roman"/>
          <w:lang w:val="en-US"/>
        </w:rPr>
        <w:t>Figure 2 shows how standardized carrying capacity changes with the standardized radii.</w:t>
      </w:r>
    </w:p>
    <w:p w14:paraId="7F4C4601" w14:textId="77777777" w:rsidR="000B264D" w:rsidRPr="009D4CFB" w:rsidRDefault="000B264D" w:rsidP="000B264D">
      <w:pPr>
        <w:ind w:left="-142" w:firstLine="0"/>
        <w:rPr>
          <w:rFonts w:cs="Times New Roman"/>
          <w:lang w:val="en-US"/>
        </w:rPr>
      </w:pPr>
      <w:r>
        <w:rPr>
          <w:noProof/>
        </w:rPr>
        <w:drawing>
          <wp:inline distT="0" distB="0" distL="0" distR="0" wp14:anchorId="5E6658B3" wp14:editId="1765A698">
            <wp:extent cx="5759449" cy="3839845"/>
            <wp:effectExtent l="0" t="0" r="0" b="8255"/>
            <wp:docPr id="10" name="Рисунок 10" descr="Изображение выглядит как снимок экрана, диаграмма, Красочность,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снимок экрана, диаграмма, Красочность, текст&#10;&#10;Автоматически созданное описание"/>
                    <pic:cNvPicPr/>
                  </pic:nvPicPr>
                  <pic:blipFill>
                    <a:blip r:embed="rId4">
                      <a:extLst>
                        <a:ext uri="{28A0092B-C50C-407E-A947-70E740481C1C}">
                          <a14:useLocalDpi xmlns:a14="http://schemas.microsoft.com/office/drawing/2010/main" val="0"/>
                        </a:ext>
                      </a:extLst>
                    </a:blip>
                    <a:stretch>
                      <a:fillRect/>
                    </a:stretch>
                  </pic:blipFill>
                  <pic:spPr>
                    <a:xfrm>
                      <a:off x="0" y="0"/>
                      <a:ext cx="5759449" cy="3839845"/>
                    </a:xfrm>
                    <a:prstGeom prst="rect">
                      <a:avLst/>
                    </a:prstGeom>
                  </pic:spPr>
                </pic:pic>
              </a:graphicData>
            </a:graphic>
          </wp:inline>
        </w:drawing>
      </w:r>
    </w:p>
    <w:p w14:paraId="36B962CB" w14:textId="2EFC7B3F" w:rsidR="00331342" w:rsidRPr="000B264D" w:rsidRDefault="000B264D" w:rsidP="000B264D">
      <w:pPr>
        <w:rPr>
          <w:lang w:val="en-US"/>
        </w:rPr>
      </w:pPr>
      <w:r w:rsidRPr="2961CE3F">
        <w:rPr>
          <w:rFonts w:cs="Times New Roman"/>
          <w:b/>
          <w:bCs/>
          <w:sz w:val="22"/>
          <w:lang w:val="en-US"/>
        </w:rPr>
        <w:t>Figure 2.</w:t>
      </w:r>
      <w:r w:rsidRPr="2961CE3F">
        <w:rPr>
          <w:rFonts w:cs="Times New Roman"/>
          <w:sz w:val="22"/>
          <w:lang w:val="en-US"/>
        </w:rPr>
        <w:t xml:space="preserve"> Comparative visualization of the standardized carrying capacity dependence on the standardized radii for different number of dimensions. Panels (a) and (d) show the one-dimensional case, panels (b) and (e) </w:t>
      </w:r>
      <w:r w:rsidRPr="0041506A">
        <w:rPr>
          <w:rFonts w:cs="Times New Roman"/>
          <w:sz w:val="22"/>
          <w:lang w:val="en-US"/>
        </w:rPr>
        <w:t xml:space="preserve">stand for the two-dimensional case, and panels (c) and (f) illustrate three-dimensional </w:t>
      </w:r>
      <w:r w:rsidRPr="0041506A">
        <w:rPr>
          <w:rFonts w:cs="Times New Roman"/>
          <w:sz w:val="22"/>
          <w:lang w:val="en-US"/>
        </w:rPr>
        <w:lastRenderedPageBreak/>
        <w:t>habitats. Panels (a), (b), and (c) are contour plots for three-dimensional graphics shown in panels (d), (e), and (f), with the same color scheme. The main features that can be seen on this graphics are the values on the diagonal (</w:t>
      </w:r>
      <m:oMath>
        <m:acc>
          <m:accPr>
            <m:chr m:val="̃"/>
            <m:ctrlPr>
              <w:rPr>
                <w:rFonts w:ascii="Cambria Math" w:hAnsi="Cambria Math" w:cs="Times New Roman"/>
                <w:i/>
                <w:sz w:val="22"/>
                <w:lang w:val="en-US"/>
              </w:rPr>
            </m:ctrlPr>
          </m:accPr>
          <m:e>
            <m:sSub>
              <m:sSubPr>
                <m:ctrlPr>
                  <w:rPr>
                    <w:rFonts w:ascii="Cambria Math" w:hAnsi="Cambria Math" w:cs="Times New Roman"/>
                    <w:i/>
                    <w:sz w:val="22"/>
                    <w:lang w:val="en-US"/>
                  </w:rPr>
                </m:ctrlPr>
              </m:sSubPr>
              <m:e>
                <m:r>
                  <w:rPr>
                    <w:rFonts w:ascii="Cambria Math" w:hAnsi="Cambria Math" w:cs="Times New Roman"/>
                    <w:sz w:val="22"/>
                    <w:lang w:val="en-US"/>
                  </w:rPr>
                  <m:t>σ</m:t>
                </m:r>
              </m:e>
              <m:sub>
                <m:r>
                  <m:rPr>
                    <m:sty m:val="p"/>
                  </m:rPr>
                  <w:rPr>
                    <w:rFonts w:ascii="Cambria Math" w:hAnsi="Cambria Math" w:cs="Times New Roman"/>
                    <w:sz w:val="22"/>
                    <w:lang w:val="en-US"/>
                  </w:rPr>
                  <m:t>m</m:t>
                </m:r>
              </m:sub>
            </m:sSub>
          </m:e>
        </m:acc>
        <m:r>
          <w:rPr>
            <w:rFonts w:ascii="Cambria Math" w:hAnsi="Cambria Math" w:cs="Times New Roman"/>
            <w:sz w:val="22"/>
            <w:lang w:val="en-US"/>
          </w:rPr>
          <m:t>=</m:t>
        </m:r>
        <m:acc>
          <m:accPr>
            <m:chr m:val="̃"/>
            <m:ctrlPr>
              <w:rPr>
                <w:rFonts w:ascii="Cambria Math" w:hAnsi="Cambria Math" w:cs="Times New Roman"/>
                <w:i/>
                <w:sz w:val="22"/>
                <w:lang w:val="en-US"/>
              </w:rPr>
            </m:ctrlPr>
          </m:accPr>
          <m:e>
            <m:sSub>
              <m:sSubPr>
                <m:ctrlPr>
                  <w:rPr>
                    <w:rFonts w:ascii="Cambria Math" w:hAnsi="Cambria Math" w:cs="Times New Roman"/>
                    <w:i/>
                    <w:sz w:val="22"/>
                    <w:lang w:val="en-US"/>
                  </w:rPr>
                </m:ctrlPr>
              </m:sSubPr>
              <m:e>
                <m:r>
                  <w:rPr>
                    <w:rFonts w:ascii="Cambria Math" w:hAnsi="Cambria Math" w:cs="Times New Roman"/>
                    <w:sz w:val="22"/>
                    <w:lang w:val="en-US"/>
                  </w:rPr>
                  <m:t>σ</m:t>
                </m:r>
              </m:e>
              <m:sub>
                <m:r>
                  <m:rPr>
                    <m:sty m:val="p"/>
                  </m:rPr>
                  <w:rPr>
                    <w:rFonts w:ascii="Cambria Math" w:hAnsi="Cambria Math" w:cs="Times New Roman"/>
                    <w:sz w:val="22"/>
                    <w:lang w:val="en-US"/>
                  </w:rPr>
                  <m:t>w</m:t>
                </m:r>
              </m:sub>
            </m:sSub>
          </m:e>
        </m:acc>
      </m:oMath>
      <w:r w:rsidRPr="0041506A">
        <w:rPr>
          <w:rFonts w:cs="Times New Roman"/>
          <w:sz w:val="22"/>
          <w:lang w:val="en-US"/>
        </w:rPr>
        <w:t>), the bigger values of  </w:t>
      </w:r>
      <m:oMath>
        <m:acc>
          <m:accPr>
            <m:chr m:val="̃"/>
            <m:ctrlPr>
              <w:rPr>
                <w:rFonts w:ascii="Cambria Math" w:hAnsi="Cambria Math" w:cs="Times New Roman"/>
                <w:i/>
                <w:sz w:val="22"/>
                <w:lang w:val="en-US"/>
              </w:rPr>
            </m:ctrlPr>
          </m:accPr>
          <m:e>
            <m:r>
              <w:rPr>
                <w:rFonts w:ascii="Cambria Math" w:hAnsi="Cambria Math" w:cs="Times New Roman"/>
                <w:sz w:val="22"/>
                <w:lang w:val="en-US"/>
              </w:rPr>
              <m:t>N</m:t>
            </m:r>
          </m:e>
        </m:acc>
      </m:oMath>
      <w:r w:rsidRPr="0041506A">
        <w:rPr>
          <w:rFonts w:cs="Times New Roman"/>
          <w:sz w:val="22"/>
          <w:lang w:val="en-US"/>
        </w:rPr>
        <w:t xml:space="preserve"> for low values of </w:t>
      </w:r>
      <m:oMath>
        <m:acc>
          <m:accPr>
            <m:chr m:val="̃"/>
            <m:ctrlPr>
              <w:rPr>
                <w:rFonts w:ascii="Cambria Math" w:hAnsi="Cambria Math" w:cs="Times New Roman"/>
                <w:i/>
                <w:sz w:val="22"/>
                <w:lang w:val="en-US"/>
              </w:rPr>
            </m:ctrlPr>
          </m:accPr>
          <m:e>
            <m:sSub>
              <m:sSubPr>
                <m:ctrlPr>
                  <w:rPr>
                    <w:rFonts w:ascii="Cambria Math" w:hAnsi="Cambria Math" w:cs="Times New Roman"/>
                    <w:sz w:val="22"/>
                    <w:lang w:val="en-US"/>
                  </w:rPr>
                </m:ctrlPr>
              </m:sSubPr>
              <m:e>
                <m:r>
                  <w:rPr>
                    <w:rFonts w:ascii="Cambria Math" w:hAnsi="Cambria Math" w:cs="Times New Roman"/>
                    <w:sz w:val="22"/>
                    <w:lang w:val="en-US"/>
                  </w:rPr>
                  <m:t>σ</m:t>
                </m:r>
              </m:e>
              <m:sub>
                <m:r>
                  <m:rPr>
                    <m:sty m:val="p"/>
                  </m:rPr>
                  <w:rPr>
                    <w:rFonts w:ascii="Cambria Math" w:hAnsi="Cambria Math" w:cs="Times New Roman"/>
                    <w:sz w:val="22"/>
                    <w:lang w:val="en-US"/>
                  </w:rPr>
                  <m:t>w</m:t>
                </m:r>
              </m:sub>
            </m:sSub>
          </m:e>
        </m:acc>
      </m:oMath>
      <w:r w:rsidRPr="0041506A">
        <w:rPr>
          <w:rFonts w:eastAsiaTheme="minorEastAsia" w:cs="Times New Roman"/>
          <w:sz w:val="22"/>
          <w:lang w:val="en-US"/>
        </w:rPr>
        <w:t xml:space="preserve"> </w:t>
      </w:r>
      <w:r w:rsidRPr="0041506A">
        <w:rPr>
          <w:rFonts w:cs="Times New Roman"/>
          <w:sz w:val="22"/>
          <w:lang w:val="en-US"/>
        </w:rPr>
        <w:t xml:space="preserve">(which corresponds to the overdispersion effect), and the lower values of </w:t>
      </w:r>
      <m:oMath>
        <m:acc>
          <m:accPr>
            <m:chr m:val="̃"/>
            <m:ctrlPr>
              <w:rPr>
                <w:rFonts w:ascii="Cambria Math" w:hAnsi="Cambria Math" w:cs="Times New Roman"/>
                <w:i/>
                <w:sz w:val="22"/>
                <w:lang w:val="en-US"/>
              </w:rPr>
            </m:ctrlPr>
          </m:accPr>
          <m:e>
            <m:r>
              <w:rPr>
                <w:rFonts w:ascii="Cambria Math" w:hAnsi="Cambria Math" w:cs="Times New Roman"/>
                <w:sz w:val="22"/>
                <w:lang w:val="en-US"/>
              </w:rPr>
              <m:t>N</m:t>
            </m:r>
          </m:e>
        </m:acc>
      </m:oMath>
      <w:r w:rsidRPr="0041506A">
        <w:rPr>
          <w:rFonts w:cs="Times New Roman"/>
          <w:sz w:val="22"/>
          <w:lang w:val="en-US"/>
        </w:rPr>
        <w:t xml:space="preserve"> for low values of </w:t>
      </w:r>
      <m:oMath>
        <m:acc>
          <m:accPr>
            <m:chr m:val="̃"/>
            <m:ctrlPr>
              <w:rPr>
                <w:rFonts w:ascii="Cambria Math" w:hAnsi="Cambria Math" w:cs="Times New Roman"/>
                <w:i/>
                <w:sz w:val="22"/>
                <w:lang w:val="en-US"/>
              </w:rPr>
            </m:ctrlPr>
          </m:accPr>
          <m:e>
            <m:sSub>
              <m:sSubPr>
                <m:ctrlPr>
                  <w:rPr>
                    <w:rFonts w:ascii="Cambria Math" w:hAnsi="Cambria Math" w:cs="Times New Roman"/>
                    <w:sz w:val="22"/>
                    <w:lang w:val="en-US"/>
                  </w:rPr>
                </m:ctrlPr>
              </m:sSubPr>
              <m:e>
                <m:r>
                  <w:rPr>
                    <w:rFonts w:ascii="Cambria Math" w:hAnsi="Cambria Math" w:cs="Times New Roman"/>
                    <w:sz w:val="22"/>
                    <w:lang w:val="en-US"/>
                  </w:rPr>
                  <m:t>σ</m:t>
                </m:r>
              </m:e>
              <m:sub>
                <m:r>
                  <m:rPr>
                    <m:sty m:val="p"/>
                  </m:rPr>
                  <w:rPr>
                    <w:rFonts w:ascii="Cambria Math" w:hAnsi="Cambria Math" w:cs="Times New Roman"/>
                    <w:sz w:val="22"/>
                    <w:lang w:val="en-US"/>
                  </w:rPr>
                  <m:t>m</m:t>
                </m:r>
              </m:sub>
            </m:sSub>
          </m:e>
        </m:acc>
      </m:oMath>
      <w:r w:rsidRPr="0041506A">
        <w:rPr>
          <w:rFonts w:eastAsiaTheme="minorEastAsia" w:cs="Times New Roman"/>
          <w:sz w:val="22"/>
          <w:lang w:val="en-US"/>
        </w:rPr>
        <w:t xml:space="preserve"> and </w:t>
      </w:r>
      <m:oMath>
        <m:acc>
          <m:accPr>
            <m:chr m:val="̃"/>
            <m:ctrlPr>
              <w:rPr>
                <w:rFonts w:ascii="Cambria Math" w:eastAsiaTheme="minorEastAsia" w:hAnsi="Cambria Math" w:cs="Times New Roman"/>
                <w:i/>
                <w:sz w:val="22"/>
                <w:lang w:val="en-US"/>
              </w:rPr>
            </m:ctrlPr>
          </m:accPr>
          <m:e>
            <m:sSub>
              <m:sSubPr>
                <m:ctrlPr>
                  <w:rPr>
                    <w:rFonts w:ascii="Cambria Math" w:eastAsiaTheme="minorEastAsia" w:hAnsi="Cambria Math" w:cs="Times New Roman"/>
                    <w:i/>
                    <w:sz w:val="22"/>
                    <w:lang w:val="en-US"/>
                  </w:rPr>
                </m:ctrlPr>
              </m:sSubPr>
              <m:e>
                <m:r>
                  <w:rPr>
                    <w:rFonts w:ascii="Cambria Math" w:eastAsiaTheme="minorEastAsia" w:hAnsi="Cambria Math" w:cs="Times New Roman"/>
                    <w:sz w:val="22"/>
                    <w:lang w:val="en-US"/>
                  </w:rPr>
                  <m:t>σ</m:t>
                </m:r>
              </m:e>
              <m:sub>
                <m:r>
                  <m:rPr>
                    <m:sty m:val="p"/>
                  </m:rPr>
                  <w:rPr>
                    <w:rFonts w:ascii="Cambria Math" w:eastAsiaTheme="minorEastAsia" w:hAnsi="Cambria Math" w:cs="Times New Roman"/>
                    <w:sz w:val="22"/>
                    <w:lang w:val="en-US"/>
                  </w:rPr>
                  <m:t>w</m:t>
                </m:r>
              </m:sub>
            </m:sSub>
            <m:ctrlPr>
              <w:rPr>
                <w:rFonts w:ascii="Cambria Math" w:hAnsi="Cambria Math" w:cs="Times New Roman"/>
                <w:i/>
                <w:sz w:val="22"/>
                <w:lang w:val="en-US"/>
              </w:rPr>
            </m:ctrlPr>
          </m:e>
        </m:acc>
      </m:oMath>
      <w:r w:rsidRPr="0041506A">
        <w:rPr>
          <w:rFonts w:cs="Times New Roman"/>
          <w:sz w:val="22"/>
          <w:lang w:val="en-US"/>
        </w:rPr>
        <w:t xml:space="preserve"> (which corresponds to the clustering effect)</w:t>
      </w:r>
      <w:r>
        <w:rPr>
          <w:rFonts w:cs="Times New Roman"/>
          <w:sz w:val="22"/>
          <w:lang w:val="en-US"/>
        </w:rPr>
        <w:t>.</w:t>
      </w:r>
    </w:p>
    <w:sectPr w:rsidR="00331342" w:rsidRPr="000B26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64D"/>
    <w:rsid w:val="000B264D"/>
    <w:rsid w:val="003313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C759"/>
  <w15:chartTrackingRefBased/>
  <w15:docId w15:val="{FE8439A9-E875-428D-A783-4E694970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264D"/>
    <w:pPr>
      <w:spacing w:after="0" w:line="276" w:lineRule="auto"/>
      <w:ind w:firstLine="709"/>
      <w:jc w:val="both"/>
    </w:pPr>
    <w:rPr>
      <w:rFonts w:ascii="Times New Roman" w:hAnsi="Times New Roman"/>
      <w:kern w:val="0"/>
      <w:sz w:val="24"/>
      <w14:ligatures w14:val="none"/>
    </w:rPr>
  </w:style>
  <w:style w:type="paragraph" w:styleId="2">
    <w:name w:val="heading 2"/>
    <w:basedOn w:val="a"/>
    <w:next w:val="a"/>
    <w:link w:val="20"/>
    <w:uiPriority w:val="9"/>
    <w:unhideWhenUsed/>
    <w:qFormat/>
    <w:rsid w:val="000B264D"/>
    <w:pPr>
      <w:keepNext/>
      <w:keepLines/>
      <w:spacing w:before="120" w:after="60"/>
      <w:ind w:firstLine="0"/>
      <w:outlineLvl w:val="1"/>
    </w:pPr>
    <w:rPr>
      <w:rFonts w:eastAsiaTheme="majorEastAsia" w:cs="Times New Roman"/>
      <w:b/>
      <w:bCs/>
      <w:color w:val="4472C4" w:themeColor="accent1"/>
      <w:szCs w:val="2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B264D"/>
    <w:rPr>
      <w:rFonts w:ascii="Times New Roman" w:eastAsiaTheme="majorEastAsia" w:hAnsi="Times New Roman" w:cs="Times New Roman"/>
      <w:b/>
      <w:bCs/>
      <w:color w:val="4472C4" w:themeColor="accent1"/>
      <w:kern w:val="0"/>
      <w:sz w:val="24"/>
      <w:szCs w:val="26"/>
      <w:lang w:val="en-US"/>
      <w14:ligatures w14:val="none"/>
    </w:rPr>
  </w:style>
  <w:style w:type="character" w:styleId="a3">
    <w:name w:val="Placeholder Text"/>
    <w:basedOn w:val="a0"/>
    <w:uiPriority w:val="99"/>
    <w:semiHidden/>
    <w:rsid w:val="000B26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797</Words>
  <Characters>4545</Characters>
  <Application>Microsoft Office Word</Application>
  <DocSecurity>0</DocSecurity>
  <Lines>37</Lines>
  <Paragraphs>10</Paragraphs>
  <ScaleCrop>false</ScaleCrop>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Николаев</dc:creator>
  <cp:keywords/>
  <dc:description/>
  <cp:lastModifiedBy>Михаил Николаев</cp:lastModifiedBy>
  <cp:revision>1</cp:revision>
  <dcterms:created xsi:type="dcterms:W3CDTF">2023-05-24T20:06:00Z</dcterms:created>
  <dcterms:modified xsi:type="dcterms:W3CDTF">2023-05-24T20:12:00Z</dcterms:modified>
</cp:coreProperties>
</file>