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V228.45 — Profils de charge locaux</w:t>
      </w:r>
    </w:p>
    <w:p>
      <w:r>
        <w:t>Auteur : Abdelhalim Talbi</w:t>
      </w:r>
    </w:p>
    <w:p>
      <w:r>
        <w:t>Objectif : comparer les coûts fixes du chemin réel IncrementalExecutor sur petits fichiers.</w:t>
      </w:r>
    </w:p>
    <w:p>
      <w:r>
        <w:t>Le chronométrage inclut copie POSIX, relecture SHA-256 et validation SQLite, mais exclut inventaire et réservation initiale.</w:t>
      </w:r>
    </w:p>
    <w:p>
      <w:r>
        <w:t>Aucune optimisation du moteur de production dans cette version.</w:t>
      </w:r>
    </w:p>
    <w:p>
      <w:r>
        <w:t>Mesures : cinq répétitions par taille, médianes descriptives.</w:t>
      </w:r>
    </w:p>
    <w:p>
      <w:r>
        <w:t>tiny — 4096 octets : 2.9422 ms</w:t>
      </w:r>
    </w:p>
    <w:p>
      <w:r>
        <w:t>tiny — 16384 octets : 3.0412 ms</w:t>
      </w:r>
    </w:p>
    <w:p>
      <w:r>
        <w:t>tiny — 65536 octets : 3.5598 ms</w:t>
      </w:r>
    </w:p>
    <w:p>
      <w:r>
        <w:t>small — 262144 octets : 3.6198 ms</w:t>
      </w:r>
    </w:p>
    <w:p>
      <w:r>
        <w:t>small — 1048576 octets : 7.3196 ms</w:t>
      </w:r>
    </w:p>
    <w:p>
      <w:r>
        <w:t>Limites : stockage local Linux, caches possibles, travailleur unique, pas de migration NAS, pas de qualification ACL NFS/SMB.</w:t>
      </w:r>
    </w:p>
    <w:p>
      <w:r>
        <w:t>Sécurité : double vérification et règles de fencing inchangées.</w:t>
      </w:r>
    </w:p>
    <w:p>
      <w:r>
        <w:t>Architecture : CLI de benchmark -&gt; benchmark_executor_v22839.run_case -&gt; IncrementalExecutor -&gt; NativePosixMigration et SQLite.</w:t>
      </w:r>
    </w:p>
    <w:p>
      <w:r>
        <w:t>Qualification : 20 tests unitaires ciblés réussis.</w:t>
      </w:r>
    </w:p>
    <w:p>
      <w:r>
        <w:t>Exemple fictif (non exécuté) : une campagne NAS pourrait comparer latence SMB et coût des métadonnées.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