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V228.46 — Instrumentation SQLite</w:t>
      </w:r>
    </w:p>
    <w:p>
      <w:pPr>
        <w:pStyle w:val="Heading1"/>
      </w:pPr>
      <w:r>
        <w:t>Objet</w:t>
      </w:r>
    </w:p>
    <w:p>
      <w:r>
        <w:t>Cette version instrumente les opérations SQLite du moteur natif existant sans ajouter de moteur parallèle.</w:t>
      </w:r>
    </w:p>
    <w:p>
      <w:pPr>
        <w:pStyle w:val="Heading1"/>
      </w:pPr>
      <w:r>
        <w:t>Architecture</w:t>
      </w:r>
    </w:p>
    <w:p>
      <w:r>
        <w:t>Linux Full : IncrementalExecutor -&gt; contrôle du claim -&gt; vérification de la source et de la copie -&gt; UPDATE de la tâche -&gt; COMMIT SQLite. Les éditions Compact sont conservées.</w:t>
      </w:r>
    </w:p>
    <w:p>
      <w:pPr>
        <w:pStyle w:val="Heading1"/>
      </w:pPr>
      <w:r>
        <w:t>Nouveaux points de mesure</w:t>
      </w:r>
    </w:p>
    <w:p>
      <w:r>
        <w:t>commit.claim_lookup : SELECT de la réservation. commit.claim_update : UPDATE de la tâche. commit.sqlite_commit : durée du COMMIT. commit.sqlite_transaction : durée inclusive de la transaction, contenant des vérifications imbriquées.</w:t>
      </w:r>
    </w:p>
    <w:p>
      <w:pPr>
        <w:pStyle w:val="Heading1"/>
      </w:pPr>
      <w:r>
        <w:t>Précautions</w:t>
      </w:r>
    </w:p>
    <w:p>
      <w:r>
        <w:t>Les mesures sont inclusives et imbriquées : ne pas additionner transaction et sous-étapes. Les horodatages sont monotones. L’observateur de performances ne modifie pas les décisions métier.</w:t>
      </w:r>
    </w:p>
    <w:p>
      <w:pPr>
        <w:pStyle w:val="Heading1"/>
      </w:pPr>
      <w:r>
        <w:t>Qualification exécutée</w:t>
      </w:r>
    </w:p>
    <w:p>
      <w:r>
        <w:t>Commande : cd 02-Sources &amp;&amp; python -m unittest -q test_v22846_sqlite_instrumentation test_native_incremental_executor. Résultat réel sous Linux : Ran 16 tests; OK.</w:t>
      </w:r>
    </w:p>
    <w:p>
      <w:pPr>
        <w:pStyle w:val="Heading1"/>
      </w:pPr>
      <w:r>
        <w:t>Limites</w:t>
      </w:r>
    </w:p>
    <w:p>
      <w:r>
        <w:t>Pas de qualification Windows native, NAS physiques, ACL NFS/SMB ni performance NAS. Les mesures n’attestent pas une optimisation du débit.</w:t>
      </w:r>
    </w:p>
    <w:p>
      <w:pPr>
        <w:pStyle w:val="Heading1"/>
      </w:pPr>
      <w:r>
        <w:t>Prochaine étape</w:t>
      </w:r>
    </w:p>
    <w:p>
      <w:r>
        <w:t>Mesurer sur une même machine les coûts exclusifs des transactions, puis sélectionner une optimisation démontrée et non régressive.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