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V228.47 - Analyse du cout SQLite</w:t>
      </w:r>
    </w:p>
    <w:p>
      <w:pPr>
        <w:pStyle w:val="Heading2"/>
      </w:pPr>
      <w:r>
        <w:t>Auteur</w:t>
      </w:r>
    </w:p>
    <w:p>
      <w:r>
        <w:t>Abdelhalim Talbi</w:t>
      </w:r>
    </w:p>
    <w:p>
      <w:pPr>
        <w:pStyle w:val="Heading2"/>
      </w:pPr>
      <w:r>
        <w:t>Objet</w:t>
      </w:r>
    </w:p>
    <w:p>
      <w:r>
        <w:t>Caracteriser les sous-operations SQLite du moteur IncrementalExecutor, sans modifier les garanties de securite.</w:t>
      </w:r>
    </w:p>
    <w:p>
      <w:pPr>
        <w:pStyle w:val="Heading2"/>
      </w:pPr>
      <w:r>
        <w:t>Methode</w:t>
      </w:r>
    </w:p>
    <w:p>
      <w:r>
        <w:t>Benchmark du chemin reel local, cinq repetitions par taille, inventaire et reservation exclus du chronometrage.</w:t>
      </w:r>
    </w:p>
    <w:p>
      <w:pPr>
        <w:pStyle w:val="Heading2"/>
      </w:pPr>
      <w:r>
        <w:t>Resultats</w:t>
      </w:r>
    </w:p>
    <w:p>
      <w:r>
        <w:t>4096 octets : total 3.6126 ms ; SQLite 0.6002 ms ; part mediane 13.8 %</w:t>
        <w:br/>
        <w:t>65536 octets : total 3.8984 ms ; SQLite 0.5813 ms ; part mediane 14.97 %</w:t>
        <w:br/>
        <w:t>1048576 octets : total 7.0008 ms ; SQLite 0.5206 ms ; part mediane 7.44 %</w:t>
      </w:r>
    </w:p>
    <w:p>
      <w:pPr>
        <w:pStyle w:val="Heading2"/>
      </w:pPr>
      <w:r>
        <w:t>Architecture</w:t>
      </w:r>
    </w:p>
    <w:p>
      <w:r>
        <w:t>Source POSIX -&gt; NativePosixMigration -&gt; IncrementalExecutor -&gt; controles SHA-256 -&gt; transaction SQLite -&gt; validation. Les operations de lecture et de commit restent sous fencing.</w:t>
      </w:r>
    </w:p>
    <w:p>
      <w:pPr>
        <w:pStyle w:val="Heading2"/>
      </w:pPr>
      <w:r>
        <w:t>Organigramme</w:t>
      </w:r>
    </w:p>
    <w:p>
      <w:r>
        <w:t>Reserver -&gt; Copier -&gt; Verifier -&gt; BEGIN IMMEDIATE -&gt; Revérifier -&gt; COMMIT si valide, sinon ROLLBACK et reconciliation explicite.</w:t>
      </w:r>
    </w:p>
    <w:p>
      <w:pPr>
        <w:pStyle w:val="Heading2"/>
      </w:pPr>
      <w:r>
        <w:t>Qualification</w:t>
      </w:r>
    </w:p>
    <w:p>
      <w:r>
        <w:t>18 tests cibles reussis. Aucune migration NAS reelle, compilation Windows native ni test ACL SMB/NFS qualifie.</w:t>
      </w:r>
    </w:p>
    <w:p>
      <w:pPr>
        <w:pStyle w:val="Heading2"/>
      </w:pPr>
      <w:r>
        <w:t>Limites</w:t>
      </w:r>
    </w:p>
    <w:p>
      <w:r>
        <w:t>Mesures locales et caches non maitrises. Le cout SQLite presente ne couvre que les sous-etapes instrumentees. Aucun gain de performance revendique.</w:t>
      </w:r>
    </w:p>
    <w:p>
      <w:pPr>
        <w:pStyle w:val="Heading2"/>
      </w:pPr>
      <w:r>
        <w:t>Exemple fictif clairement identifie</w:t>
      </w:r>
    </w:p>
    <w:p>
      <w:r>
        <w:t>Commande illustrative (non executee sur NAS): python sqlite_cost_analysis_v22847.py benchmark.json --output result.json</w:t>
      </w:r>
    </w:p>
    <w:p>
      <w:pPr>
        <w:pStyle w:val="Heading2"/>
      </w:pPr>
      <w:r>
        <w:t>Decision</w:t>
      </w:r>
    </w:p>
    <w:p>
      <w:r>
        <w:t>Ne pas regrouper les COMMIT sans preuve de reprise, idempotence et fencing. Prochaine etape: prototype isole et comparatif A/B.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