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v41.71 — Guide technique et utilisateur</w:t>
      </w:r>
    </w:p>
    <w:p>
      <w:r>
        <w:t>Auteur : Abdelhalim Talbi</w:t>
      </w:r>
    </w:p>
    <w:p>
      <w:pPr>
        <w:pStyle w:val="Heading1"/>
      </w:pPr>
      <w:r>
        <w:t>Objectif</w:t>
      </w:r>
    </w:p>
    <w:p>
      <w:r>
        <w:t>La v41.71 facilite la localisation visuelle des connexions SAN sélectionnées depuis le panneau Qualité des routes.</w:t>
      </w:r>
    </w:p>
    <w:p>
      <w:pPr>
        <w:pStyle w:val="Heading1"/>
      </w:pPr>
      <w:r>
        <w:t>Fonctionnement</w:t>
      </w:r>
    </w:p>
    <w:p>
      <w:r>
        <w:t>Après sélection de la connexion, le contrôleur met à jour la sélection du diagramme, applique la classe CSS route-diagnostic-focus au groupe SVG correspondant et recentre le viewport. Le moteur de routage et la géométrie sauvegardée restent inchangés.</w:t>
      </w:r>
    </w:p>
    <w:p>
      <w:pPr>
        <w:pStyle w:val="Heading1"/>
      </w:pPr>
      <w:r>
        <w:t>Sécurité et limites</w:t>
      </w:r>
    </w:p>
    <w:p>
      <w:r>
        <w:t>Le surlignage est visuel et temporaire; il ne constitue pas une preuve de collision. Les diagnostics sont ceux du moteur existant. Les vrais exécutables Windows ne sont pas compilés dans cet environnement.</w:t>
      </w:r>
    </w:p>
    <w:p>
      <w:pPr>
        <w:pStyle w:val="Heading1"/>
      </w:pPr>
      <w:r>
        <w:t>Qualification</w:t>
      </w:r>
    </w:p>
    <w:p>
      <w:r>
        <w:t>Quatre tests nouveaux contrôlent la sélection ciblée, le nettoyage du surlignage précédent, le déclenchement et le style. Suite Node.js complète et contrôle documentaire SHA256 exécutés.</w:t>
      </w:r>
    </w:p>
    <w:p>
      <w:pPr>
        <w:pStyle w:val="Heading1"/>
      </w:pPr>
      <w:r>
        <w:t>Procédure utilisateur</w:t>
      </w:r>
    </w:p>
    <w:p>
      <w:r>
        <w:t>Ouvrir un diagramme SAN, afficher Qualité des routes, filtrer ou rechercher une connexion, sélectionner sa ligne et observer le recentrage et le surlignage du connecteur.</w:t>
      </w:r>
    </w:p>
    <w:p>
      <w:pPr>
        <w:pStyle w:val="Heading1"/>
      </w:pPr>
      <w:r>
        <w:t>Windows</w:t>
      </w:r>
    </w:p>
    <w:p>
      <w:r>
        <w:t>Pour générer les binaires sur Windows, exécuter application\Build-OpenVisio-Windows.cmd. Les artefacts attendus sont publiés dans application\binary après compilation réelle. Aucune capture Windows réelle disponible pour cette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