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v41.33 — Optimisation incrémentale des croisements SAN</w:t>
      </w:r>
    </w:p>
    <w:p>
      <w:r>
        <w:t>Auteur : Abdelhalim Talbi</w:t>
      </w:r>
    </w:p>
    <w:p>
      <w:r>
        <w:t>Objectif : supprimer le recalcul global des croisements lors de l’évaluation d’une route candidate.</w:t>
      </w:r>
    </w:p>
    <w:p>
      <w:r>
        <w:t>Modification : score local = somme des croisements entre la route candidate et chacune des autres routes, plus longueur Manhattan.</w:t>
      </w:r>
    </w:p>
    <w:p>
      <w:r>
        <w:t>Justification : les croisements entre routes non modifiées sont constants entre candidats ; le classement des scores reste inchangé.</w:t>
      </w:r>
    </w:p>
    <w:p>
      <w:r>
        <w:t>Qualification : 1767 tests Node.js réussis sur 1767, dont deux tests supplémentaires.</w:t>
      </w:r>
    </w:p>
    <w:p>
      <w:r>
        <w:t>Limites : pas de benchmark comparatif chronométré ; aucune qualification Windows ou capture réelle ; absence de preuve exhaustive d’équivalence sur diagrammes complexes.</w:t>
      </w:r>
    </w:p>
    <w:p>
      <w:r>
        <w:t>Prochaine étape : comparaison v41.32/v41.33, cas SAN réels, contrôle géométrique et recette Windows.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