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v41.59 — Signature et publication Windows</w:t>
      </w:r>
    </w:p>
    <w:p>
      <w:pPr>
        <w:pStyle w:val="Heading1"/>
      </w:pPr>
      <w:r>
        <w:t>Objectif</w:t>
      </w:r>
    </w:p>
    <w:p>
      <w:r>
        <w:t>Sécuriser la publication des exécutables Windows par un contrôle Authenticode facultatif, sans prétendre que les exécutables sont déjà compilés.</w:t>
      </w:r>
    </w:p>
    <w:p>
      <w:pPr>
        <w:pStyle w:val="Heading1"/>
      </w:pPr>
      <w:r>
        <w:t>Processus</w:t>
      </w:r>
    </w:p>
    <w:p>
      <w:r>
        <w:t>Sous Windows, lancer Build-OpenVisio-Windows.cmd. Les exécutables natif, installateur et portable sont produits sous dist/, puis Stage-Binaries.ps1 vérifie les deux livrables avant publication atomique dans binary/.</w:t>
      </w:r>
    </w:p>
    <w:p>
      <w:pPr>
        <w:pStyle w:val="Heading1"/>
      </w:pPr>
      <w:r>
        <w:t>Politique de signature</w:t>
      </w:r>
    </w:p>
    <w:p>
      <w:r>
        <w:t>Stage-Binaries.ps1 -SignaturePolicy Report (défaut) enregistre le statut et le sujet du certificat. -SignaturePolicy RequireValid refuse la publication si une signature n’est pas Valid. Une signature valide ne prouve pas à elle seule la sûreté du programme.</w:t>
      </w:r>
    </w:p>
    <w:p>
      <w:pPr>
        <w:pStyle w:val="Heading1"/>
      </w:pPr>
      <w:r>
        <w:t>Fichiers attendus</w:t>
      </w:r>
    </w:p>
    <w:p>
      <w:r>
        <w:t>binary/OpenVisio-Setup-v41.59-x64.exe ; binary/OpenVisio-v41.59-Windows-x64-Portable.exe ; binary/manifest.json. Aucun exécutable simulé ne doit être distribué.</w:t>
      </w:r>
    </w:p>
    <w:p>
      <w:pPr>
        <w:pStyle w:val="Heading1"/>
      </w:pPr>
      <w:r>
        <w:t>Qualification</w:t>
      </w:r>
    </w:p>
    <w:p>
      <w:r>
        <w:t>Tests Node.js exécutés sous Linux. Compilation .NET, Inno Setup, Authenticode et tests Windows réels non exécutés dans cet environnement.</w:t>
      </w:r>
    </w:p>
    <w:p>
      <w:pPr>
        <w:pStyle w:val="Heading1"/>
      </w:pPr>
      <w:r>
        <w:t>Limites et risques</w:t>
      </w:r>
    </w:p>
    <w:p>
      <w:r>
        <w:t>La validation des scripts n’équivaut pas à une recette Windows. Contrôler les dépendances .NET/WebView2, l’installation et la désinstallation sur une machine Windows dédiée.</w:t>
      </w:r>
    </w:p>
    <w:p>
      <w:pPr>
        <w:pStyle w:val="Heading1"/>
      </w:pPr>
      <w:r>
        <w:t>Auteur</w:t>
      </w:r>
    </w:p>
    <w:p>
      <w:r>
        <w:t>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