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v41.20 — Qualification SAN</w:t>
      </w:r>
    </w:p>
    <w:p>
      <w:r>
        <w:t>Auteur : Abdelhalim Talbi</w:t>
      </w:r>
    </w:p>
    <w:p>
      <w:pPr>
        <w:pStyle w:val="Heading1"/>
      </w:pPr>
      <w:r>
        <w:t>Périmètre</w:t>
      </w:r>
    </w:p>
    <w:p>
      <w:r>
        <w:t>Benchmark synthétique multi-mutations : déplacement, second déplacement, annulation et rétablissement. Mesures Node.js, 7 répétitions.</w:t>
      </w:r>
    </w:p>
    <w:p>
      <w:pPr>
        <w:pStyle w:val="Heading1"/>
      </w:pPr>
      <w:r>
        <w:t>Résultats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Connexions</w:t>
            </w:r>
          </w:p>
        </w:tc>
        <w:tc>
          <w:tcPr>
            <w:tcW w:type="dxa" w:w="2160"/>
          </w:tcPr>
          <w:p>
            <w:r>
              <w:t>Purge (ms)</w:t>
            </w:r>
          </w:p>
        </w:tc>
        <w:tc>
          <w:tcPr>
            <w:tcW w:type="dxa" w:w="2160"/>
          </w:tcPr>
          <w:p>
            <w:r>
              <w:t>Ciblée (ms)</w:t>
            </w:r>
          </w:p>
        </w:tc>
        <w:tc>
          <w:tcPr>
            <w:tcW w:type="dxa" w:w="2160"/>
          </w:tcPr>
          <w:p>
            <w:r>
              <w:t>Équivalence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4.656</w:t>
            </w:r>
          </w:p>
        </w:tc>
        <w:tc>
          <w:tcPr>
            <w:tcW w:type="dxa" w:w="2160"/>
          </w:tcPr>
          <w:p>
            <w:r>
              <w:t>2.424</w:t>
            </w:r>
          </w:p>
        </w:tc>
        <w:tc>
          <w:tcPr>
            <w:tcW w:type="dxa" w:w="2160"/>
          </w:tcPr>
          <w:p>
            <w:r>
              <w:t>Oui</w:t>
            </w:r>
          </w:p>
        </w:tc>
      </w:tr>
      <w:tr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18.919</w:t>
            </w:r>
          </w:p>
        </w:tc>
        <w:tc>
          <w:tcPr>
            <w:tcW w:type="dxa" w:w="2160"/>
          </w:tcPr>
          <w:p>
            <w:r>
              <w:t>10.936</w:t>
            </w:r>
          </w:p>
        </w:tc>
        <w:tc>
          <w:tcPr>
            <w:tcW w:type="dxa" w:w="2160"/>
          </w:tcPr>
          <w:p>
            <w:r>
              <w:t>Oui</w:t>
            </w:r>
          </w:p>
        </w:tc>
      </w:tr>
      <w:tr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35.684</w:t>
            </w:r>
          </w:p>
        </w:tc>
        <w:tc>
          <w:tcPr>
            <w:tcW w:type="dxa" w:w="2160"/>
          </w:tcPr>
          <w:p>
            <w:r>
              <w:t>22.341</w:t>
            </w:r>
          </w:p>
        </w:tc>
        <w:tc>
          <w:tcPr>
            <w:tcW w:type="dxa" w:w="2160"/>
          </w:tcPr>
          <w:p>
            <w:r>
              <w:t>Oui</w:t>
            </w:r>
          </w:p>
        </w:tc>
      </w:tr>
    </w:tbl>
    <w:p>
      <w:pPr>
        <w:pStyle w:val="Heading1"/>
      </w:pPr>
      <w:r>
        <w:t>Qualification</w:t>
      </w:r>
    </w:p>
    <w:p>
      <w:r>
        <w:t>1 751 tests Node.js réussis. Le benchmark est distinct de la suite de tests. Les scénarios ne représentent pas des mesures de fluidité Windows.</w:t>
      </w:r>
    </w:p>
    <w:p>
      <w:pPr>
        <w:pStyle w:val="Heading1"/>
      </w:pPr>
      <w:r>
        <w:t>Limites et suites</w:t>
      </w:r>
    </w:p>
    <w:p>
      <w:r>
        <w:t>Pas de compilation Windows, ni de capture réelle de l’interface. Pas de mesure DOM SVG ni d’évitement d’obstacles. Prévoir tests navigateur et topologies SAN importées.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