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v41.21 — Qualification géométrique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Vérifier que les mutations du graphe et la comparaison géométrique conservent les propriétés attendues du moteur de routage.</w:t>
      </w:r>
    </w:p>
    <w:p>
      <w:pPr>
        <w:pStyle w:val="Heading1"/>
      </w:pPr>
      <w:r>
        <w:t>Architecture</w:t>
      </w:r>
    </w:p>
    <w:p>
      <w:r>
        <w:t>Éditeur → état du graphe → détection des changements → invalidation ciblée du cache LRU → calcul des routes → comparaison géométrique → rendu SVG.</w:t>
      </w:r>
    </w:p>
    <w:p>
      <w:pPr>
        <w:pStyle w:val="Heading1"/>
      </w:pPr>
      <w:r>
        <w:t>Scénarios automatisés</w:t>
      </w:r>
    </w:p>
    <w:p>
      <w:r>
        <w:t>Tolérance numérique, chemins absents ou non finis, déplacement d’équipement et câbles impactés, changement d’apparence sans modification de la géométrie.</w:t>
      </w:r>
    </w:p>
    <w:p>
      <w:pPr>
        <w:pStyle w:val="Heading1"/>
      </w:pPr>
      <w:r>
        <w:t>Exemple fictif — non exécuté</w:t>
      </w:r>
    </w:p>
    <w:p>
      <w:r>
        <w:t>Déplacer le switch SAN A de x=100 à x=120 ; les liens directement raccordés sont recalculés, les autres restent disponibles dans le cache. Ceci est une illustration et non une capture réelle.</w:t>
      </w:r>
    </w:p>
    <w:p>
      <w:pPr>
        <w:pStyle w:val="Heading1"/>
      </w:pPr>
      <w:r>
        <w:t>Qualification</w:t>
      </w:r>
    </w:p>
    <w:p>
      <w:r>
        <w:t>Suite Node.js exécutée. Voir TEST-RESULT-V41.21.txt pour le résultat complet.</w:t>
      </w:r>
    </w:p>
    <w:p>
      <w:pPr>
        <w:pStyle w:val="Heading1"/>
      </w:pPr>
      <w:r>
        <w:t>Limites</w:t>
      </w:r>
    </w:p>
    <w:p>
      <w:r>
        <w:t>Aucune capture réelle Windows ; aucun benchmark DOM SVG ni essai interactif Windows. Les anciens guides n’ont pas été réédités.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