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 prise en main</w:t>
      </w:r>
    </w:p>
    <w:p>
      <w:r>
        <w:t>OpenVisio v40.2 — édition documentaire cumulative</w:t>
        <w:br/>
        <w:t>Auteur : Abdelhalim Talbi</w:t>
        <w:br/>
        <w:t>État : exemples fictifs identifiés ; qualification native Windows non réalisée.</w:t>
      </w:r>
    </w:p>
    <w:p>
      <w:pPr>
        <w:pStyle w:val="Heading1"/>
      </w:pPr>
      <w:r>
        <w:t>Périmètre et traçabilité</w:t>
      </w:r>
    </w:p>
    <w:p>
      <w:r>
        <w:t>Cette documentation décrit les sources disponibles dans l’archive cumulative. La version applicative demeure 40.1.0 ; la version documentaire et de packaging est 40.2.</w:t>
      </w:r>
    </w:p>
    <w:p>
      <w:pPr>
        <w:pStyle w:val="Heading1"/>
      </w:pPr>
      <w:r>
        <w:t>1. Objectifs</w:t>
      </w:r>
    </w:p>
    <w:p>
      <w:pPr/>
      <w:r>
        <w:t>OpenVisio est un éditeur de diagrammes orienté infrastructures, SAN et documentation technique. Cette livraison v40.2 porte sur la qualité documentaire ; le moteur applicatif reste v40.1.</w:t>
      </w:r>
    </w:p>
    <w:p>
      <w:pPr>
        <w:pStyle w:val="Heading1"/>
      </w:pPr>
      <w:r>
        <w:t>2. Démarrage guidé</w:t>
      </w:r>
    </w:p>
    <w:p>
      <w:pPr/>
      <w:r>
        <w:t>Ouvrir l’application ; utiliser Démarrer ; choisir Nouveau, Ouvrir ou un modèle ; déposer des formes sur le canevas ; relier les équipements ; renseigner les propriétés ; enregistrer.</w:t>
      </w:r>
    </w:p>
    <w:p>
      <w:pPr>
        <w:pStyle w:val="Heading1"/>
      </w:pPr>
      <w:r>
        <w:t>3. Scénario illustratif</w:t>
      </w:r>
    </w:p>
    <w:p>
      <w:pPr/>
      <w:r>
        <w:t>EXEMPLE FICTIF : document « SAN-Site-A » avec deux fabrics indépendantes, deux commutateurs, quatre serveurs et deux baies. Vérifier visuellement les connexions et renseigner les WWPN.</w:t>
      </w:r>
    </w:p>
    <w:p>
      <w:pPr>
        <w:pStyle w:val="Heading1"/>
      </w:pPr>
      <w:r>
        <w:t>4. État de validation</w:t>
      </w:r>
    </w:p>
    <w:p>
      <w:pPr/>
      <w:r>
        <w:t>Tests Node.js à rejouer dans le pipeline ; aucune compilation native ni capture Windows certifiée disponible dans cet environnement.</w:t>
      </w:r>
    </w:p>
    <w:p>
      <w:pPr>
        <w:pStyle w:val="Heading1"/>
      </w:pPr>
      <w:r>
        <w:t>Organigrammes et illustrations</w:t>
      </w:r>
    </w:p>
    <w:p>
      <w:r>
        <w:t>01 Parcours utilisateur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cours-utilisat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02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03 Compilation</w:t>
      </w:r>
    </w:p>
    <w:p>
      <w:r>
        <w:drawing>
          <wp:inline xmlns:a="http://schemas.openxmlformats.org/drawingml/2006/main" xmlns:pic="http://schemas.openxmlformats.org/drawingml/2006/picture">
            <wp:extent cx="5212080" cy="179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i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04 Sauvegarde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uvegar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05 Qualification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pPr>
        <w:pStyle w:val="Heading1"/>
      </w:pPr>
      <w:r>
        <w:t>Points de contrôle</w:t>
      </w:r>
    </w:p>
    <w:p>
      <w:pPr>
        <w:pStyle w:val="ListBullet"/>
      </w:pPr>
      <w:r>
        <w:t>Vérifier les chemins, scripts et prérequis avant exécution.</w:t>
      </w:r>
    </w:p>
    <w:p>
      <w:pPr>
        <w:pStyle w:val="ListBullet"/>
      </w:pPr>
      <w:r>
        <w:t>Conserver le code retour, les journaux et les résultats réellement observés.</w:t>
      </w:r>
    </w:p>
    <w:p>
      <w:pPr>
        <w:pStyle w:val="ListBullet"/>
      </w:pPr>
      <w:r>
        <w:t>Distinguer résultats attendus fictifs et résultats de qualification réels.</w:t>
      </w:r>
    </w:p>
    <w:p>
      <w:pPr>
        <w:pStyle w:val="ListBullet"/>
      </w:pPr>
      <w:r>
        <w:t>Compléter les captures sur une machine Windows avec WebView2.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OPENVISIO  |  DOCUMENTATION TECHNIQUE  |  v40.2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