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v41.5 — 01-LIRE-EN-PREMIER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Fiabiliser le cache spatial sans introduire de dette historique.</w:t>
      </w:r>
    </w:p>
    <w:p>
      <w:pPr>
        <w:pStyle w:val="Heading1"/>
      </w:pPr>
      <w:r>
        <w:t>Objet de la livraison</w:t>
      </w:r>
    </w:p>
    <w:p>
      <w:r>
        <w:t>v41.5 introduit un magasin de routes avec compteur de révision, API contrôlée et indexation facultative.</w:t>
      </w:r>
    </w:p>
    <w:p>
      <w:pPr>
        <w:pStyle w:val="Heading1"/>
      </w:pPr>
      <w:r>
        <w:t>Portée</w:t>
      </w:r>
    </w:p>
    <w:p>
      <w:r>
        <w:t>Le moteur existant reste en mode conservateur. Aucun gain global de performance n’est revendiqué.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