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Présentation de la livraison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v41.7 consolide le cache de routage utilisé dans le rendu SVG. Le cache de valeurs est isolé des mutations externes.</w:t>
      </w:r>
    </w:p>
    <w:p>
      <w:pPr>
        <w:pStyle w:val="Heading2"/>
      </w:pPr>
      <w:r>
        <w:t>2. Procédure</w:t>
      </w:r>
    </w:p>
    <w:p>
      <w:r>
        <w:t>La base applicative Windows reste identifiée 41.0.0. Aucun exécutable Windows n’a été compilé dans cet environnement.</w:t>
      </w:r>
    </w:p>
    <w:p>
      <w:pPr>
        <w:pStyle w:val="Heading2"/>
      </w:pPr>
      <w:r>
        <w:t>3. Validation</w:t>
      </w:r>
    </w:p>
    <w:p>
      <w:r>
        <w:t>Les 1 714 tests Node.js ont réussi. Le test de rendu natif Windows et les captures réelles restent à réaliser.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