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Guide utilisateur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Lancer l application depuis le serveur local ou depuis le lanceur Windows après compilation. Utiliser Nouveau, Ouvrir, Enregistrer, les modèles et la bibliothèque de formes. Sélectionner une forme pour accéder à son inspecteur contextuel.</w:t>
      </w:r>
    </w:p>
    <w:p>
      <w:pPr>
        <w:pStyle w:val="Heading1"/>
      </w:pPr>
      <w:r>
        <w:t>Procédure et fonctionnement</w:t>
      </w:r>
    </w:p>
    <w:p>
      <w:r>
        <w:t>Pour les topologies SAN, renseigner les fabrics, les ports, les domaines de défaillance et examiner les diagnostics avant export. Sauvegarder avant de remplacer un diagramme.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